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交银施罗德定期支付月月丰债券型证券投资基金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基金托管人：中国建设银行股份有限公司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二〇二六年六月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324920538"/>
      <w:bookmarkStart w:id="1" w:name="_Toc496884613"/>
      <w:bookmarkStart w:id="2" w:name="_Toc234408660"/>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定期支付月月丰债券型证券投资基金（以下简称“本基金”）经2013年6月6日中国证券监督管理委员会（以下简称“中国证监会”）证监许可【2013】754号文核准募集。本基金基金合同于2013年8月13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市场风险、管理风险、流动性风险（包括实施侧袋机制时的特定风险）、信用风险、本基金投资策略所特有的风险、本基金定期支付相关的特定风险，例如定期支付不等同于收益分配、年化现金支付比率不代表基金实际投资收益率、定期支付被确认失败的风险、年化现金支付比率发生调整的风险等等。本基金是一只债券型基金，属于证券投资基金中中等风险的品种，其长期平均的预期收益和预期风险高于货币市场基金，低于混合型基金和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按照基金合同的约定，每月定期按照年化现金支付比率计算现金支付金额并通过自动赎回基金份额向基金份额持有人支付一定现金，但基金管理人不保证本基金一定盈利，也不保证最低收益，定期支付不等同于收益分配，年化现金支付比率也不代表本基金的实际投资收益率。根据基金合同的约定，特定情形下并存在当期定期支付业务被确认失败的风险。基金管理人可以根据基金实际运作情况和市场环境的变化，在履行适当程序后对上述约定的年化现金支付比率进行调整，并至少在调整前一个月公告，上述调整不须召开份额持有人大会。</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投资有风险，投资人在投资本基金前应认真阅读本基金的招募说明书、基金合同、基金产品资料概要。基金的过往业绩并不代表未来表现。基金管理人管理的其他基金的业绩并不构成对本基金业绩表现的保证。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次更新招募说明书主要对基金经理变更的相关信息进行更新，更新截止日为2026年05月16日，投资范围增加存托凭证、修改基金转换的相关事项的更新截止日为2026年03月02日，除非另有说明，本招募说明书其他所载内容截止日为2025年06月20日，有关财务数据和净值表现截止日为2025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"_Toc234408660"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_Toc234408660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"_Toc234408661"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_Toc234408661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"_Toc234408662"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_Toc234408662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"_Toc234408663"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_Toc234408663 \h </w:instrText>
      </w:r>
      <w:r>
        <w:rPr>
          <w:rFonts w:ascii="宋体" w:hAnsi="宋体"/>
          <w:sz w:val="24"/>
        </w:rPr>
        <w:fldChar w:fldCharType="separate"/>
      </w:r>
      <w:r>
        <w:rPr>
          <w:rFonts w:ascii="宋体" w:hAnsi="宋体"/>
          <w:sz w:val="24"/>
        </w:rPr>
        <w:t>10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"_Toc234408664"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_Toc234408664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"_Toc234408665"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_Toc234408665 \h </w:instrText>
      </w:r>
      <w:r>
        <w:rPr>
          <w:rFonts w:ascii="宋体" w:hAnsi="宋体"/>
          <w:sz w:val="24"/>
        </w:rPr>
        <w:fldChar w:fldCharType="separate"/>
      </w:r>
      <w:r>
        <w:rPr>
          <w:rFonts w:ascii="宋体" w:hAnsi="宋体"/>
          <w:sz w:val="24"/>
        </w:rPr>
        <w:t>21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"_Toc234408666"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_Toc234408666 \h </w:instrText>
      </w:r>
      <w:r>
        <w:rPr>
          <w:rFonts w:ascii="宋体" w:hAnsi="宋体"/>
          <w:sz w:val="24"/>
        </w:rPr>
        <w:fldChar w:fldCharType="separate"/>
      </w:r>
      <w:r>
        <w:rPr>
          <w:rFonts w:ascii="宋体" w:hAnsi="宋体"/>
          <w:sz w:val="24"/>
        </w:rPr>
        <w:t>47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"_Toc234408667"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_Toc234408667 \h </w:instrText>
      </w:r>
      <w:r>
        <w:rPr>
          <w:rFonts w:ascii="宋体" w:hAnsi="宋体"/>
          <w:sz w:val="24"/>
        </w:rPr>
        <w:fldChar w:fldCharType="separate"/>
      </w:r>
      <w:r>
        <w:rPr>
          <w:rFonts w:ascii="宋体" w:hAnsi="宋体"/>
          <w:sz w:val="24"/>
        </w:rPr>
        <w:t>48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"_Toc234408668"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_Toc234408668 \h </w:instrText>
      </w:r>
      <w:r>
        <w:rPr>
          <w:rFonts w:ascii="宋体" w:hAnsi="宋体"/>
          <w:sz w:val="24"/>
        </w:rPr>
        <w:fldChar w:fldCharType="separate"/>
      </w:r>
      <w:r>
        <w:rPr>
          <w:rFonts w:ascii="宋体" w:hAnsi="宋体"/>
          <w:sz w:val="24"/>
        </w:rPr>
        <w:t>49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"_Toc234408669"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_Toc234408669 \h </w:instrText>
      </w:r>
      <w:r>
        <w:rPr>
          <w:rFonts w:ascii="宋体" w:hAnsi="宋体"/>
          <w:sz w:val="24"/>
        </w:rPr>
        <w:fldChar w:fldCharType="separate"/>
      </w:r>
      <w:r>
        <w:rPr>
          <w:rFonts w:ascii="宋体" w:hAnsi="宋体"/>
          <w:sz w:val="24"/>
        </w:rPr>
        <w:t>61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"_Toc234408670" </w:instrText>
      </w:r>
      <w:r>
        <w:fldChar w:fldCharType="separate"/>
      </w:r>
      <w:r>
        <w:rPr>
          <w:rStyle w:val="18"/>
          <w:rFonts w:hint="eastAsia" w:ascii="宋体" w:hAnsi="宋体"/>
          <w:sz w:val="24"/>
        </w:rPr>
        <w:t>十、基金的定期支付</w:t>
      </w:r>
      <w:r>
        <w:rPr>
          <w:rFonts w:ascii="宋体" w:hAnsi="宋体"/>
          <w:sz w:val="24"/>
        </w:rPr>
        <w:tab/>
      </w:r>
      <w:r>
        <w:rPr>
          <w:rFonts w:ascii="宋体" w:hAnsi="宋体"/>
          <w:sz w:val="24"/>
        </w:rPr>
        <w:fldChar w:fldCharType="begin"/>
      </w:r>
      <w:r>
        <w:rPr>
          <w:rFonts w:ascii="宋体" w:hAnsi="宋体"/>
          <w:sz w:val="24"/>
        </w:rPr>
        <w:instrText xml:space="preserve"> PAGEREF _Toc234408670 \h </w:instrText>
      </w:r>
      <w:r>
        <w:rPr>
          <w:rFonts w:ascii="宋体" w:hAnsi="宋体"/>
          <w:sz w:val="24"/>
        </w:rPr>
        <w:fldChar w:fldCharType="separate"/>
      </w:r>
      <w:r>
        <w:rPr>
          <w:rFonts w:ascii="宋体" w:hAnsi="宋体"/>
          <w:sz w:val="24"/>
        </w:rPr>
        <w:t>68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"_Toc234408671" </w:instrText>
      </w:r>
      <w:r>
        <w:fldChar w:fldCharType="separate"/>
      </w:r>
      <w:r>
        <w:rPr>
          <w:rStyle w:val="18"/>
          <w:rFonts w:hint="eastAsia" w:ascii="宋体" w:hAnsi="宋体"/>
          <w:sz w:val="24"/>
        </w:rPr>
        <w:t>十一、基金的投资</w:t>
      </w:r>
      <w:r>
        <w:rPr>
          <w:rFonts w:ascii="宋体" w:hAnsi="宋体"/>
          <w:sz w:val="24"/>
        </w:rPr>
        <w:tab/>
      </w:r>
      <w:r>
        <w:rPr>
          <w:rFonts w:ascii="宋体" w:hAnsi="宋体"/>
          <w:sz w:val="24"/>
        </w:rPr>
        <w:fldChar w:fldCharType="begin"/>
      </w:r>
      <w:r>
        <w:rPr>
          <w:rFonts w:ascii="宋体" w:hAnsi="宋体"/>
          <w:sz w:val="24"/>
        </w:rPr>
        <w:instrText xml:space="preserve"> PAGEREF _Toc234408671 \h </w:instrText>
      </w:r>
      <w:r>
        <w:rPr>
          <w:rFonts w:ascii="宋体" w:hAnsi="宋体"/>
          <w:sz w:val="24"/>
        </w:rPr>
        <w:fldChar w:fldCharType="separate"/>
      </w:r>
      <w:r>
        <w:rPr>
          <w:rFonts w:ascii="宋体" w:hAnsi="宋体"/>
          <w:sz w:val="24"/>
        </w:rPr>
        <w:t>72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"_Toc234408672" </w:instrText>
      </w:r>
      <w:r>
        <w:fldChar w:fldCharType="separate"/>
      </w:r>
      <w:r>
        <w:rPr>
          <w:rStyle w:val="18"/>
          <w:rFonts w:hint="eastAsia" w:ascii="宋体" w:hAnsi="宋体"/>
          <w:sz w:val="24"/>
        </w:rPr>
        <w:t>十二、基金的业绩</w:t>
      </w:r>
      <w:r>
        <w:rPr>
          <w:rFonts w:ascii="宋体" w:hAnsi="宋体"/>
          <w:sz w:val="24"/>
        </w:rPr>
        <w:tab/>
      </w:r>
      <w:r>
        <w:rPr>
          <w:rFonts w:ascii="宋体" w:hAnsi="宋体"/>
          <w:sz w:val="24"/>
        </w:rPr>
        <w:fldChar w:fldCharType="begin"/>
      </w:r>
      <w:r>
        <w:rPr>
          <w:rFonts w:ascii="宋体" w:hAnsi="宋体"/>
          <w:sz w:val="24"/>
        </w:rPr>
        <w:instrText xml:space="preserve"> PAGEREF _Toc234408672 \h </w:instrText>
      </w:r>
      <w:r>
        <w:rPr>
          <w:rFonts w:ascii="宋体" w:hAnsi="宋体"/>
          <w:sz w:val="24"/>
        </w:rPr>
        <w:fldChar w:fldCharType="separate"/>
      </w:r>
      <w:r>
        <w:rPr>
          <w:rFonts w:ascii="宋体" w:hAnsi="宋体"/>
          <w:sz w:val="24"/>
        </w:rPr>
        <w:t>84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"_Toc234408673" </w:instrText>
      </w:r>
      <w:r>
        <w:fldChar w:fldCharType="separate"/>
      </w:r>
      <w:r>
        <w:rPr>
          <w:rStyle w:val="18"/>
          <w:rFonts w:hint="eastAsia" w:ascii="宋体" w:hAnsi="宋体"/>
          <w:sz w:val="24"/>
        </w:rPr>
        <w:t>十三、基金的财产</w:t>
      </w:r>
      <w:r>
        <w:rPr>
          <w:rFonts w:ascii="宋体" w:hAnsi="宋体"/>
          <w:sz w:val="24"/>
        </w:rPr>
        <w:tab/>
      </w:r>
      <w:r>
        <w:rPr>
          <w:rFonts w:ascii="宋体" w:hAnsi="宋体"/>
          <w:sz w:val="24"/>
        </w:rPr>
        <w:fldChar w:fldCharType="begin"/>
      </w:r>
      <w:r>
        <w:rPr>
          <w:rFonts w:ascii="宋体" w:hAnsi="宋体"/>
          <w:sz w:val="24"/>
        </w:rPr>
        <w:instrText xml:space="preserve"> PAGEREF _Toc234408673 \h </w:instrText>
      </w:r>
      <w:r>
        <w:rPr>
          <w:rFonts w:ascii="宋体" w:hAnsi="宋体"/>
          <w:sz w:val="24"/>
        </w:rPr>
        <w:fldChar w:fldCharType="separate"/>
      </w:r>
      <w:r>
        <w:rPr>
          <w:rFonts w:ascii="宋体" w:hAnsi="宋体"/>
          <w:sz w:val="24"/>
        </w:rPr>
        <w:t>87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"_Toc234408674" </w:instrText>
      </w:r>
      <w:r>
        <w:fldChar w:fldCharType="separate"/>
      </w:r>
      <w:r>
        <w:rPr>
          <w:rStyle w:val="18"/>
          <w:rFonts w:hint="eastAsia" w:ascii="宋体" w:hAnsi="宋体"/>
          <w:sz w:val="24"/>
        </w:rPr>
        <w:t>十四、基金资产的估值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_Toc234408674 \h </w:instrText>
      </w:r>
      <w:r>
        <w:rPr>
          <w:rFonts w:ascii="宋体" w:hAnsi="宋体"/>
          <w:sz w:val="24"/>
        </w:rPr>
        <w:fldChar w:fldCharType="separate"/>
      </w:r>
      <w:r>
        <w:rPr>
          <w:rFonts w:ascii="宋体" w:hAnsi="宋体"/>
          <w:sz w:val="24"/>
        </w:rPr>
        <w:t>88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"_Toc234408675" </w:instrText>
      </w:r>
      <w:r>
        <w:fldChar w:fldCharType="separate"/>
      </w:r>
      <w:r>
        <w:rPr>
          <w:rStyle w:val="18"/>
          <w:rFonts w:hint="eastAsia" w:ascii="宋体" w:hAnsi="宋体"/>
          <w:sz w:val="24"/>
        </w:rPr>
        <w:t>十五、基金收益与分配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_Toc234408675 \h </w:instrText>
      </w:r>
      <w:r>
        <w:rPr>
          <w:rFonts w:ascii="宋体" w:hAnsi="宋体"/>
          <w:sz w:val="24"/>
        </w:rPr>
        <w:fldChar w:fldCharType="separate"/>
      </w:r>
      <w:r>
        <w:rPr>
          <w:rFonts w:ascii="宋体" w:hAnsi="宋体"/>
          <w:sz w:val="24"/>
        </w:rPr>
        <w:t>93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"_Toc234408676" </w:instrText>
      </w:r>
      <w:r>
        <w:fldChar w:fldCharType="separate"/>
      </w:r>
      <w:r>
        <w:rPr>
          <w:rStyle w:val="18"/>
          <w:rFonts w:hint="eastAsia" w:ascii="宋体" w:hAnsi="宋体"/>
          <w:sz w:val="24"/>
        </w:rPr>
        <w:t>十六、基金的费用与税收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_Toc234408676 \h </w:instrText>
      </w:r>
      <w:r>
        <w:rPr>
          <w:rFonts w:ascii="宋体" w:hAnsi="宋体"/>
          <w:sz w:val="24"/>
        </w:rPr>
        <w:fldChar w:fldCharType="separate"/>
      </w:r>
      <w:r>
        <w:rPr>
          <w:rFonts w:ascii="宋体" w:hAnsi="宋体"/>
          <w:sz w:val="24"/>
        </w:rPr>
        <w:t>94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"_Toc234408677" </w:instrText>
      </w:r>
      <w:r>
        <w:fldChar w:fldCharType="separate"/>
      </w:r>
      <w:r>
        <w:rPr>
          <w:rStyle w:val="18"/>
          <w:rFonts w:hint="eastAsia" w:ascii="宋体" w:hAnsi="宋体"/>
          <w:sz w:val="24"/>
        </w:rPr>
        <w:t>十七、基金的会计与审计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_Toc234408677 \h </w:instrText>
      </w:r>
      <w:r>
        <w:rPr>
          <w:rFonts w:ascii="宋体" w:hAnsi="宋体"/>
          <w:sz w:val="24"/>
        </w:rPr>
        <w:fldChar w:fldCharType="separate"/>
      </w:r>
      <w:r>
        <w:rPr>
          <w:rFonts w:ascii="宋体" w:hAnsi="宋体"/>
          <w:sz w:val="24"/>
        </w:rPr>
        <w:t>97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"_Toc234408678" </w:instrText>
      </w:r>
      <w:r>
        <w:fldChar w:fldCharType="separate"/>
      </w:r>
      <w:r>
        <w:rPr>
          <w:rStyle w:val="18"/>
          <w:rFonts w:hint="eastAsia" w:ascii="宋体" w:hAnsi="宋体"/>
          <w:sz w:val="24"/>
        </w:rPr>
        <w:t>十八、基金的信息披露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_Toc234408678 \h </w:instrText>
      </w:r>
      <w:r>
        <w:rPr>
          <w:rFonts w:ascii="宋体" w:hAnsi="宋体"/>
          <w:sz w:val="24"/>
        </w:rPr>
        <w:fldChar w:fldCharType="separate"/>
      </w:r>
      <w:r>
        <w:rPr>
          <w:rFonts w:ascii="宋体" w:hAnsi="宋体"/>
          <w:sz w:val="24"/>
        </w:rPr>
        <w:t>98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"_Toc234408679" </w:instrText>
      </w:r>
      <w:r>
        <w:fldChar w:fldCharType="separate"/>
      </w:r>
      <w:r>
        <w:rPr>
          <w:rStyle w:val="18"/>
          <w:rFonts w:hint="eastAsia" w:ascii="宋体" w:hAnsi="宋体"/>
          <w:sz w:val="24"/>
        </w:rPr>
        <w:t>十九、侧袋机制</w:t>
      </w:r>
      <w:r>
        <w:rPr>
          <w:rFonts w:ascii="宋体" w:hAnsi="宋体"/>
          <w:sz w:val="24"/>
        </w:rPr>
        <w:tab/>
      </w:r>
      <w:r>
        <w:rPr>
          <w:rFonts w:ascii="宋体" w:hAnsi="宋体"/>
          <w:sz w:val="24"/>
        </w:rPr>
        <w:fldChar w:fldCharType="begin"/>
      </w:r>
      <w:r>
        <w:rPr>
          <w:rFonts w:ascii="宋体" w:hAnsi="宋体"/>
          <w:sz w:val="24"/>
        </w:rPr>
        <w:instrText xml:space="preserve"> PAGEREF _Toc234408679 \h </w:instrText>
      </w:r>
      <w:r>
        <w:rPr>
          <w:rFonts w:ascii="宋体" w:hAnsi="宋体"/>
          <w:sz w:val="24"/>
        </w:rPr>
        <w:fldChar w:fldCharType="separate"/>
      </w:r>
      <w:r>
        <w:rPr>
          <w:rFonts w:ascii="宋体" w:hAnsi="宋体"/>
          <w:sz w:val="24"/>
        </w:rPr>
        <w:t>104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"_Toc234408680" </w:instrText>
      </w:r>
      <w:r>
        <w:fldChar w:fldCharType="separate"/>
      </w:r>
      <w:r>
        <w:rPr>
          <w:rStyle w:val="18"/>
          <w:rFonts w:hint="eastAsia" w:ascii="宋体" w:hAnsi="宋体"/>
          <w:sz w:val="24"/>
        </w:rPr>
        <w:t>二十、风险揭示</w:t>
      </w:r>
      <w:r>
        <w:rPr>
          <w:rFonts w:ascii="宋体" w:hAnsi="宋体"/>
          <w:sz w:val="24"/>
        </w:rPr>
        <w:tab/>
      </w:r>
      <w:r>
        <w:rPr>
          <w:rFonts w:ascii="宋体" w:hAnsi="宋体"/>
          <w:sz w:val="24"/>
        </w:rPr>
        <w:fldChar w:fldCharType="begin"/>
      </w:r>
      <w:r>
        <w:rPr>
          <w:rFonts w:ascii="宋体" w:hAnsi="宋体"/>
          <w:sz w:val="24"/>
        </w:rPr>
        <w:instrText xml:space="preserve"> PAGEREF _Toc234408680 \h </w:instrText>
      </w:r>
      <w:r>
        <w:rPr>
          <w:rFonts w:ascii="宋体" w:hAnsi="宋体"/>
          <w:sz w:val="24"/>
        </w:rPr>
        <w:fldChar w:fldCharType="separate"/>
      </w:r>
      <w:r>
        <w:rPr>
          <w:rFonts w:ascii="宋体" w:hAnsi="宋体"/>
          <w:sz w:val="24"/>
        </w:rPr>
        <w:t>107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"_Toc234408681" </w:instrText>
      </w:r>
      <w:r>
        <w:fldChar w:fldCharType="separate"/>
      </w:r>
      <w:r>
        <w:rPr>
          <w:rStyle w:val="18"/>
          <w:rFonts w:hint="eastAsia" w:ascii="宋体" w:hAnsi="宋体"/>
          <w:sz w:val="24"/>
        </w:rPr>
        <w:t>二十一、基金合同的变更、终止与基金财产的清算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_Toc234408681 \h </w:instrText>
      </w:r>
      <w:r>
        <w:rPr>
          <w:rFonts w:ascii="宋体" w:hAnsi="宋体"/>
          <w:sz w:val="24"/>
        </w:rPr>
        <w:fldChar w:fldCharType="separate"/>
      </w:r>
      <w:r>
        <w:rPr>
          <w:rFonts w:ascii="宋体" w:hAnsi="宋体"/>
          <w:sz w:val="24"/>
        </w:rPr>
        <w:t>114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"_Toc234408682" </w:instrText>
      </w:r>
      <w:r>
        <w:fldChar w:fldCharType="separate"/>
      </w:r>
      <w:r>
        <w:rPr>
          <w:rStyle w:val="18"/>
          <w:rFonts w:hint="eastAsia" w:ascii="宋体" w:hAnsi="宋体"/>
          <w:sz w:val="24"/>
        </w:rPr>
        <w:t>二十二、基金合同内容摘要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_Toc234408682 \h </w:instrText>
      </w:r>
      <w:r>
        <w:rPr>
          <w:rFonts w:ascii="宋体" w:hAnsi="宋体"/>
          <w:sz w:val="24"/>
        </w:rPr>
        <w:fldChar w:fldCharType="separate"/>
      </w:r>
      <w:r>
        <w:rPr>
          <w:rFonts w:ascii="宋体" w:hAnsi="宋体"/>
          <w:sz w:val="24"/>
        </w:rPr>
        <w:t>116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"_Toc234408683" </w:instrText>
      </w:r>
      <w:r>
        <w:fldChar w:fldCharType="separate"/>
      </w:r>
      <w:r>
        <w:rPr>
          <w:rStyle w:val="18"/>
          <w:rFonts w:hint="eastAsia" w:ascii="宋体" w:hAnsi="宋体"/>
          <w:sz w:val="24"/>
        </w:rPr>
        <w:t>二十三、托管协议的内容摘要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_Toc234408683 \h </w:instrText>
      </w:r>
      <w:r>
        <w:rPr>
          <w:rFonts w:ascii="宋体" w:hAnsi="宋体"/>
          <w:sz w:val="24"/>
        </w:rPr>
        <w:fldChar w:fldCharType="separate"/>
      </w:r>
      <w:r>
        <w:rPr>
          <w:rFonts w:ascii="宋体" w:hAnsi="宋体"/>
          <w:sz w:val="24"/>
        </w:rPr>
        <w:t>131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"_Toc234408684" </w:instrText>
      </w:r>
      <w:r>
        <w:fldChar w:fldCharType="separate"/>
      </w:r>
      <w:r>
        <w:rPr>
          <w:rStyle w:val="18"/>
          <w:rFonts w:hint="eastAsia" w:ascii="宋体" w:hAnsi="宋体"/>
          <w:sz w:val="24"/>
        </w:rPr>
        <w:t>二十四、对基金份额持有人的服务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_Toc234408684 \h </w:instrText>
      </w:r>
      <w:r>
        <w:rPr>
          <w:rFonts w:ascii="宋体" w:hAnsi="宋体"/>
          <w:sz w:val="24"/>
        </w:rPr>
        <w:fldChar w:fldCharType="separate"/>
      </w:r>
      <w:r>
        <w:rPr>
          <w:rFonts w:ascii="宋体" w:hAnsi="宋体"/>
          <w:sz w:val="24"/>
        </w:rPr>
        <w:t>147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"_Toc234408685" </w:instrText>
      </w:r>
      <w:r>
        <w:fldChar w:fldCharType="separate"/>
      </w:r>
      <w:r>
        <w:rPr>
          <w:rStyle w:val="18"/>
          <w:rFonts w:hint="eastAsia" w:ascii="宋体" w:hAnsi="宋体"/>
          <w:sz w:val="24"/>
        </w:rPr>
        <w:t>二十五、其他应披露事项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_Toc234408685 \h </w:instrText>
      </w:r>
      <w:r>
        <w:rPr>
          <w:rFonts w:ascii="宋体" w:hAnsi="宋体"/>
          <w:sz w:val="24"/>
        </w:rPr>
        <w:fldChar w:fldCharType="separate"/>
      </w:r>
      <w:r>
        <w:rPr>
          <w:rFonts w:ascii="宋体" w:hAnsi="宋体"/>
          <w:sz w:val="24"/>
        </w:rPr>
        <w:t>149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"_Toc234408686" </w:instrText>
      </w:r>
      <w:r>
        <w:fldChar w:fldCharType="separate"/>
      </w:r>
      <w:r>
        <w:rPr>
          <w:rStyle w:val="18"/>
          <w:rFonts w:hint="eastAsia" w:ascii="宋体" w:hAnsi="宋体"/>
          <w:sz w:val="24"/>
        </w:rPr>
        <w:t>二十六、招募说明书的存放及查阅方式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_Toc234408686 \h </w:instrText>
      </w:r>
      <w:r>
        <w:rPr>
          <w:rFonts w:ascii="宋体" w:hAnsi="宋体"/>
          <w:sz w:val="24"/>
        </w:rPr>
        <w:fldChar w:fldCharType="separate"/>
      </w:r>
      <w:r>
        <w:rPr>
          <w:rFonts w:ascii="宋体" w:hAnsi="宋体"/>
          <w:sz w:val="24"/>
        </w:rPr>
        <w:t>152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"_Toc234408687" </w:instrText>
      </w:r>
      <w:r>
        <w:fldChar w:fldCharType="separate"/>
      </w:r>
      <w:r>
        <w:rPr>
          <w:rStyle w:val="18"/>
          <w:rFonts w:hint="eastAsia" w:ascii="宋体" w:hAnsi="宋体"/>
          <w:sz w:val="24"/>
        </w:rPr>
        <w:t>二十七、备查文件</w:t>
      </w:r>
      <w:r>
        <w:rPr>
          <w:rFonts w:ascii="宋体" w:hAnsi="宋体"/>
          <w:sz w:val="24"/>
        </w:rPr>
        <w:tab/>
      </w:r>
      <w:r>
        <w:rPr>
          <w:rFonts w:ascii="宋体" w:hAnsi="宋体"/>
          <w:sz w:val="24"/>
        </w:rPr>
        <w:fldChar w:fldCharType="begin"/>
      </w:r>
      <w:r>
        <w:rPr>
          <w:rFonts w:ascii="宋体" w:hAnsi="宋体"/>
          <w:sz w:val="24"/>
        </w:rPr>
        <w:instrText xml:space="preserve"> PAGEREF _Toc234408687 \h </w:instrText>
      </w:r>
      <w:r>
        <w:rPr>
          <w:rFonts w:ascii="宋体" w:hAnsi="宋体"/>
          <w:sz w:val="24"/>
        </w:rPr>
        <w:fldChar w:fldCharType="separate"/>
      </w:r>
      <w:r>
        <w:rPr>
          <w:rFonts w:ascii="宋体" w:hAnsi="宋体"/>
          <w:sz w:val="24"/>
        </w:rPr>
        <w:t>153</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4408661"/>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定期支付月月丰债券型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定期支付月月丰债券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4408662"/>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1、基金或本基金：指交银施罗德定期支付月月丰债券型证券投资基金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4、基金合同：指《交银施罗德定期支付月月丰债券型证券投资基金基金合同》及对该基金合同的任何有效修订和补充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5、托管协议：指基金管理人与基金托管人就本基金签订之《交银施罗德定期支付月月丰债券型证券投资基金托管协议》及对该托管协议的任何有效修订和补充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6、招募说明书或本招募说明书：指《交银施罗德定期支付月月丰债券型证券投资基金招募说明书》及其更新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7、基金份额发售公告：指《交银施罗德定期支付月月丰债券型证券投资基金基金份额发售公告》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8、基金产品资料概要：指《交银施罗德定期支付月月丰债券型证券投资基金基金产品资料概要》及其更新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10、中国：指中华人民共和国（仅为基金合同之目的，不包括香港特别行政区、澳门特别行政区及台湾地区）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11、《基金法》：指2003年10月28日经第十届全国人民代表大会常务委员会第五次会议通过，自2004年6月1日起实施的《中华人民共和国证券投资基金法》及颁布机关对其不时做出的修订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12、《销售办法》：指中国证监会2013年3月15日颁布、同年6月1日实施的《证券投资基金销售管理办法》及颁布机关对其不时做出的修订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13、《信息披露办法》：指中国证监会2019年7月26日颁布、同年9月1日实施的《公开募集证券投资基金信息披露管理办法》及颁布机关对其不时做出的修订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14、《运作办法》：指中国证监会2004年6月29日颁布、同年7月1日实施的《证券投资基金运作管理办法》及颁布机关对其不时做出的修订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17、银行业监督管理机构：指中国人民银行和/或中国银行业监督管理委员会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20、机构投资者：指依法可以投资证券投资基金的、在中国境内合法登记并存续或经有关政府部门批准设立并存续的企业法人、事业法人、社会团体或其他组织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22、投资人或投资者：指个人投资者、机构投资者和合格境外机构投资者以及法律法规或中国证监会允许购买证券投资基金的其他投资人的合称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25、直销机构：指交银施罗德基金管理有限公司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26、代销机构：指符合《销售办法》和中国证监会规定的其他条件，取得基金销售业务资格并与基金管理人签订了基金销售服务代理协议，代为办理基金销售业务的机构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27、销售机构：指直销机构和代销机构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30、开放式基金账户：指登记机构为投资人开立的、记录其持有的、基金管理人所管理的基金份额余额及其变动情况的账户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39、开放日：指为投资人办理基金份额申购、赎回或其他业务的工作日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业务规则》：指《中国证券登记结算有限责任公司开放式证券投资基金及证券公司集合资产管理计划份额登记及资金结算业务指南》，是规范基金管理人所管理的开放式证券投资基金登记方面的业务规则，由基金管理人和投资人共同遵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45、销售服务费：指从基金资产中计提的，用于本基金市场推广、销售以及基金份额持有人服务的费用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基金份额类别：指本基金根据认购/申购费用、赎回费用、销售服务费收取方式的不同，将基金份额分为不同的类别。在投资者认购/申购时收取前端认购/申购费用、赎回时收取赎回费用的，称为A类基金份额；在投资者认购/申购时不收取认购/申购费用、赎回时收取赎回费用，并从本类别基金资产中计提销售服务费的，称为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基金转换：指基金份额持有人按照本基金合同和基金管理人届时有效公告规定的条件，申请将其持有基金管理人管理的、某一基金的基金份额转换为该基金其他份额（如有）或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定期定额投资计划：指投资人通过有关销售机构提出申请，约定每期申购日、扣款金额及扣款方式，由指定的销售机构在投资人指定银行账户内自动完成扣款并于每期约定的申购日提交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巨额赎回：指本基金单个开放日，基金净赎回申请（赎回申请份额总数加上基金转换中转出申请份额总数后扣除申购申请份额总数及基金转换中转入申请份额总数后的余额，定期支付时的自动赎回份额不纳入以上赎回份额计算）超过上一开放日基金总份额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53、基金资产总值：指基金拥有的各类有价证券、银行存款本息、基金应收申购款及其他资产的价值总和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57、定期支付：指本基金按照基金合同的约定，每月定期向基金份额持有人支付一定现金的业务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62、不可抗力：指本基金合同当事人不能预见、不能避免且不能克服的客观事件。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4408663"/>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纯债债券型发起式证券投资基金(2018年08月29日至2025年01月15日)、交银施罗德裕如纯债债券型证券投资基金(2018年08月29日至2023年09月11日)、交银施罗德丰晟收益债券型证券投资基金(2018年08月29日至2020年10月16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高扬先生:</w:t>
      </w:r>
      <w:bookmarkStart w:id="30" w:name="_GoBack"/>
      <w:bookmarkEnd w:id="30"/>
      <w:r>
        <w:rPr>
          <w:rFonts w:ascii="宋体" w:hAnsi="宋体"/>
          <w:sz w:val="24"/>
        </w:rPr>
        <w:t>基金经理。北京大学计算机科学与技术硕士、经济学学士，北京邮电大学信息工程学士。10年证券投资行业从业经验。2016年加入交银施罗德基金管理有限公司，曾任行业分析师，现任权益部基金经理。现任交银施罗德科锐科技创新混合型证券投资基金(2021年08月11日至今)、交银施罗德数据产业灵活配置混合型证券投资基金(2024年06月18日至今)、交银施罗德启合混合型证券投资基金(2024年11月27日至今)、交银施罗德定期支付月月丰债券型证券投资基金(2026年05月16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李家春先生(2013年08月13日至2014年08月20日)；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赵凌琦女士(2013年09月03日至2015年08月14日)；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孙超先生(2014年08月26日至2017年06月21日)；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于海颖女士(2017年06月10日至2019年03月14日)；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凌超先生(2018年02月13日至2020年07月22日)；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唐赟先生(2020年07月14日至2024年12月27日)；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邵文婷女士(2022年11月30日至2024年12月27日)。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上述人员之间无近亲属关系。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（5）依照法律法规有关规定，由中国证监会规定禁止的其他行为。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4408664"/>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注册资本：贰仟陆佰壹拾陆亿零叁拾捌万壹仟肆佰伍拾玖元整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联系人：王小飞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联系电话：(021)6063 7103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1、监督方法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(2)收到基金管理人的划款指令后，对指令要素等内容进行核查。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4408665"/>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（1）名称：江苏江南农村商业银行股份有限公司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法定代表人：陆向阳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电话：0519-80585939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传真：0519-89995170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网址：http://www.jnbank.com.cn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（5）名称：上海银行股份有限公司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住所：上海市银城中路168号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办公地址：上海市银城中路168号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法定代表人：金煜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电话：（021）68475888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传真：（021）68476111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客户服务电话：（021）962888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网址：www.bankofshanghai.com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（7）名称：江苏常熟农村商业银行股份有限公司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住所：江苏省常熟市新世纪大道58号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办公地址：江苏省常熟市新世纪大道58号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法定代表人：宋建明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联系电话：（0512）52909128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传真：（0512）52909122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客户服务电话：962000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（8）名称：东莞农村商业银行股份有限公司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（11）名称：光大证券股份有限公司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（15）名称：第一创业证券股份有限公司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（17）名称：粤开证券股份有限公司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注册地址：广州市黄埔区科学大道60号开发区控股中心19、22、23层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办公地址：广州市黄埔区科学大道60号开发区控股中心19、22、23层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法定代表人：郭川舟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客服电话：95564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网址：www.ykzq.com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（18）名称：国新证券股份有限公司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（19）名称：西南证券股份有限公司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住所：重庆市江北区桥北苑8号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办公地址：重庆市江北区桥北苑8号西南证券大厦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电话：（023）63786141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传真：（023）63786212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客户服务电话：95355、400-809-6096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网址：www.swsc.com.cn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（20）名称：信达证券股份有限公司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（21）名称：渤海证券股份有限公司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住所：天津经济技术开发区第二大街42号写字楼101室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办公地址：天津市南开区宾水西道8号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法定代表人：安志勇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电话：（022）28451991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传真：（022）28451892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956066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网址：www.ewww.com.cn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（23）名称：长城证券有限责任公司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（24）名称：瑞银证券有限责任公司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住所：北京市西城区金融大街7号英蓝国际金融中心12层、15层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办公地址：北京市西城区金融大街7号英蓝国际金融中心12层、15层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法定代表人：程宜荪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电话：（010）58328112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传真：（010）58328740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联系人：牟冲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客户服务电话：400-887-8827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网址：www.ubssecurities.com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（25）名称：中国国际金融股份有限公司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（27）名称：中泰证券股份有限公司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办公地址：济南市高新区经十路7000号汉峪金融商务中心五区3号楼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（31）名称：国都证券股份有限公司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（36）名称：北京广源达信基金销售有限公司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注册地址：北京市西城区新街口外大街28号C座六层605室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办公地址：北京市顺义区天祥路6号院北京东航中心T1A-304B室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法定代表人：齐剑辉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联系人：赵明锦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网址：https://www.niuniufund.com/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（65）名称：天相投资顾问有限公司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（二）注册登记机构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负责人：陈臻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联系人：黎明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经办律师：吕红、黎明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名称：容诚会计师事务所（特殊普通合伙）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办公地址：北京市西城区阜成门外大街22号1幢外经贸大厦901-22至901-26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执行事务合伙人：肖厚发、刘维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传真：010-66001391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联系人：李隐煜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经办会计师：沈兆杰、李隐煜</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4408666"/>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本基金由基金管理人依照《基金法》、《运作办法》、基金合同及其他有关规定，并经中国证监会证监许可[2013]754号文核准募集发售。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本基金为契约型开放式债券型基金。基金存续期间为不定期。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本基金自2013年7月19日至2013年8月8日进行发售。本基金设立募集期共募集344,340,245.54份基金份额，有效认购户数为2,061户。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4408667"/>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根据有关规定，本基金满足基金合同生效条件，基金合同已于2013年8月13日正式生效。自基金合同生效之日起，本基金管理人正式开始管理本基金。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4408668"/>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由投资人主动申请办理的申购、赎回等业务适用本部分的约定。本基金定期支付发起的自动赎回适用本招募说明书第十部分“基金的定期支付”的约定。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本基金直销机构为本公司以及本公司的网上直销交易平台。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本基金的代销机构参见本招募说明书“五、相关服务机构”章节或拨打本公司客户服务电话进行咨询。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投资人可通过上述销售机构办理基金申购、赎回业务的营业场所或按上述销售机构提供的其他方式进行申购或赎回。本基金管理人可根据情况变更或增减基金代销机构，并在管理人网站公示。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2、申购的开始日及业务办理时间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本基金已于2013年11月12日起开放申购业务。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3、赎回的开始日及业务办理时间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本基金已于2013年11月12日起开放赎回业务。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本公司网上直销交易平台办理基金申购业务的不受直销机构单笔申购最低金额的限制，申购最低金额为单笔1元。本基金直销机构单笔申购最低金额可由基金管理人酌情调整。各代销机构接受申购申请的最低金额为单笔1元，如果代销机构业务规则规定的最低单笔申购金额高于1元，以代销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定期支付发起的自动赎回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前依照《信息披露办法》的有关规定在指定的媒体上刊登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当月进行定期支付，当月自动赎回用以定期支付的基金份额从当月定期支付基准日（T日）的下一工作日起（含该日）从投资人的基金交易账户中扣减，基金交易账户中扣减后的基金份额余额自T+2日起（含该日）方可查询，可能会导致基金份额持有人在定期支付基准日（T日）的下一工作日（T+1日）提交的赎回或转换出申请因提交申请的份额余额大于实际的份额余额而被确认失败。对于发生基金份额持有人在T+1日提交的赎回申请因提交申请的份额余额大于实际的份额余额而被确认失败的情形，基金管理人有权对该基金份额持有人全部的可用剩余份额发起强制赎回，强制赎回的确认结果以注册登记机构确认结果为准；对于确认失败的转换申请，基金管理人不进行上述强制赎回的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无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到销售网点柜台或以销售机构规定的其他方式查询申请的确认情况。若申购不成功，则申购款项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投资人赎回申请成功后，基金管理人将在T＋7日（包括该日）内支付赎回款项。在发生巨额赎回时，款项的支付办法参照本基金合同有关条款处理。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（1）投资人T日申购基金成功后，正常情况下，登记机构在T＋1日为投资人增加权益并办理注册登记手续，投资人自T＋2日起（包括该日）有权赎回该部分基金份额。投资人应及时查询有关申请的确认情况。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（2）投资人T日赎回基金成功后，正常情况下，登记机构在T＋1日为投资人扣除权益并办理相应的注册登记手续。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（3）基金管理人可在法律法规允许的范围内，对上述注册登记办理时间进行调整，并于开始实施前按照《信息披露办法》的有关规定在指定媒介上公告并报中国证监会备案。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本基金基金份额分为A类和C类基金份额。投资人申购A类基金份额支付申购费用，申购C类基金份额不支付申购费用，而是从该类别基金资产中计提销售服务费。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本基金A类基金份额的申购费用由A类基金份额申购人承担，不列入基金财产，主要用于本基金的市场推广、销售、登记等各项费用。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投资人可以多次申购本基金，申购费率按每笔申购申请单独计算。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A类基金份额前端申购费率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持有A类基金份额的投资人因红利自动再投资而产生的基金份额，不收取相应的申购费用。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基金份额收取赎回费用，该费用随基金份额的持有时间递减。本基金基金份额的赎回费用由基金份额赎回人承担，在基金份额持有人赎回基金份额时收取，不低于赎回费总额的25%应归基金财产，其余用于支付注册登记费和其他必要的手续费。其中，对持续持有期少于7日的基金份额持有人收取不低于1.5%的赎回费并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7日（含）—1年（含）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1年—2年（含）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的有效份额按实际确认的申购金额在扣除相应的费用（如有）后，以当日基金份额净值为基准计算，申购份额计算结果保留到小数点后2位，小数点后两位以后的部分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有效赎回份额乘以当日基金份额净值并扣除相应的费用（如有），赎回金额计算结果保留到小数点后2位，小数点后两位以后的部分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 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例一：某投资人投资40,000元申购本基金的A类基金份额，假设申购当日A类基金份额净值为1.0400元，申购费率为0.8%，则其可得到的申购份额为：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申购总金额＝40,000元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净申购金额=40,000/（1+0.8%）=39,682.54元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申购费用=40,000-39,682.54=317.46元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申购份额=（40,000-317.46）/1.0400=38,156.29份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例二：某投资人投资100,000元申购本基金的C类基金份额，假设申购当日C类基金份额净值为1.0400元，则其可得到的申购份额为：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例三：某投资人赎回认购（申购）持有的10,000份A类基金份额，对应的赎回费率为0.1%，假设赎回当日A类基金份额净值是1.0160元，则其可得到的赎回金额为：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 = 10,000×1.0160×0.1% ＝ 10.16元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 = 10,000×1.0160-10.16 ＝ 10,149.84元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即：投资人赎回本基金10,000份A类基金份额，假设赎回当日A类基金份额净值是1.0160元，则其可得到的赎回金额为10,149.84元。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投资人赎回C类基金份额，赎回金额的计算方法如下：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赎回费用=赎回份额×T日C类基金份额净值×赎回费率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赎回金额=赎回份额×T日C类基金份额净值-赎回费用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例四：某投资人赎回100,000份C类基金份额，对应的赎回费率为0，假设赎回当日C类基金份额净值是1.2500元，则其可得到的赎回金额为：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赎回费用=100,000×1.2500×0=0 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赎回金额=100,000×1.2500-0=125,000 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即：投资人赎回100,000份C类基金份额，对应的赎回费率为0，假设赎回当日C类基金份额净值是1.2500元，则其可得到的赎回金额为125,000元。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同类别的基金份额T日的基金份额净值在当天收市后计算，并在T＋1日内公告。遇特殊情况，经中国证监会同意，可以适当延迟计算或公告。本基金基金份额净值的计算，保留到小数点后4位，小数点后第5位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4、基金管理人认为接受某笔或某些申购申请可能会影响或损害现有基金份额持有人利益时。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8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定期支付时的自动赎回份额不纳入以上赎回份额计算）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2、暂停结束，基金重新开放申购或赎回时，基金管理人应依照《信息披露管理办法》的有关规定，不迟于重新开放日在指定媒介上刊登基金重新开放申购或赎回公告，并公告最近1个开放日的基金份额净值。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如果基金管理人、登记机构、办理转托管的销售机构出现技术系统性能限制或出于其它合理原因，可以暂停该业务或者拒绝基金份额持有人的转托管申请。</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2013年11月7日刊登公告自2013年11月12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（十七）基金份额的折算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基金合同生效后，本基金可以进行份额折算。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1、基金份额折算的时间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基金管理人应事先确定基金份额折算日，并依照《信息披露办法》的有关规定提前公告。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2、基金份额折算的原则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基金份额折算由基金管理人向登记机构申请办理，并由登记机构进行基金份额的变更登记。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如果基金份额折算过程中发生不可抗力，基金管理人可延迟办理基金份额折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3、基金份额折算的方法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基金份额折算的具体方法在基金份额折算公告中列示。</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4408669"/>
      <w:r>
        <w:rPr>
          <w:rFonts w:ascii="Times New Roman" w:hAnsi="Times New Roman"/>
          <w:sz w:val="30"/>
        </w:rPr>
        <w:t>九、基金的转换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本基金2013年11月7日刊登公告自2013年11月12日起开放日常转换业务。本基金2026年3月3日刊登公告自2026年3月3日起开放开通同一基金不同类别基金份额转换业务。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个人投资者通过本基金管理人网上直销交易平台的单笔转换份额不得低于1份，投资者可将其全部或部分基金份额转换成其它基金，单笔转换申请不受转入基金最低申购限额限制。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4408670"/>
      <w:r>
        <w:rPr>
          <w:rFonts w:ascii="Times New Roman" w:hAnsi="Times New Roman"/>
          <w:sz w:val="30"/>
        </w:rPr>
        <w:t>十、基金的定期支付</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按照基金合同的约定，每月定期通过自动赎回基金份额向基金份额持有人支付一定现金，具体而言，本基金按照本招募说明书约定的年化现金支付比率，以约定的定期支付基准日的基金份额净值为基础，计算当期基金份额持有人可获得支付的现金，并自动赎回基金份额持有人所持的对应金额的基金份额，以该自动赎回的资金向基金份额持有人进行现金支付。上述自动赎回基金份额由基金管理人发起而无需基金份额持有人另行提交赎回申请。基金份额持有人并无需就此类自动赎回支付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来在法律法规允许的前提下，基金管理人可在履行适当程序后采用除自动赎回基金份额以外的其他方式进行定期支付，并在新的方式开始实施前依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（一）定期支付的时间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基金每月对投资人进行1次定期支付，若基金合同生效不满3个月可不进行支付。发生下列情形时，基金管理人可暂停当月的定期支付：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1、因不可抗力导致基金管理人不能支付定期支付的款项。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2、定期支付基准日发生基金合同规定的暂停基金资产估值情况。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3、定期支付基准日证券交易所交易时间临时停市，导致基金管理人无法计算当日基金资产净值。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4、定期支付基准日发生基金合同第六部分约定的暂停赎回或者延缓支付赎回款项的情形且基金管理人决定暂停接受投资人的赎回申请或者延缓支付赎回款项。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发生上述情形之一且基金管理人决定暂停当月的定期支付时，基金管理人应当根据有关规定在指定媒介上刊登暂停定期支付业务公告并报中国证监会备案。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（二）定期支付的支付基准日、权益登记日及款项支付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进行定期支付的，当月的第一个工作日（T日）为本基金的定期支付基准日，该月的现金支付金额以该日的基金资产净值为基础计算得出。当月的第一个工作日（T日）也是该月定期支付的权益登记日，即该日登记在册的基金份额持有人为该月定期支付的对象。对于T日登记在册的基金份额持有人，登记机构在T＋1日确定自动赎回用于现金支付的基金份额数并将上述用于现金支付的基金份额从基金份额持有人账户中进行扣减。基金管理人将通过登记机构及其相关销售机构在T＋7日（包括该日）内将支付款项划往基金份额持有人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基金管理人可在法律法规允许的范围内，依法对上述定期支付的时间安排进行调整，并必须在调整实施日前按照《信息披露办法》的有关规定在指定媒介上公告并报中国证监会备案。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（三）定期支付金额的计算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每次定期支付按照年化现金支付比率计算现金支付金额并自动赎回对应金额的基金份额数以用于向基金份额持有人进行现金支付，现金支付金额和自动赎回用于现金支付的基金份额按照单个基金交易账户进行计算，具体计算公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39.75pt;width:10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14.25pt;width:78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7" o:spt="75" type="#_x0000_t75" style="height:14.25pt;width:57.75pt;" filled="f" o:preferrelative="t" stroked="f" coordsize="21600,21600">
            <v:path/>
            <v:fill on="f" focussize="0,0"/>
            <v:stroke on="f" joinstyle="miter"/>
            <v:imagedata r:id="rId14"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Di为第i次定期支付权益登记日登记在册的每份基金份额对应的现金支付金额；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ni为第i次定期支付该基金交易账户对应的自动赎回用于现金支付的份额数，计算结果四舍五入保留到小数点后两位；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Ci为第i次定期支付该基金交易账户实际可获得的现金支付金额，计算结果四舍五入保留到小数点后两位；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Pi为第i次定期支付权益登记日的基金份额净值；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R为年化现金支付比率；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ti（i&gt;1）为第i-1次定期支付权益登记日（不含该日）至第i次定期支付权益登记日（含该日）之间的天数，t1为基金合同生效日（含该日）至第1次定期支付权益登记日（含该日）之间的天数；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T为365天；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Mi为第i次定期支付权益登记日基金份额持有人在该基金交易账户确认持有的份额数。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由于计算过程尾差的处理，投资人实际可获得的现金支付金额（即Ci），与按照每份基金份额对应的现金支付金额乘以其权益登记日持有的份额数（即Di×Mi）计算得到的结果可能存在一定尾差。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当前的年化现金支付比率为3%，基金管理人可以根据基金实际运作情况和市场环境的变化，在履行适当程序后对上述约定的年化现金支付比率进行调整，并至少在调整前一个月公告，上述调整不须召开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假设本基金合同生效日为2013年1月8日，于2013年3月进行了第一次定期支付，2013年3月1日为当月定期支付基准日和权益登记日，假设该日的基金份额净值为1.010元，2013年1月8（含）至2013年3月1日（含）之间的天数为53天，则该次定期支付每份基金份额对应的现金支付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D1= 1.010×(3%×53/365)=0.004400元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若某基金份额持有人的基金交易账户在2013年3月1日确认持有的份额数为1,000份，则第一次定期支付该基金交易账户对应的自动赎回用于现金支付的份额数为：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n1=1,000×1.010×(3%×53/365)/ 1.010=4.36份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第一次定期支付该基金交易账户实际可获得的现金支付金额为：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C1=4.36×1.010=4.40元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例八：延续例四的假设条件，假设本基金于2013年4月进行了第二次定期支付， 2013年5月因为发生了基金合同约定暂停定期支付的情形且基金管理人决定暂停了当月的定期支付，本基金又于2013年6月进行第三次定期支付。2013年4月1日和6月3日分别为第二次和第三次定期支付的基准日和权益登记日，假设2013年4月1日的基金份额净值为0.996元，2013年6月3日的基金份额净值为1.018元， 2013年3月1（不含）至2013年4月1日（含）之间的天数为31天，2013年4月1（不含）至2013年6月3日（含）之间的天数为63天，则第二次和第三次定期支付每份基金份额对应的现金支付金额分别为：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D2=0.996×(3%×31/365)=0.002538元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D3=1.018×(3%×63/365)=0.005271元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若某基金份额持有人的基金交易账户在2013年4月1日和6月3日确认持有的份额数仍为1,000份，则第二次和第三次定期支付该基金交易账户对应的自动赎回用于现金支付的份额数分别为：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n2=1000×0.996×(3%×31/365)/0.996=2.55份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n3=1000×1.018×(3%×63/365)/1.018=4.88份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第二次和第三次定期支付该基金交易账户实际可获得的现金支付金额分别为：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C2=2.55×0.996=2.54元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C3=4.88×1.018=4.97元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（四）定期支付的确认原则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1、定期支付每期自动赎回用以现金支付的基金份额时，按“先进先出”的原则进行处理，即先自动赎回登记确认日期在先的基金份额；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登记机构办理登记业务时，基金份额持有人主动发起的份额减少业务（包括赎回、转换出及转托管出）或者登记机构发起的其他非定期支付份额减少业务的确认原则上优先于定期支付业务的确认；每期自动赎回用以定期支付的基金份额时，若因当日该账户同时有其他的份额减少业务被确认而导致基金份额余额不足时，当期的定期支付业务将被确认失败，即该账户当期不进行现金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九：假设本基金于2013年7月进行了定期支付，2013年7月1日为当月定期支付的基准日和权益登记日。假设某基金份额持有人的基金交易账户在2013年7月1日确认持有的份额数为10,000份，根据计算公式计算当月该基金交易账户对应的自动赎回用于现金支付的份额数为65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该基金份额持有人于2013年7月1日提交申请赎回份额9,500份，该赎回申请将优先于定期支付自动赎回业务被确认，确认后该基金账户的剩余份额为500份，高于定期支付自动赎回的份额，则该次定期支付业务也被确认成功，即该份额持有人除获得申请赎回份额的赎回款，还将获得该次定期支付的现金支付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该基金份额持有人于2013年7月1日提交申请赎回份额9,940份，该赎回申请将优先于定期支付自动赎回业务被确认，确认后该基金账户的剩余份额为60份，低于定期支付自动赎回的份额，则该次定期支付业务将被确认失败，即该账户当月不再进行现金支付，该份额持有人只获得申请赎回份额的赎回款。</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4408671"/>
      <w:r>
        <w:rPr>
          <w:rFonts w:ascii="Times New Roman" w:hAnsi="Times New Roman"/>
          <w:sz w:val="30"/>
        </w:rPr>
        <w:t>十一、基金的投资</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本基金精选具有较高息票率的债券，以获取稳定的债息收入，并通过适当参与股票市场，力争实现基金资产的长期增值。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货币市场工具、权证以及法律法规或中国证监会允许基金投资的其他金融工具（但须符合中国证监会的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固定收益类资产的比例不低于基金资产净值的80%，固定收益类资产包括国债、金融债、央行票据、地方政府债、企业债、公司债、短期融资券、中期票据、可转换债券及可分离转债、资产支持证券、次级债、债券回购等金融工具；对股票（含存托凭证）、权证等权益类资产的投资比例不高于基金资产的20%；其中现金或到期日在一年以内的政府债券的投资比例合计不低于基金资产净值的5%，现金不包括结算备付金、存出保证金和应收申购款等；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将严谨、规范化的基本面研究分析与积极主动的投资风格相结合，在分析和判断宏观经济运行状况和金融市场运行趋势的基础上，自上而下决定债券组合久期、期限结构配置及债券类别配置；同时在严谨深入的信用分析基础上，综合考量企业债券的信用评级以及各类债券的流动性、供求关系和收益率水平等，自下而上地精选具有较高息票率的个券。同时，本基金深度关注股票、权证一级市场和二级市场的运行状况与相应风险收益特征，在严格控制基金资产运作风险的基础上，把握投资机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分析和判断国内外宏观经济形势的基础上，并在基金合同约定的资产配置范围内以投资时钟理论为指导，通过对经济周期所处的发展阶段及其趋势的分析和判断以及不同资产类别的预期表现，对基金资产配置进行动态调整，在有效控制投资组合风险的基础上，提高基金资产风险调整后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自上而下决定债券组合久期及债券类属配置；在严谨深入的信用分析基础上，综合考量信用债券的信用评级，以及各类债券的流动性、供求关系和收益率水平等，自下而上地精选个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（1）久期管理策略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通过合理的久期控制实现对利率风险的有效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（2）债券的类属配置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（3）收益率曲线配置策略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本基金将通过预期收益率曲线形态变化来调整投资组合的头寸。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考察收益率曲线的基础上，本基金将确定采用子弹策略、哑铃策略或梯形策略等，以从收益率曲线的形变中获利。一般而言，当收益率曲线变陡时，将采用子弹策略；当收益率曲线变平时，将采用哑铃策略；在预期收益率曲线不变或平行移动时，则采用梯形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（4）杠杆放大策略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信用债券同时承载了利率风险与信用风险，而信用风险对信用债券表现的影响胜于利率风险。具体而言，本基金信用债券的投资遵循以下流程：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本基金从信用债券池中精选债券构建信用债券投资组合，主要考虑以下因素：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（6）资产支持证券（含资产收益计划）投资策略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（7）可转换债券投资策略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可转换债券是兼具股性和债性双重特征的投资品种。本基金对于可转换债券股性的研究将依托于公司投研团队对标的股票的研究，在此基础上量化投资部利用可转换债券定价模型，充分考虑转债发行后目标转债标的股票股价波动率可能出现的变化，对目标转债的股性进行合理定价。对于可转换债券债性的研究，本基金将引进公司信用债券信用评级指标体系，对可转换债券的发行主体及标的债券进行信用评级，并在信用评级的基础上对其进行合理定价。通过对标的转债股性与债性的合理定价，力求寻找出被市场低估的品种，构建本基金可转换债券的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在严格控制投资风险前提下适度参与股票资产投资。本基金将综合运用交银施罗德股票研究分析方法和其它投资分析工具，充分发挥研究团队主动选股优势，自下而上精选具有投资潜力的股票构建投资组合。具体而言，本基金股票投资策略包括新股投资策略和股票二级市场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（1）股票二级市场投资策略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有效提升基金的整体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（2）新股投资策略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分析影响股票一级市场资金面的相关市场风险收益特征的变化、股票发行政策取向，预测新股一级市场供求关系的变化。同时在研究建议的基础上，本基金预测拟申购新股的中签率和收益率，确定合理规模的资金后精选个股，在控制组合波动性风险的前提下提升基金的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（1）本基金固定收益类资产的比例不低于基金资产净值的80%，股票（含存托凭证）、权证等权益类资产的投资比例不高于基金资产净值的20%；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（3）本基金持有一家上市公司的股票，其市值不超过基金资产净值的10%；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（7）本基金管理人管理的全部基金持有的同一权证，不得超过该权证的 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（8）本基金在任何交易日买入权证的总金额，不得超过上一交易日基金资产净值的0.5%；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（15）本基金进入全国银行间同业市场进行债券回购的资金余额不得超过基金资产净值的40%；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13）、（16）、（17）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法律法规或监管部门取消或修改上述限制，如适用于本基金，基金管理人在履行适当程序后，则本基金投资所受限制相应调整。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（4）买卖其他基金份额，但是国务院另有规定的除外；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（5）向其基金管理人、基金托管人出资或者买卖其基金管理人、基金托管人发行的股票或者债券；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（6）买卖与其基金管理人、基金托管人有控股关系的股东或者与其基金管理人、基金托管人有其他重大利害关系的公司发行的证券或者承销期内承销的证券；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（8）依照法律法规有关规定，由中国证监会规定禁止的其他活动。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90%×中债综合全价指数收益率+10%×沪深300指数收益率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14类券种，综合反映了债券市场整体价格和回报情况，是目前市场上较为权威的反映债券市场整体走势的基准指数之一。该指数合理、透明、公开，具有较好的市场接受度，作为衡量本基金债券投资部分业绩的比较基准，较为合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沪深300指数由中证指数有限公司编制并发布，指数样本覆盖了沪深两地大部分流通市值，成分股均为A股市场中代表性强且流动性高的主流投资股票, 能够反映中国证券市场股票价格变动的概貌和运行状况，适合作为本基金权益类资产投资的业绩比较基准。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考虑到本基金的投资比例及各投资对象价格的变动对基金净值的不同影响，本基金对上述两个基准指数按照目标资产配置比例分配权重，作为综合衡量本基金投资业绩的比较基准。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（七）基金的融资融券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本基金可以根据有关法律法规和政策的有关规定进行融资、融券。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（八）基金管理人代表基金行使股东及债权人权利的处理原则及方法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1、基金管理人按照国家有关规定代表基金独立行使股东及债权人权利，保护基金份额持有人的利益；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本基金托管人中国建设银行根据本基金合同规定，于2026年04月20日复核了本报告中的财务指标、净值表现和投资组合报告等内容，保证复核内容不存在虚假记载、误导性陈述或者重大遗漏。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本报告期为2026年01月01日起至03月31日。本报告财务资料未经审计师审计。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4,002,994.92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13.94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4,002,994.92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13.94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19,105,687.24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66.55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19,105,687.24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66.55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5,524,896.09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19.25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73,660.39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28,707,238.64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30,150.00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3,142,967.31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13.60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60,884.00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45,808.00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530,860.61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18,459.00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18,340.00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129,096.00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26,430.00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4,002,994.92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17.32</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英科医疗</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352,080.00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金海通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270,330.00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688256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寒武纪</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196,600.00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0.85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万华化学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158,900.00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0.69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振华股份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156,900.00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0.68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立讯精密</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152,706.00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运达股份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7,300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139,065.00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0.60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瀚蓝环境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129,096.00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603306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华懋科技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120,960.00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603308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应流股份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117,287.00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16,564,172.47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71.65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2,541,514.77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10.99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19,105,687.24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82.64</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019827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26国债01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135,000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13,535,643.70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58.55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3,028,528.77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和邦转债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362,530.79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339,320.04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320,880.59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10月22日,浙江证监局给予浙江东亚药业股份有限公司责令改正的行政监管措施。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6,795.06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66,865.33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73,660.39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tbl>
      <w:tblPr>
        <w:tblStyle w:val="14"/>
        <w:tblW w:w="5000" w:type="pct"/>
        <w:tblInd w:w="0" w:type="dxa"/>
        <w:tblLayout w:type="autofit"/>
        <w:tblCellMar>
          <w:top w:w="0" w:type="dxa"/>
          <w:left w:w="0" w:type="dxa"/>
          <w:bottom w:w="0" w:type="dxa"/>
          <w:right w:w="0" w:type="dxa"/>
        </w:tblCellMar>
      </w:tblPr>
      <w:tblGrid>
        <w:gridCol w:w="666"/>
        <w:gridCol w:w="2001"/>
        <w:gridCol w:w="2001"/>
        <w:gridCol w:w="2001"/>
        <w:gridCol w:w="2001"/>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和邦转债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362,530.79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1.57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339,320.04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东亚转债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320,880.59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洁特转债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305,719.72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248,825.57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湘佳转债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132,178.92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鸿路转债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132,019.53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裕兴转债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112,473.38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卫宁转债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83,921.59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瑞科转债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69,664.80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天奈转债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68,591.87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58,389.61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路维转债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53,192.66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利柏转债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45,843.20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44,797.72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41,517.12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建龙转债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40,781.04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回天转债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9,943.43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岱美转债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9,149.00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胜蓝转02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9,078.28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4408672"/>
      <w:r>
        <w:rPr>
          <w:rFonts w:ascii="Times New Roman" w:hAnsi="Times New Roman"/>
          <w:sz w:val="30"/>
        </w:rPr>
        <w:t>十二、基金的业绩</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1、本报告期基金份额净值增长率及其与同期业绩比较基准收益率的比较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（1）交银定期支付月月丰债券A：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5.83%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16.95%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2013年度（自基金合同生效日起至2013年12月31日）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（2）交银定期支付月月丰债券C：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5.69%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8.87%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5.72%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2013年度（自基金合同生效日起至2013年12月31日）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注：本基金的业绩比较基准为90%×中债综合全价指数收益率+10%×沪深300指数收益率，每日进行再平衡过程。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交银施罗德定期支付月月丰债券型证券投资基金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（2013年8月13日至2026年03月31日）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（1）交银定期支付月月丰债券A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8" o:spt="75" type="#_x0000_t75" style="height:268.5pt;width:439.5pt;" filled="f" o:preferrelative="t" stroked="f" coordsize="21600,21600">
            <v:path/>
            <v:fill on="f" focussize="0,0"/>
            <v:stroke on="f" joinstyle="miter"/>
            <v:imagedata r:id="rId15"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（2）交银定期支付月月丰债券C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9" o:spt="75" type="#_x0000_t75" style="height:268.5pt;width:439.5pt;" filled="f" o:preferrelative="t" stroked="f" coordsize="21600,21600">
            <v:path/>
            <v:fill on="f" focussize="0,0"/>
            <v:stroke on="f" joinstyle="miter"/>
            <v:imagedata r:id="rId16"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4408673"/>
      <w:r>
        <w:rPr>
          <w:rFonts w:ascii="Times New Roman" w:hAnsi="Times New Roman"/>
          <w:sz w:val="30"/>
        </w:rPr>
        <w:t>十三、基金的财产</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4408674"/>
      <w:r>
        <w:rPr>
          <w:rFonts w:ascii="Times New Roman" w:hAnsi="Times New Roman"/>
          <w:sz w:val="30"/>
        </w:rPr>
        <w:t>十四、基金资产的估值</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基金所拥有的股票、权证、债券和银行存款本息、应收款项、其它投资等资产及负债。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（2）首次公开发行未上市的股票、债券和权证，采用估值技术确定公允价值，在估值技术难以可靠计量公允价值的情况下，按成本估值；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3、全国银行间债券市场交易的债券、资产支持证券等固定收益品种，采用估值技术确定公允价值。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4、同一债券同时在两个或两个以上市场交易的，按债券所处的市场分别估值。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每个工作日计算基金资产净值及基金份额净值，并按规定公告。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基金管理人和基金托管人将采取必要、适当、合理的措施确保基金资产估值的准确性、及时性。当基金份额净值小数点后第3位以内（含第3位）发生估值错误时，视为基金份额净值错误。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2、因不可抗力或其他情形致使基金管理人、基金托管人无法准确评估基金资产价值时；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证券交易所或登记结算公司发送的数据错误，有关会计制度变化或由于其他不可抗力原因，基金管理人和基金托管人虽然已经采取必要、适当、合理的措施进行检查，但是未能发现该错误而造成的基金份额净值错误，基金管理人、基金托管人免除赔偿责任。但基金管理人、基金托管人应积极采取必要的措施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4408675"/>
      <w:r>
        <w:rPr>
          <w:rFonts w:ascii="Times New Roman" w:hAnsi="Times New Roman"/>
          <w:sz w:val="30"/>
        </w:rPr>
        <w:t>十五、基金收益与分配</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在存续期内，本基金按照基金合同的约定每月定期向基金份额持有人支付一定的现金，除上述定期支付外，本基金不另外进行收益分配。关于定期支付的相关规定见本招募说明书第十部分“基金的定期支付”。</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4408676"/>
      <w:r>
        <w:rPr>
          <w:rFonts w:ascii="Times New Roman" w:hAnsi="Times New Roman"/>
          <w:sz w:val="30"/>
        </w:rPr>
        <w:t>十六、基金的费用与税收</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9、本基金从C类基金份额的基金财产中计提的销售服务费；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本基金的管理费按前一日基金资产净值的0.7%年费率计提。管理费的计算方法如下：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H＝E×0.7%÷当年天数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逐日累计至每月月末，按月支付，由基金托管人根据与基金管理人核对一致的财务数据，自动在月初5个工作日内、按照指定的账户路径进行资金支付，基金管理人无需再出具资金划拨指令。若遇不可抗力致使无法按时支付的，支付日期顺延至最近可支付日。费用自动扣划后，基金管理人应进行核对，如发现数据不符，及时联系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本基金的托管费按前一日基金资产净值的0.2%的年费率计提。托管费的计算方法如下：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逐日累计至每月月末，按月支付，由基金托管人根据与基金管理人核对一致的财务数据，自动在月初5个工作日内、按照指定的账户路径进行资金支付，基金管理人无需再出具资金划拨指令。若遇不可抗力致使无法按时支付的，支付日期顺延至最近可支付日。费用自动扣划后，基金管理人应进行核对，如发现数据不符，及时联系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H＝E×0.4%÷当年天数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逐日累计至每月月末，按月支付，由基金托管人根据与基金管理人核对一致的财务数据，自动在月初5个工作日内、按照指定的账户路径进行资金支付，基金管理人无需再出具资金划拨指令。若遇不可抗力致使无法按时支付的，支付日期顺延至最近可支付日。费用自动扣划后，基金管理人应进行核对，如发现数据不符，及时联系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本基金转换费的费率水平、计算公式和收取方式详见“基金的转换”一章。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3、上述“（一）基金费用的种类中第3－8、第10项费用”，根据有关法规及相应协议规定，按费用实际支出金额列入当期费用，由基金托管人从基金财产中支付。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和基金管理人网站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4408677"/>
      <w:r>
        <w:rPr>
          <w:rFonts w:ascii="Times New Roman" w:hAnsi="Times New Roman"/>
          <w:sz w:val="30"/>
        </w:rPr>
        <w:t>十七、基金的会计与审计</w:t>
      </w:r>
      <w:bookmarkEnd w:id="1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4408678"/>
      <w:r>
        <w:rPr>
          <w:rFonts w:ascii="Times New Roman" w:hAnsi="Times New Roman"/>
          <w:sz w:val="30"/>
        </w:rPr>
        <w:t>十八、基金的信息披露</w:t>
      </w:r>
      <w:bookmarkEnd w:id="2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w:t>
      </w:r>
      <w:r>
        <w:rPr>
          <w:rFonts w:hint="eastAsia" w:ascii="宋体" w:hAnsi="宋体"/>
          <w:kern w:val="0"/>
          <w:sz w:val="24"/>
        </w:rPr>
        <w:t>本基金的信息披露应符合《基金法》、《运作办法》、《信息披露办法》、《流动性规定》、《基金合同》及其他有关规定。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w:t>
      </w:r>
      <w:r>
        <w:rPr>
          <w:rFonts w:hint="eastAsia" w:ascii="宋体" w:hAnsi="宋体"/>
          <w:kern w:val="0"/>
          <w:sz w:val="24"/>
        </w:rPr>
        <w:t>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基金管理人应当在收到中国证监会确认文件的次日在指定媒介上登载《基金合同》生效公告。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披露开放日的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（16）基金份额净值计价错误达基金份额净值百分之零点五；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w:t>
      </w:r>
      <w:r>
        <w:rPr>
          <w:rFonts w:hint="eastAsia" w:ascii="宋体" w:hAnsi="宋体"/>
          <w:kern w:val="0"/>
          <w:sz w:val="24"/>
        </w:rPr>
        <w:t>本基金信息披露事项以法律法规规定及本章节约定的内容为准。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4408679"/>
      <w:r>
        <w:rPr>
          <w:rFonts w:ascii="Times New Roman" w:hAnsi="Times New Roman"/>
          <w:sz w:val="30"/>
        </w:rPr>
        <w:t>十九、侧袋机制</w:t>
      </w:r>
      <w:bookmarkEnd w:id="2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4408680"/>
      <w:r>
        <w:rPr>
          <w:rFonts w:ascii="Times New Roman" w:hAnsi="Times New Roman"/>
          <w:sz w:val="30"/>
        </w:rPr>
        <w:t>二十、风险揭示</w:t>
      </w:r>
      <w:bookmarkEnd w:id="2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定期支付时的自动赎回份额不纳入以上赎回份额计算）超过基金总份额的百分之十时，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定期支付时的自动赎回份额不纳入以上赎回份额计算）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（四）交易对手违约风险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（五）本基金投资策略所特有的风险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本基金为债券型基金，固定收益类资产的比例不低于基金资产净值的80%，因投资固定收益类资产而面临的固定收益类资产市场的系统性风险和个券风险；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本基金可投资科创板股票和创业板股票，科创板和创业板个股上市后的前五个交易日不设价格涨跌幅限制，第六个交易日开始涨跌幅限制比例为20%。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（六）本基金定期支付相关的特定风险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1、定期支付不等同于收益分配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定期支付并不等同于收益分配。按照目前法律法规的规定，基金的收益分配以基金具有可供分配利润为前提，且分配金额不得超过可供分配利润；而定期支付不以本基金具有可供分配利润为前提，且定期支付金额按照招募说明书约定的年化现金支付比率计算，不以基金的可供分配利润为上限，其实质是按基金合同的约定定期自动赎回持有人的部分基金份额进行现金支付。在基金投资亏损的情况下，除非发生基金合同约定的暂停定期支付的事由，本基金仍将进行定期支付。因此，即便投资者对于本基金的投资未取得收益甚至发生亏损，仍可能发生部分份额的自动赎回，由此投资者就该部分被赎回的份额将失去取得预期收益或者通过未来净值上涨而弥补亏损的机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此外，基金收益分配时，对基金份额净值进行除息（即扣减每份收益分配金额）处理；而定期支付不对基金份额净值进行除息处理，但因自动赎回部分基金份额进行现金支付，会造成投资者所持有基金份额的缩减，为此，基金管理人未来将视基金实际运作情况对基金实施份额拆分，份额拆分不会对基金份额持有人的权益造成实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2、年化现金支付比率不代表基金实际投资收益率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本基金招募说明书约定的年化现金支付比率用以计算定期支付金额，不代表基金实际投资收益率。按照约定的年化现金支付比率计算的定期支付金额可能大于也可能小于当期基金的实际投资收益。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3、定期支付被确认失败的风险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每期定期支付时，由于基金份额持有人主动发起的份额减少业务（包括赎回、转换出及转托管出）或者登记机构发起的其他非定期支付份额减少业务的确认原则上优先于定期支付业务的确认，若因当日该账户同时有其他的份额减少业务被确认而导致基金份额余额不足时，当期的定期支付业务将被确认失败，即该账户当期不进行现金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4、年化现金支付比率发生调整的风险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有权根据基金实际运作情况和市场环境的变化调整年化现金支付比率。因此未来年化现金支付比率可能会发生变化，可能高于也可能低于当前的年化现金支付比率。年化现金支付比率的变化会影响定期支付数额，并将会对投资者的实际投资收益产生正面或负面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4408681"/>
      <w:r>
        <w:rPr>
          <w:rFonts w:ascii="Times New Roman" w:hAnsi="Times New Roman"/>
          <w:sz w:val="30"/>
        </w:rPr>
        <w:t>二十一、基金合同的变更、终止与基金财产的清算</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2、关于基金合同变更的基金份额持有人大会决议经中国证监会核准或出具无异议意见后方可执行，自决议生效后依照《信息披露办法》的规定在指定媒介公告。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5、基金财产清算的期限为6个月，若遇基金持有的股票或其他有价证券出现长期休市、停牌或其他流通受限的情形除外。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4408682"/>
      <w:r>
        <w:rPr>
          <w:rFonts w:ascii="Times New Roman" w:hAnsi="Times New Roman"/>
          <w:sz w:val="30"/>
        </w:rPr>
        <w:t>二十二、基金合同内容摘要</w:t>
      </w:r>
      <w:bookmarkEnd w:id="2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（一）基金合同当事人及权利义务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3）依照基金合同收取基金管理费以及法律法规规定或中国证监会批准的其他收入；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13）在法律法规允许的前提下，为基金的利益依法为基金进行融资融券；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16）在符合有关法律、法规的前提下，制定和调整有关基金认购、申购、赎回、转换和非交易过户等的业务规则；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4）根据相关市场规则，为基金开设证券账户、为基金办理证券交易资金清算；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8）复核、审查基金管理人计算的基金资产净值、基金份额净值、基金份额申购、赎回价格、基金业绩数据等；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3）依法并按照基金合同的规定申请赎回其持有的基金份额；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8）对基金管理人、基金托管人、基金销售机构损害其合法权益的行为依法提起诉讼或仲裁；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4）缴纳基金认购、申购、赎回款项及法律法规和基金合同所规定的费用；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1）调低基金管理费、基金托管费、销售服务费和其他应由本基金或基金份额持有人承担的费用；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3）在法律法规和基金合同规定的范围内调整本基金的申购费率、调低赎回费率、变更或增加收费方式；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6）在法律法规和基金合同规定的范围内调整本基金份额类别的设置；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7）基金管理人根据基金实际运作情况和市场环境的变化，对年化现金支付比率进行调整；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8）按照法律法规和基金合同规定不需召开基金份额持有人大会的以外的其他情形。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2）经核对，汇总到会者出示的在权益登记日持有基金份额的凭证显示，有效的基金份额不少于本基金在权益登记日基金总份额的50%（含50%）。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3）本人直接出具书面意见或授权他人代表出具书面意见的，基金份额持有人所持有的基金份额不小于在权益登记日基金总份额的50%（含50%）；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5）会议通知公布前报中国证监会备案。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（3）在法律法规或监管机关允许的情况下，本基金亦可采用网络、电话等其他非书面方式由基金份额持有人向其授权代表进行授权。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（4）在法律法规和监管机关允许的情况下，本基金亦可采用网络、电话等其他非现场方式或者以非现场方式与现场方式结合的方式召开基金份额持有人大会，会议程序比照现场开会和通讯方式开会的程序进行。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（1）一般决议，一般决议须经参加大会的基金份额持有人或其代理人所持表决权的50%以上（含50%）通过方为有效；除下列第（2）项所规定的须以特别决议通过事项以外的其他事项均以一般决议的方式通过。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2/3以上（含2/3）通过方可做出。转换基金运作方式、更换基金管理人或者基金托管人、终止基金合同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基金份额持有人大会的决议，召集人应当自通过之日起5日内报中国证监会核准或者备案。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基金份额持有人大会的决议自中国证监会依法核准或者出具无异议意见之日起生效。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10、法律法规或监管部门对基金份额持有人大会另有规定的，从其规定。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（2）关于基金合同变更的基金份额持有人大会决议经中国证监会核准或出具无异议意见后方可执行，自决议生效后依照《信息披露办法》的规定在指定媒介公告。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（四）争议的处理和适用的法律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（五）基金合同存放及投资者取得基金合同的方式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4408683"/>
      <w:r>
        <w:rPr>
          <w:rFonts w:ascii="Times New Roman" w:hAnsi="Times New Roman"/>
          <w:sz w:val="30"/>
        </w:rPr>
        <w:t>二十三、托管协议的内容摘要</w:t>
      </w:r>
      <w:bookmarkEnd w:id="25"/>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成立日期：2004年09月17日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基金托管业务批准文号：中国证监会证监基字[1998]12号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注册资本：贰仟伍佰亿壹仟零玖拾柒万柒仟肆佰捌拾陆元整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货币市场工具、权证以及法律法规或中国证监会允许基金投资的其他金融工具（但须符合中国证监会的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固定收益类资产的比例不低于基金资产净值的80%，固定收益类资产包括国债、金融债、央行票据、地方政府债、企业债、公司债、短期融资券、中期票据、可转换债券及可分离转债、资产支持证券、次级债、债券回购等金融工具；对股票（含存托凭证）、权证等权益类资产的投资比例不高于基金资产的20%；其中现金或到期日在一年以内的政府债券的投资比例合计不低于基金资产净值的5%，现金不包括结算备付金、存出保证金和应收申购款等；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（1）本基金固定收益类资产的比例不低于基金资产净值的80%，股票（含存托凭证）、权证等权益类资产的投资比例不高于基金资产净值的20%；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（3）本基金持有一家上市公司的股票，其市值不超过基金资产净值的10%；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（6）本基金在任何交易日买入权证的总金额，不得超过上一交易日基金资产净值的0.5%；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（12）本基金进入全国银行间同业市场进行债券回购的资金余额不得超过基金资产净值的40%；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（13）本基金持有的所有流通受限证券，其公允价值不得超过本基金资产净值的15%；本基金持有的同一流通受限证券，其公允价值不得超过本基金资产净值的2%；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如果法律法规对上述投资组合比例限制进行变更的，以变更后的规定为准。法律法规或监管部门取消上述限制，如适用于本基金，则本基金投资不再受相关限制。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10）、（14）、（15）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1个工作日内与基金托管人协商解决。基金管理人与基金托管人完成确认后，被确认调整的名单开始生效，新名单生效前已与本次剔除的交易对手所进行但尚未结算的交易，仍应按照协议进行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5、基金托管人根据有关法律法规的规定及《基金合同》的约定，对基金管理人投资流通受限证券进行监督。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的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本基金投资的受限证券限于可由中国证券登记结算有限责任公司或中央国债登记结算有限责任公司负责登记和存管，并可在证券交易所或全国银行间债券市场交易的证券。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受限证券应保证登记存管在本基金名下，基金管理人负责相关工作的落实和协调，并确保基金托管人能够正常查询。因基金管理人原因产生的受限证券登记存管问题，造成基金托管人无法安全保管本基金资产的责任与损失，及因受限证券存管直接影响本基金安全的责任及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本基金投资受限证券，不得预付任何形式的保证金。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本基金投资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按法律法规规定承担所有损失。对本基金因投资受限证券导致的流动性风险，基金托管人不承担任何责任。如因基金管理人原因导致本基金出现损失致使基金托管人承担连带赔偿责任的，基金管理人应赔偿基金托管人由此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1）中国证监会批准发行非公开发行股票的批准文件。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2）非公开发行股票有关发行数量、发行价格、锁定期等发行资料。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4）基金拟认购的数量、价格、总成本、账面价值。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应在本基金投资非公开发行股票后两个交易日内，在中国证监会指定媒介披露所投资非公开发行股票的名称、数量、总成本、账面价值，以及总成本和账面价值占基金资产净值的比例、锁定期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本基金有关投资受限证券比例如违反有关限制规定，在合理期限内未能进行及时调整，基金管理人应在两个工作日内编制临时报告书，予以公告。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（5）基金托管人根据有关规定有权对基金管理人进行以下事项监督：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1）本基金投资受限证券时的法律法规遵守情况。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2）在基金投资受限证券管理工作方面有关制度、流动性风险处置预案的建立与完善情况。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3）有关比例限制的执行情况。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4）信息披露情况。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（6）相关法律法规对基金投资受限证券有新规定的，从其规定。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托管资产开户银行扣收结算费和账户维护费等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银行账户，同时在规定时间内，聘请具有从事证券相关业务资格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（3）若基金募集期限届满，未能达到基金备案的条件，由基金管理人按规定办理退款等事宜。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（1）基金托管人可以基金的名义在其营业机构开立基金的银行账户，并根据基金管理人合法合规的指令办理资金收付。本基金的银行预留印鉴由基金托管人保管和使用。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（3）基金银行账户的开立和管理应符合银行业监督管理机构的有关规定。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（4）在符合法律法规规定的条件下，基金托管人可以通过基金托管人专用账户办理基金资产的支付。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（1）基金托管人在中国证券登记结算有限责任公司上海分公司、深圳分公司为基金开立基金托管人与本基金联名的证券账户。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本基金签订全国银行间债券市场债券回购主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（1）因业务发展需要而开立的其他账户，可以根据法律法规和《基金合同》的规定，由基金托管人负责开立。新账户按有关规定使用并管理。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或票据营业中心的代保管库，保管凭证由基金托管人持有。有价凭证的购买和转让，由基金管理人和基金托管人共同办理。基金托管人对由基金托管人以外机构实际有效控制的资产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本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（五）基金资产净值计算和会计核算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1、基金资产净值的计算、复核与完成的时间及程序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是指基金资产总值减去负债后的价值。基金份额净值是按照每个工作日闭市后，基金资产净值除以当日基金份额的余额数量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每个工作日计算基金资产净值及基金份额净值，并按规定公告。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2、基金资产估值方法和特殊情形的处理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基金所拥有的股票、权证、债券和银行存款本息、应收款项、其它投资等资产及负债。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b、交易所市场上市交易或挂牌转让的固定收益品种（另有规定的除外），选取第三方估值机构提供的相应品种当日的估值净价进行估值；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d、交易所上市不存在活跃市场的有价证券，采用估值技术确定公允价值。交易所上市的资产支持证券，采用估值技术确定公允价值，在估值技术难以可靠计量公允价值的情况下，按成本估值。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a、送股、转增股、配股和公开增发的新股，按估值日在证券交易所挂牌的同一股票的估值方法估值；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b、首次公开发行未上市的股票、债券和权证，采用估值技术确定公允价值，在估值技术难以可靠计量公允价值的情况下，按成本估值；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c、首次公开发行有明确锁定期的股票，同一股票在交易所上市后，按交易所上市的同一股票的估值方法估值；非公开发行有明确锁定期的股票，按监管机构或行业协会有关规定确定公允价值。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3）全国银行间债券市场交易的债券、资产支持证券等固定收益品种，采用估值技术确定公允价值。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4）同一债券同时在两个或两个以上市场交易的，按债券所处的市场分别估值。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基金管理人向基金托管人出具加盖公章的书面说明后，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基金管理人、基金托管人按估值方法的第5）项进行估值时，所造成的误差不作为基金份额净值错误处理。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证券交易所或登记结算公司发送的数据错误，有关会计制度变化或由于其他不可抗力原因，基金管理人和基金托管人虽然已经采取必要、适当、合理的措施进行检查，但是未能发现该错误而造成的基金份额净值错误，基金管理人、基金托管人免除赔偿责任。但基金管理人、基金托管人应积极采取必要的措施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3、基金估值错误的处理方式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当发生净值计算错误时，由基金管理人负责处理，由此给基金份额持有人和基金造成损失的，应由基金管理人先行赔付，基金管理人按差错情形，有权向其他当事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出错且造成基金份额持有人损失的，应根据法律法规的规定对投资人或基金支付赔偿金，就实际向投资人或基金支付的赔偿金额，基金管理人与基金托管人按照管理费和托管费的比例各自承担相应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4）由于基金管理人提供的信息错误（包括但不限于基金申购或赎回金额等），进而导致基金份额净值计算错误而引起的基金份额持有人和基金财产的损失，由基金管理人负责赔付。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由于不可抗力原因，或由于证券交易所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（5）前述内容如法律法规或者监管部门另有规定的，从其规定。如果行业另有通行做法，双方当事人应本着平等和保护基金份额持有人利益的原则进行协商。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4、暂停估值与公告基金份额净值的情形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（2）因不可抗力或其他情形致使基金管理人、基金托管人无法准确评估基金资产价值时；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（3）占基金相当比例的投资品种的估值出现重大转变，而基金管理人为保障投资人的利益，决定延迟估值；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（5）中国证监会和《基金合同》认定的其他情形。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按国家有关部门规定的会计制度执行。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8、基金财务报表与报告的编制和复核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（1）财务报表的编制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基金财务报表由基金管理人编制，基金托管人复核。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（2）报表复核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（3）财务报表的编制与复核时间安排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1）报表的编制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月结束后5个工作日内完成月度报表的编制；在每个季度结束之日起15个工作日内完成基金季度报告的编制；在上半年结束之日起60日内完成基金半年度报告的编制；在每年结束之日起90日内完成基金年度报告的编制。基金年度报告的财务会计报告应当经过审计。《基金合同》生效不足两个月的，基金管理人可以不编制当期季度报告、半年度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2）报表的复核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基金管理人应及时完成报表编制，将有关报表提供基金托管人复核；基金托管人在复核过程中，发现双方的报表存在不符时，基金管理人和基金托管人应共同查明原因，进行调整，调整以国家有关规定为准。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基金管理人应留足充分的时间，便于基金托管人复核相关报表及报告。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9、基金管理人应在编制季度报告、半年度报告或者年度报告之前及时向基金托管人提供基金业绩比较基准的基础数据和编制结果。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真实性、准确性和完整性。基金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（八）托管协议的变更与终止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4408684"/>
      <w:r>
        <w:rPr>
          <w:rFonts w:ascii="Times New Roman" w:hAnsi="Times New Roman"/>
          <w:sz w:val="30"/>
        </w:rPr>
        <w:t>二十四、对基金份额持有人的服务</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本公司基金网上直销业务已开通的银行卡及各银行卡交易金额限额请参阅本公司网站。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本基金已开通转换业务，具体实施方法请参见相关公告。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4408685"/>
      <w:r>
        <w:rPr>
          <w:rFonts w:ascii="Times New Roman" w:hAnsi="Times New Roman"/>
          <w:sz w:val="30"/>
        </w:rPr>
        <w:t>二十五、其他应披露事项</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关于交银施罗德定期支付月月丰债券型证券投资基金2026年度支付比率的公告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交银施罗德基金管理有限公司关于交银施罗德定期支付月月丰债券型证券投资基金于2026年“春节”假期暂停大额申购（转换转入、定期定额投资）业务的公告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交银施罗德基金管理有限公司关于旗下部分基金投资范围增加存托凭证、开通同一基金不同类别基金份额转换业务并相应修改法律文件的公告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交银施罗德基金管理有限公司关于交银施罗德定期支付月月丰债券型证券投资基金基金经理变更公告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8" w:name="_Toc234408686"/>
      <w:r>
        <w:rPr>
          <w:rFonts w:ascii="Times New Roman" w:hAnsi="Times New Roman"/>
          <w:sz w:val="30"/>
        </w:rPr>
        <w:t>二十六、招募说明书的存放及查阅方式</w:t>
      </w:r>
      <w:bookmarkEnd w:id="2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9" w:name="_Toc234408687"/>
      <w:r>
        <w:rPr>
          <w:rFonts w:ascii="Times New Roman" w:hAnsi="Times New Roman"/>
          <w:sz w:val="30"/>
        </w:rPr>
        <w:t>二十七、备查文件</w:t>
      </w:r>
      <w:bookmarkEnd w:id="2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（一）中国证监会批准交银施罗德定期支付月月丰债券型证券投资基金募集的文件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（二）《交银施罗德定期支付月月丰债券型证券投资基金基金合同》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（三）《交银施罗德定期支付月月丰债券型证券投资基金托管协议》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（六）关于申请募集交银施罗德定期支付月月丰债券型证券投资基金之法律意见书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153</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交银施罗德定期支付月月丰债券型证券投资基金招募说明书更新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交银施罗德定期支付月月丰债券型证券投资基金招募说明书更新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交银施罗德定期支付月月丰债券型证券投资基金招募说明书更新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2B1"/>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2306"/>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428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4802"/>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2B63154"/>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Document Map"/>
    <w:basedOn w:val="1"/>
    <w:link w:val="35"/>
    <w:unhideWhenUsed/>
    <w:uiPriority w:val="99"/>
    <w:rPr>
      <w:rFonts w:ascii="宋体"/>
      <w:sz w:val="18"/>
      <w:szCs w:val="18"/>
    </w:rPr>
  </w:style>
  <w:style w:type="paragraph" w:styleId="6">
    <w:name w:val="annotation text"/>
    <w:basedOn w:val="1"/>
    <w:link w:val="31"/>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154</Pages>
  <Words>16077</Words>
  <Characters>91642</Characters>
  <Lines>763</Lines>
  <Paragraphs>215</Paragraphs>
  <TotalTime>0</TotalTime>
  <ScaleCrop>false</ScaleCrop>
  <LinksUpToDate>false</LinksUpToDate>
  <CharactersWithSpaces>107504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2026-07-08T05:10:00Z</dcterms:created>
  <dc:creator>系统用户</dc:creator>
  <cp:lastModifiedBy>haotingting</cp:lastModifiedBy>
  <cp:lastPrinted>2013-02-18T03:10:00Z</cp:lastPrinted>
  <dcterms:modified xsi:type="dcterms:W3CDTF">2026-07-08T05:38:21Z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E41B1E06E7964B1BAFE07B7995586E14</vt:lpwstr>
  </property>
</Properties>
</file>