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交银施罗德稳益短债债券型证券投资基金（A类份额）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交银稳益短债债券A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016396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2022-09-21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2022-09-21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基金投资的其他金融工具（但须符合中国证监会相关规定）。本基金不投资于股票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政府支持债、政府支持机构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详见《交银施罗德稳益短债债券型证券投资基金招募说明书》“基金的投资”。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2、本基金合同于2022年9月21日生效，合同生效当年净值增长率按实际存续期计算。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●《交银施罗德稳益短债债券型证券投资基金基金合同》、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《交银施罗德稳益短债债券型证券投资基金托管协议》、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《交银施罗德稳益短债债券型证券投资基金招募说明书》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171E5"/>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2F305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615</Words>
  <Characters>3512</Characters>
  <Lines>29</Lines>
  <Paragraphs>8</Paragraphs>
  <TotalTime>2</TotalTime>
  <ScaleCrop>false</ScaleCrop>
  <LinksUpToDate>false</LinksUpToDate>
  <CharactersWithSpaces>4119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2026-06-23T08:19:00Z</dcterms:created>
  <dc:creator>Cc</dc:creator>
  <cp:lastModifiedBy>haotingting</cp:lastModifiedBy>
  <dcterms:modified xsi:type="dcterms:W3CDTF">2026-06-30T08:08:03Z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9DE13C57255F417A9E7143C1676A1828</vt:lpwstr>
  </property>
</Properties>
</file>