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交银施罗德环球精选价值证券投资基金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496884613"/>
      <w:bookmarkStart w:id="2" w:name="_Toc234241296"/>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交银施罗德环球精选价值证券投资基金（以下简称“本基金”）经2008年5月5日中国证券监督管理委员会证监许可【2008】635号文核准募集。本基金基金合同于2008年8月22日正式生效。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ascii="Times New Roman" w:hAnsi="Times New Roman"/>
          <w:kern w:val="0"/>
          <w:sz w:val="24"/>
        </w:rPr>
        <w:t>本基金投资于境外证券市场，基金净值会因为境外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本基金股票资产占基金资产的60%-100%，重点投资于香港、欧洲、美国和新兴市场的权益类资产，其中投资于香港证券市场公开发行的股票占基金资产的比例为10%-50%，投资于全球其他证券市场的股票和基金占基金资产的比例为40%-70%，上述主要投资证券市场的波动将会影响本基金的净值表现。投资本基金可能遇到的风险一是境外投资产品风险，包括海外市场风险、汇率风险、政治风险等；二是开放式基金风险，包括：因政治、经济、社会等因素对证券价格波动产生影响而引发的系统性风险，个别证券特有的非系统性风险，流动性风险</w:t>
      </w:r>
      <w:r>
        <w:rPr>
          <w:rFonts w:hint="eastAsia" w:ascii="Times New Roman" w:hAnsi="Times New Roman"/>
          <w:kern w:val="0"/>
          <w:sz w:val="24"/>
        </w:rPr>
        <w:t>（包括实施侧袋机制时的特定风险）</w:t>
      </w:r>
      <w:r>
        <w:rPr>
          <w:rFonts w:ascii="Times New Roman" w:hAnsi="Times New Roman"/>
          <w:kern w:val="0"/>
          <w:sz w:val="24"/>
        </w:rPr>
        <w:t>，基金管理人在基金管理实施过程中产生的基金管理风险，本基金投资债券引发的信用风险，以及本基金投资策略所特有的风险等等。</w:t>
      </w:r>
    </w:p>
    <w:p>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hint="eastAsia" w:ascii="宋体" w:hAnsi="宋体"/>
          <w:kern w:val="0"/>
          <w:sz w:val="24"/>
        </w:rPr>
        <w:t>当</w:t>
      </w:r>
      <w:r>
        <w:rPr>
          <w:rFonts w:ascii="Times New Roman" w:hAnsi="Times New Roman"/>
          <w:kern w:val="0"/>
          <w:sz w:val="24"/>
        </w:rPr>
        <w:t>本</w:t>
      </w:r>
      <w:r>
        <w:rPr>
          <w:rFonts w:hint="eastAsia" w:ascii="宋体" w:hAnsi="宋体"/>
          <w:kern w:val="0"/>
          <w:sz w:val="24"/>
        </w:rPr>
        <w:t>基金持有特定资产且存在或潜在大额赎回申请时，基金管理人履行相应程序后，可以启动侧袋机制，具体详见基金合同和</w:t>
      </w:r>
      <w:r>
        <w:rPr>
          <w:rFonts w:ascii="Times New Roman" w:hAnsi="Times New Roman"/>
          <w:kern w:val="0"/>
          <w:sz w:val="24"/>
        </w:rPr>
        <w:t>招募说明书</w:t>
      </w:r>
      <w:r>
        <w:rPr>
          <w:rFonts w:hint="eastAsia" w:ascii="宋体" w:hAnsi="宋体"/>
          <w:kern w:val="0"/>
          <w:sz w:val="24"/>
        </w:rPr>
        <w:t>的有关章节。侧袋机制实施期间，基金管理人将对基金简称进行特殊标识，并不办理侧袋账户的申购赎回。请基金份额持有人仔细阅读相关内容并关注本基金启用侧袋机制时的特定风险。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认（申）购本基金前应认真阅读本基金的《招募说明书》和《基金合同》、基金产品资料概要。过往业绩并不代表将来表现。基金管理人管理的其他基金的业绩并不构成对本基金业绩表现的保证。基金管理人建议投资人根据自身的风险承受能力，选择适合自己的基金产品，并且中长期持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本招募说明书所载内容截止日为2026年06月17日，有关财务和业绩表现数据截止日为2026年03月31日，财务和业绩表现数据未经审计。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"_Toc234241296"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_Toc234241296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"_Toc234241297"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_Toc234241297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"_Toc234241298"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_Toc234241298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"_Toc234241299" </w:instrText>
      </w:r>
      <w:r>
        <w:fldChar w:fldCharType="separate"/>
      </w:r>
      <w:r>
        <w:rPr>
          <w:rStyle w:val="18"/>
          <w:rFonts w:hint="eastAsia" w:ascii="宋体" w:hAnsi="宋体"/>
          <w:sz w:val="24"/>
        </w:rPr>
        <w:t>三、风险揭示</w:t>
      </w:r>
      <w:r>
        <w:rPr>
          <w:rFonts w:ascii="宋体" w:hAnsi="宋体"/>
          <w:sz w:val="24"/>
        </w:rPr>
        <w:tab/>
      </w:r>
      <w:r>
        <w:rPr>
          <w:rFonts w:ascii="宋体" w:hAnsi="宋体"/>
          <w:sz w:val="24"/>
        </w:rPr>
        <w:fldChar w:fldCharType="begin"/>
      </w:r>
      <w:r>
        <w:rPr>
          <w:rFonts w:ascii="宋体" w:hAnsi="宋体"/>
          <w:sz w:val="24"/>
        </w:rPr>
        <w:instrText xml:space="preserve"> PAGEREF _Toc234241299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"_Toc234241300" </w:instrText>
      </w:r>
      <w:r>
        <w:fldChar w:fldCharType="separate"/>
      </w:r>
      <w:r>
        <w:rPr>
          <w:rStyle w:val="18"/>
          <w:rFonts w:hint="eastAsia" w:ascii="宋体" w:hAnsi="宋体"/>
          <w:sz w:val="24"/>
        </w:rPr>
        <w:t>四、基金的投资</w:t>
      </w:r>
      <w:r>
        <w:rPr>
          <w:rFonts w:ascii="宋体" w:hAnsi="宋体"/>
          <w:sz w:val="24"/>
        </w:rPr>
        <w:tab/>
      </w:r>
      <w:r>
        <w:rPr>
          <w:rFonts w:ascii="宋体" w:hAnsi="宋体"/>
          <w:sz w:val="24"/>
        </w:rPr>
        <w:fldChar w:fldCharType="begin"/>
      </w:r>
      <w:r>
        <w:rPr>
          <w:rFonts w:ascii="宋体" w:hAnsi="宋体"/>
          <w:sz w:val="24"/>
        </w:rPr>
        <w:instrText xml:space="preserve"> PAGEREF _Toc234241300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"_Toc234241301" </w:instrText>
      </w:r>
      <w:r>
        <w:fldChar w:fldCharType="separate"/>
      </w:r>
      <w:r>
        <w:rPr>
          <w:rStyle w:val="18"/>
          <w:rFonts w:hint="eastAsia" w:ascii="宋体" w:hAnsi="宋体"/>
          <w:sz w:val="24"/>
        </w:rPr>
        <w:t>五、基金的业绩</w:t>
      </w:r>
      <w:r>
        <w:rPr>
          <w:rFonts w:ascii="宋体" w:hAnsi="宋体"/>
          <w:sz w:val="24"/>
        </w:rPr>
        <w:tab/>
      </w:r>
      <w:r>
        <w:rPr>
          <w:rFonts w:ascii="宋体" w:hAnsi="宋体"/>
          <w:sz w:val="24"/>
        </w:rPr>
        <w:fldChar w:fldCharType="begin"/>
      </w:r>
      <w:r>
        <w:rPr>
          <w:rFonts w:ascii="宋体" w:hAnsi="宋体"/>
          <w:sz w:val="24"/>
        </w:rPr>
        <w:instrText xml:space="preserve"> PAGEREF _Toc234241301 \h </w:instrText>
      </w:r>
      <w:r>
        <w:rPr>
          <w:rFonts w:ascii="宋体" w:hAnsi="宋体"/>
          <w:sz w:val="24"/>
        </w:rPr>
        <w:fldChar w:fldCharType="separate"/>
      </w:r>
      <w:r>
        <w:rPr>
          <w:rFonts w:ascii="宋体" w:hAnsi="宋体"/>
          <w:sz w:val="24"/>
        </w:rPr>
        <w:t>37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"_Toc234241302" </w:instrText>
      </w:r>
      <w:r>
        <w:fldChar w:fldCharType="separate"/>
      </w:r>
      <w:r>
        <w:rPr>
          <w:rStyle w:val="18"/>
          <w:rFonts w:hint="eastAsia" w:ascii="宋体" w:hAnsi="宋体"/>
          <w:sz w:val="24"/>
        </w:rPr>
        <w:t>六、基金管理人</w:t>
      </w:r>
      <w:r>
        <w:rPr>
          <w:rFonts w:ascii="宋体" w:hAnsi="宋体"/>
          <w:sz w:val="24"/>
        </w:rPr>
        <w:tab/>
      </w:r>
      <w:r>
        <w:rPr>
          <w:rFonts w:ascii="宋体" w:hAnsi="宋体"/>
          <w:sz w:val="24"/>
        </w:rPr>
        <w:fldChar w:fldCharType="begin"/>
      </w:r>
      <w:r>
        <w:rPr>
          <w:rFonts w:ascii="宋体" w:hAnsi="宋体"/>
          <w:sz w:val="24"/>
        </w:rPr>
        <w:instrText xml:space="preserve"> PAGEREF _Toc234241302 \h </w:instrText>
      </w:r>
      <w:r>
        <w:rPr>
          <w:rFonts w:ascii="宋体" w:hAnsi="宋体"/>
          <w:sz w:val="24"/>
        </w:rPr>
        <w:fldChar w:fldCharType="separate"/>
      </w:r>
      <w:r>
        <w:rPr>
          <w:rFonts w:ascii="宋体" w:hAnsi="宋体"/>
          <w:sz w:val="24"/>
        </w:rPr>
        <w:t>39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"_Toc234241303" </w:instrText>
      </w:r>
      <w:r>
        <w:fldChar w:fldCharType="separate"/>
      </w:r>
      <w:r>
        <w:rPr>
          <w:rStyle w:val="18"/>
          <w:rFonts w:hint="eastAsia" w:ascii="宋体" w:hAnsi="宋体"/>
          <w:sz w:val="24"/>
        </w:rPr>
        <w:t>七、境外投资顾问</w:t>
      </w:r>
      <w:r>
        <w:rPr>
          <w:rFonts w:ascii="宋体" w:hAnsi="宋体"/>
          <w:sz w:val="24"/>
        </w:rPr>
        <w:tab/>
      </w:r>
      <w:r>
        <w:rPr>
          <w:rFonts w:ascii="宋体" w:hAnsi="宋体"/>
          <w:sz w:val="24"/>
        </w:rPr>
        <w:fldChar w:fldCharType="begin"/>
      </w:r>
      <w:r>
        <w:rPr>
          <w:rFonts w:ascii="宋体" w:hAnsi="宋体"/>
          <w:sz w:val="24"/>
        </w:rPr>
        <w:instrText xml:space="preserve"> PAGEREF _Toc234241303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"_Toc234241304" </w:instrText>
      </w:r>
      <w:r>
        <w:fldChar w:fldCharType="separate"/>
      </w:r>
      <w:r>
        <w:rPr>
          <w:rStyle w:val="18"/>
          <w:rFonts w:hint="eastAsia" w:ascii="宋体" w:hAnsi="宋体"/>
          <w:sz w:val="24"/>
        </w:rPr>
        <w:t>八、基金的历史沿革</w:t>
      </w:r>
      <w:r>
        <w:rPr>
          <w:rFonts w:ascii="宋体" w:hAnsi="宋体"/>
          <w:sz w:val="24"/>
        </w:rPr>
        <w:tab/>
      </w:r>
      <w:r>
        <w:rPr>
          <w:rFonts w:ascii="宋体" w:hAnsi="宋体"/>
          <w:sz w:val="24"/>
        </w:rPr>
        <w:fldChar w:fldCharType="begin"/>
      </w:r>
      <w:r>
        <w:rPr>
          <w:rFonts w:ascii="宋体" w:hAnsi="宋体"/>
          <w:sz w:val="24"/>
        </w:rPr>
        <w:instrText xml:space="preserve"> PAGEREF _Toc234241304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"_Toc234241305" </w:instrText>
      </w:r>
      <w:r>
        <w:fldChar w:fldCharType="separate"/>
      </w:r>
      <w:r>
        <w:rPr>
          <w:rStyle w:val="18"/>
          <w:rFonts w:hint="eastAsia" w:ascii="宋体" w:hAnsi="宋体"/>
          <w:sz w:val="24"/>
        </w:rPr>
        <w:t>九、基金的存续</w:t>
      </w:r>
      <w:r>
        <w:rPr>
          <w:rFonts w:ascii="宋体" w:hAnsi="宋体"/>
          <w:sz w:val="24"/>
        </w:rPr>
        <w:tab/>
      </w:r>
      <w:r>
        <w:rPr>
          <w:rFonts w:ascii="宋体" w:hAnsi="宋体"/>
          <w:sz w:val="24"/>
        </w:rPr>
        <w:fldChar w:fldCharType="begin"/>
      </w:r>
      <w:r>
        <w:rPr>
          <w:rFonts w:ascii="宋体" w:hAnsi="宋体"/>
          <w:sz w:val="24"/>
        </w:rPr>
        <w:instrText xml:space="preserve"> PAGEREF _Toc234241305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"_Toc234241306" </w:instrText>
      </w:r>
      <w:r>
        <w:fldChar w:fldCharType="separate"/>
      </w:r>
      <w:r>
        <w:rPr>
          <w:rStyle w:val="18"/>
          <w:rFonts w:hint="eastAsia" w:ascii="宋体" w:hAnsi="宋体"/>
          <w:sz w:val="24"/>
        </w:rPr>
        <w:t>十、基金份额的申购与赎回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_Toc234241306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"_Toc234241307" </w:instrText>
      </w:r>
      <w:r>
        <w:fldChar w:fldCharType="separate"/>
      </w:r>
      <w:r>
        <w:rPr>
          <w:rStyle w:val="18"/>
          <w:rFonts w:hint="eastAsia" w:ascii="宋体" w:hAnsi="宋体"/>
          <w:sz w:val="24"/>
        </w:rPr>
        <w:t>十一、基金的费用与税收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_Toc234241307 \h </w:instrText>
      </w:r>
      <w:r>
        <w:rPr>
          <w:rFonts w:ascii="宋体" w:hAnsi="宋体"/>
          <w:sz w:val="24"/>
        </w:rPr>
        <w:fldChar w:fldCharType="separate"/>
      </w:r>
      <w:r>
        <w:rPr>
          <w:rFonts w:ascii="宋体" w:hAnsi="宋体"/>
          <w:sz w:val="24"/>
        </w:rPr>
        <w:t>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"_Toc234241308"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_Toc234241308 \h </w:instrText>
      </w:r>
      <w:r>
        <w:rPr>
          <w:rFonts w:ascii="宋体" w:hAnsi="宋体"/>
          <w:sz w:val="24"/>
        </w:rPr>
        <w:fldChar w:fldCharType="separate"/>
      </w:r>
      <w:r>
        <w:rPr>
          <w:rFonts w:ascii="宋体" w:hAnsi="宋体"/>
          <w:sz w:val="24"/>
        </w:rPr>
        <w:t>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"_Toc234241309"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_Toc234241309 \h </w:instrText>
      </w:r>
      <w:r>
        <w:rPr>
          <w:rFonts w:ascii="宋体" w:hAnsi="宋体"/>
          <w:sz w:val="24"/>
        </w:rPr>
        <w:fldChar w:fldCharType="separate"/>
      </w:r>
      <w:r>
        <w:rPr>
          <w:rFonts w:ascii="宋体" w:hAnsi="宋体"/>
          <w:sz w:val="24"/>
        </w:rPr>
        <w:t>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"_Toc234241310"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_Toc234241310 \h </w:instrText>
      </w:r>
      <w:r>
        <w:rPr>
          <w:rFonts w:ascii="宋体" w:hAnsi="宋体"/>
          <w:sz w:val="24"/>
        </w:rPr>
        <w:fldChar w:fldCharType="separate"/>
      </w:r>
      <w:r>
        <w:rPr>
          <w:rFonts w:ascii="宋体" w:hAnsi="宋体"/>
          <w:sz w:val="24"/>
        </w:rPr>
        <w:t>75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"_Toc234241311"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_Toc234241311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"_Toc234241312"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_Toc234241312 \h </w:instrText>
      </w:r>
      <w:r>
        <w:rPr>
          <w:rFonts w:ascii="宋体" w:hAnsi="宋体"/>
          <w:sz w:val="24"/>
        </w:rPr>
        <w:fldChar w:fldCharType="separate"/>
      </w:r>
      <w:r>
        <w:rPr>
          <w:rFonts w:ascii="宋体" w:hAnsi="宋体"/>
          <w:sz w:val="24"/>
        </w:rPr>
        <w:t>78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"_Toc234241313"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_Toc234241313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"_Toc234241314" </w:instrText>
      </w:r>
      <w:r>
        <w:fldChar w:fldCharType="separate"/>
      </w:r>
      <w:r>
        <w:rPr>
          <w:rStyle w:val="18"/>
          <w:rFonts w:hint="eastAsia" w:ascii="宋体" w:hAnsi="宋体"/>
          <w:sz w:val="24"/>
        </w:rPr>
        <w:t>十八、基金合同的终止与基金财产的清算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_Toc234241314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"_Toc234241315" </w:instrText>
      </w:r>
      <w:r>
        <w:fldChar w:fldCharType="separate"/>
      </w:r>
      <w:r>
        <w:rPr>
          <w:rStyle w:val="18"/>
          <w:rFonts w:hint="eastAsia" w:ascii="宋体" w:hAnsi="宋体"/>
          <w:sz w:val="24"/>
        </w:rPr>
        <w:t>十九、基金托管人</w:t>
      </w:r>
      <w:r>
        <w:rPr>
          <w:rFonts w:ascii="宋体" w:hAnsi="宋体"/>
          <w:sz w:val="24"/>
        </w:rPr>
        <w:tab/>
      </w:r>
      <w:r>
        <w:rPr>
          <w:rFonts w:ascii="宋体" w:hAnsi="宋体"/>
          <w:sz w:val="24"/>
        </w:rPr>
        <w:fldChar w:fldCharType="begin"/>
      </w:r>
      <w:r>
        <w:rPr>
          <w:rFonts w:ascii="宋体" w:hAnsi="宋体"/>
          <w:sz w:val="24"/>
        </w:rPr>
        <w:instrText xml:space="preserve"> PAGEREF _Toc234241315 \h </w:instrText>
      </w:r>
      <w:r>
        <w:rPr>
          <w:rFonts w:ascii="宋体" w:hAnsi="宋体"/>
          <w:sz w:val="24"/>
        </w:rPr>
        <w:fldChar w:fldCharType="separate"/>
      </w:r>
      <w:r>
        <w:rPr>
          <w:rFonts w:ascii="宋体" w:hAnsi="宋体"/>
          <w:sz w:val="24"/>
        </w:rPr>
        <w:t>89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"_Toc234241316" </w:instrText>
      </w:r>
      <w:r>
        <w:fldChar w:fldCharType="separate"/>
      </w:r>
      <w:r>
        <w:rPr>
          <w:rStyle w:val="18"/>
          <w:rFonts w:hint="eastAsia" w:ascii="宋体" w:hAnsi="宋体"/>
          <w:sz w:val="24"/>
        </w:rPr>
        <w:t>二十、境外资产托管人</w:t>
      </w:r>
      <w:r>
        <w:rPr>
          <w:rFonts w:ascii="宋体" w:hAnsi="宋体"/>
          <w:sz w:val="24"/>
        </w:rPr>
        <w:tab/>
      </w:r>
      <w:r>
        <w:rPr>
          <w:rFonts w:ascii="宋体" w:hAnsi="宋体"/>
          <w:sz w:val="24"/>
        </w:rPr>
        <w:fldChar w:fldCharType="begin"/>
      </w:r>
      <w:r>
        <w:rPr>
          <w:rFonts w:ascii="宋体" w:hAnsi="宋体"/>
          <w:sz w:val="24"/>
        </w:rPr>
        <w:instrText xml:space="preserve"> PAGEREF _Toc234241316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"_Toc234241317" </w:instrText>
      </w:r>
      <w:r>
        <w:fldChar w:fldCharType="separate"/>
      </w:r>
      <w:r>
        <w:rPr>
          <w:rStyle w:val="18"/>
          <w:rFonts w:hint="eastAsia" w:ascii="宋体" w:hAnsi="宋体"/>
          <w:sz w:val="24"/>
        </w:rPr>
        <w:t>二十一、相关服务机构</w:t>
      </w:r>
      <w:r>
        <w:rPr>
          <w:rFonts w:ascii="宋体" w:hAnsi="宋体"/>
          <w:sz w:val="24"/>
        </w:rPr>
        <w:tab/>
      </w:r>
      <w:r>
        <w:rPr>
          <w:rFonts w:ascii="宋体" w:hAnsi="宋体"/>
          <w:sz w:val="24"/>
        </w:rPr>
        <w:fldChar w:fldCharType="begin"/>
      </w:r>
      <w:r>
        <w:rPr>
          <w:rFonts w:ascii="宋体" w:hAnsi="宋体"/>
          <w:sz w:val="24"/>
        </w:rPr>
        <w:instrText xml:space="preserve"> PAGEREF _Toc234241317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"_Toc234241318" </w:instrText>
      </w:r>
      <w:r>
        <w:fldChar w:fldCharType="separate"/>
      </w:r>
      <w:r>
        <w:rPr>
          <w:rStyle w:val="18"/>
          <w:rFonts w:hint="eastAsia" w:ascii="宋体" w:hAnsi="宋体"/>
          <w:sz w:val="24"/>
        </w:rPr>
        <w:t>二十二、基金合同内容摘要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_Toc234241318 \h </w:instrText>
      </w:r>
      <w:r>
        <w:rPr>
          <w:rFonts w:ascii="宋体" w:hAnsi="宋体"/>
          <w:sz w:val="24"/>
        </w:rPr>
        <w:fldChar w:fldCharType="separate"/>
      </w:r>
      <w:r>
        <w:rPr>
          <w:rFonts w:ascii="宋体" w:hAnsi="宋体"/>
          <w:sz w:val="24"/>
        </w:rPr>
        <w:t>130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"_Toc234241319" </w:instrText>
      </w:r>
      <w:r>
        <w:fldChar w:fldCharType="separate"/>
      </w:r>
      <w:r>
        <w:rPr>
          <w:rStyle w:val="18"/>
          <w:rFonts w:hint="eastAsia" w:ascii="宋体" w:hAnsi="宋体"/>
          <w:sz w:val="24"/>
        </w:rPr>
        <w:t>二十三、托管协议的内容摘要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_Toc234241319 \h </w:instrText>
      </w:r>
      <w:r>
        <w:rPr>
          <w:rFonts w:ascii="宋体" w:hAnsi="宋体"/>
          <w:sz w:val="24"/>
        </w:rPr>
        <w:fldChar w:fldCharType="separate"/>
      </w:r>
      <w:r>
        <w:rPr>
          <w:rFonts w:ascii="宋体" w:hAnsi="宋体"/>
          <w:sz w:val="24"/>
        </w:rPr>
        <w:t>148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"_Toc234241320" </w:instrText>
      </w:r>
      <w:r>
        <w:fldChar w:fldCharType="separate"/>
      </w:r>
      <w:r>
        <w:rPr>
          <w:rStyle w:val="18"/>
          <w:rFonts w:hint="eastAsia" w:ascii="宋体" w:hAnsi="宋体"/>
          <w:sz w:val="24"/>
        </w:rPr>
        <w:t>二十四、对基金份额持有人的服务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_Toc234241320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"_Toc234241321" </w:instrText>
      </w:r>
      <w:r>
        <w:fldChar w:fldCharType="separate"/>
      </w:r>
      <w:r>
        <w:rPr>
          <w:rStyle w:val="18"/>
          <w:rFonts w:hint="eastAsia" w:ascii="宋体" w:hAnsi="宋体"/>
          <w:sz w:val="24"/>
        </w:rPr>
        <w:t>二十五、其他应披露事项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_Toc234241321 \h </w:instrText>
      </w:r>
      <w:r>
        <w:rPr>
          <w:rFonts w:ascii="宋体" w:hAnsi="宋体"/>
          <w:sz w:val="24"/>
        </w:rPr>
        <w:fldChar w:fldCharType="separate"/>
      </w:r>
      <w:r>
        <w:rPr>
          <w:rFonts w:ascii="宋体" w:hAnsi="宋体"/>
          <w:sz w:val="24"/>
        </w:rPr>
        <w:t>160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"_Toc234241322" </w:instrText>
      </w:r>
      <w:r>
        <w:fldChar w:fldCharType="separate"/>
      </w:r>
      <w:r>
        <w:rPr>
          <w:rStyle w:val="18"/>
          <w:rFonts w:hint="eastAsia" w:ascii="宋体" w:hAnsi="宋体"/>
          <w:sz w:val="24"/>
        </w:rPr>
        <w:t>二十六、招募说明书的存放及查阅方式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_Toc234241322 \h </w:instrText>
      </w:r>
      <w:r>
        <w:rPr>
          <w:rFonts w:ascii="宋体" w:hAnsi="宋体"/>
          <w:sz w:val="24"/>
        </w:rPr>
        <w:fldChar w:fldCharType="separate"/>
      </w:r>
      <w:r>
        <w:rPr>
          <w:rFonts w:ascii="宋体" w:hAnsi="宋体"/>
          <w:sz w:val="24"/>
        </w:rPr>
        <w:t>164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"_Toc234241323" </w:instrText>
      </w:r>
      <w:r>
        <w:fldChar w:fldCharType="separate"/>
      </w:r>
      <w:r>
        <w:rPr>
          <w:rStyle w:val="18"/>
          <w:rFonts w:hint="eastAsia" w:ascii="宋体" w:hAnsi="宋体"/>
          <w:sz w:val="24"/>
        </w:rPr>
        <w:t>二十七、备查文件</w:t>
      </w:r>
      <w:r>
        <w:rPr>
          <w:rFonts w:ascii="宋体" w:hAnsi="宋体"/>
          <w:sz w:val="24"/>
        </w:rPr>
        <w:tab/>
      </w:r>
      <w:r>
        <w:rPr>
          <w:rFonts w:ascii="宋体" w:hAnsi="宋体"/>
          <w:sz w:val="24"/>
        </w:rPr>
        <w:fldChar w:fldCharType="begin"/>
      </w:r>
      <w:r>
        <w:rPr>
          <w:rFonts w:ascii="宋体" w:hAnsi="宋体"/>
          <w:sz w:val="24"/>
        </w:rPr>
        <w:instrText xml:space="preserve"> PAGEREF _Toc234241323 \h </w:instrText>
      </w:r>
      <w:r>
        <w:rPr>
          <w:rFonts w:ascii="宋体" w:hAnsi="宋体"/>
          <w:sz w:val="24"/>
        </w:rPr>
        <w:fldChar w:fldCharType="separate"/>
      </w:r>
      <w:r>
        <w:rPr>
          <w:rFonts w:ascii="宋体" w:hAnsi="宋体"/>
          <w:sz w:val="24"/>
        </w:rPr>
        <w:t>165</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241297"/>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合格境内机构投资者境外证券投资管理试行办法》（以下简称《试行办法》）、《关于实施&lt;合格境内机构投资者境外证券投资管理试行办法&gt;有关问题的通知》（以下简称《通知》）、《公开募集开放式证券投资基金流动性风险管理规定》（以下简称“《流动性规定》”）和其他相关法律法规的规定以及《交银施罗德环球精选价值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241298"/>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基金或本基金 指交银施罗德环球精选价值证券投资基金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 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 指中国建设银行股份有限公司（以下简称“中国建设银行”）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基金合同或本基金合同 指《交银施罗德环球精选价值证券投资基金基金合同》及对本基金合同的任何有效修订和补充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托管协议 指基金管理人与基金托管人就本基金签订之《交银施罗德环球精选价值证券投资基金托管协议》及对该托管协议的任何有效修订和补充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 指《交银施罗德环球精选价值证券投资基金招募说明书》及其更新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基金份额发售公告 指本基金根据《运作办法》变更为混合型基金前的《交银施罗德环球精选价值证券投资基金份额发售公告》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基金产品资料概要 指《交银施罗德环球精选价值证券投资基金基金产品资料概要》及其更新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 指中国现行有效并公布实施的法律、行政法规、部门规章及规范性文件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《基金法》 指2003年10月28日经第十届全国人民代表大会常务委员会第五次会议通过，自2004年6月1日起实施的《中华人民共和国证券投资基金法》及颁布机关对其不时做出的修订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《销售办法》 指中国证监会于2011年6月9日颁布、自同年10月1日起实施的《证券投资基金销售管理办法》及颁布机关对其不时做出的修订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《信息披露办法》 指中国证监会于2019年7月26日颁布、自同年9月1日起实施的《公开募集证券投资基金信息披露管理办法》及颁布机关对其不时做出的修订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《运作办法》 指中国证监会于2004年6月29日颁布、自同年7月1日起实施的《证券投资基金运作管理办法》及颁布机关对其不时做出的修订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《试行办法》 指中国证监会于2007年6月18日公布、自同年7月5日起实施的《合格境内机构投资者境外证券投资管理试行办法》及发布机关对其不时做出的修订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《通知》 指中国证监会于2007年6月18日公布、自同年7月5日起实施的《关于实施&lt;合格境内机构投资者境外证券投资管理试行办法&gt;有关问题的通知》及发布机关对其不时做出的修订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《流动性规定》 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 就本基金合同之目的，指中华人民共和国，但不包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括香港特别行政区、澳门特别行政区和台湾地区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中国证监会 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银行业监督管理机构 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国家外汇局 指国家外汇管理局或其授权的代表机构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基金合同当事人 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 指年满18周岁，合法持有现时有效的中华人民共和国居民身份证、军人证件等有效身份证的中国公民，以及中国证监会批准的其他可以投资基金的自然人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机构投资者 指依法可以投资开放式证券投资基金的、在中华人民共和国境内合法注册登记并存续或经有关政府部门批准设立并存续的企业法人、事业法人、社会团体或其他组织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 指个人投资者、机构投资者以及法律法规或中国证监会允许购买证券投资基金的其他投资人的合称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 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基金销售业务 指基金管理人或代销机构宣传推介基金，发售基金份额，办理基金份额的申购、赎回、转换、非交易过户、转托管及定期定额投资等业务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 指直销机构和代销机构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 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代销机构 指符合《销售办法》和中国证监会规定的其他条件，取得基金代销业务资格并与基金管理人签订了基金销售服务代理协议，代为办理基金销售业务的机构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基金销售网点 指直销机构的直销中心及代销机构的代销网点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登记结算业务 指基金登记、存管、过户、清算和结算业务，具体内容包括投资人基金账户的建立和管理、基金份额注册登记、基金销售业务的确认、清算和结算、代理发放红利、建立并保管基金份额持有人名册等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登记结算机构 指办理登记结算业务的机构。基金的登记结算机构为交银施罗德基金管理有限公司或接受交银施罗德基金管理有限公司委托代为办理登记结算业务的机构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境外投资顾问 指符合《试行办法》规定的条件，为本基金境外证券投资提供证券买卖建议或投资组合管理等服务的境外金融机构；境外投资顾问由基金管理人选择、更换和撤销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境外资产托管人 指符合《试行办法》规定的条件，接受基金托管人委托，负责本基金境外资产托管业务的境外金融机构；境外资产托管人由基金托管人选择、更换和撤销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基金账户 指登记结算机构为投资人开立的、记录其持有的、基金管理人所管理的基金份额余额及其变动情况的账户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基金交易账户 指销售机构为投资人开立的、记录投资人通过该销售机构买卖本基金的基金份额变动及结余情况的账户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基金合同生效日 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基金合同终止日 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基金募集期 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 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工作日 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开放日 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T日 指销售机构在规定时间受理投资人申购、赎回或其他业务申请的工作日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T+n日 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交易时间 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认购 指在基金募集期内，投资人申请购买基金份额的行为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 指基金合同生效后，投资人根据招募说明书和基金合同的规定申请购买基金份额的行为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 指基金合同生效后，基金份额持有人按基金合同规定的条件要求将基金份额兑换为现金的行为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转托管 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 指投资人通过向有关销售机构提交申请，约定每期申购日、扣款金额及扣款方式，由指定的销售机构在投资人指定资金账户内自动扣款并于每期约定的申购日提交基金申购申请的一种投资方式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 指本基金单个开放日，基金净赎回申请(赎回申请份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额总数加上基金转换中转出申请份额总数后扣除申购申请份额总数及基金转换中转入申请份额总数后的余额)超过上一开放日基金总份额的10%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元 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 指基金投资所得红利、股息、债券利息、买卖证券价差、银行存款利息、其他合法收入及因运用基金财产带来的成本和费用的节约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 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 指基金份额持有人按照本基金合同和基金管理人届 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 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 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基金资产估值 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A类基金份额：指在投资人申购时收取申购费用且不从本类别基金资产中计提销售服务费的基金份额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指在投资人申购时不收取申购费用，并从本类别基金资产中计提销售服务费的基金份额（其中，对于投资人通过直销机构申购的C类基金份额，计提的销售服务费将在投资人赎回相应基金份额或基金合同终止时随赎回款或清算款一并返还给投资人；对于投资人通过其他销售机构申购的C类基金份额，持续持有超过一年（即365天，下同）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流动性受限资产 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指定媒介 指中国证监会指定的用以进行信息披露的全国性报刊及指定互联网网站（包括基金管理人网站、基金托管人网站、中国证监会基金电子披露网站）等媒介公司行为信息 指证券发行人所公告的会或将会影响到基金资产的价值及权益的任何未完成或已完成的行动，及其他与本基金持仓证券所投资的发行公司有关的重大信息，包括但不限于权益派发、配股、提前赎回等信息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不可抗力 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行为信息：指证券发行人所公告的会或将会影响到基金资产的价值及权益的任何未完成或已完成的行动，及其他与本基金持仓证券所投资的发行公司有关的重大信息，包括但不限于权益派发、配股、提前赎回等信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241299"/>
      <w:r>
        <w:rPr>
          <w:rFonts w:ascii="Times New Roman" w:hAnsi="Times New Roman"/>
          <w:sz w:val="30"/>
        </w:rPr>
        <w:t>三、风险揭示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境外证券市场，基金净值会因为境外证券市场波动等因素产生波动。本基金股票资产占基金资产的60%-100%，重点投资于香港、欧洲、美国和新兴市场的权益类资产，其中投资于香港证券市场的股票占基金资产的比例为10%-50%，投资于全球其他证券市场的股票和基金占基金资产的比例为40%-70%，上述主要投资证券市场的波动将会影响本基金的净值表现。基金投资中出现的风险分为如下两类，一是境外投资产品风险，包括海外市场风险、汇率风险、政治风险等；二是基金投资的一般风险，包括利率风险、信用风险、流动性风险、衍生品风险等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（一）全球投资的特殊风险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1、海外市场风险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市场风险是指由于市场因素如基础利率、汇率、股票价格和商品价格的变化或由于这些市场因素的波动率的变化而引起的证券价格的非预期变化，并产生损失的可能性。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本基金将投资于海外股票市场，因此一方面基金净值会因全球股市的整体变化而出现价格波动。另一方面，各国各地区处于不同的产业经济循环周期之中，这也将对基金的投资绩效产生影响。具体而言，海外股票市场对于负面的特定事件的反映各不相同；各国或地区有其独特的政治因素、法律法规、市场状况、经济发展趋势；并且美国、英国、香港等证券交易市场对每日证券交易价格并无涨跌幅上下限的规定，使得这些国家或地区证券的每日涨跌幅空间相对较大。以上所述因素都可能会带来市场的急剧下跌，从而导致投资风险的增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方面，本基金每日的净资产价值以人民币计价，因此当汇率发生变动时，将会影响到人民币计价的净资产价值。另一方面，本基金国际投资部分以美元计价，对应资产可能投资于以非美元报价的各类资产，因此非美元资产的表现将受资产所持货币兑美元的汇率变动所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3、法律及政治管制风险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由于各个国家/地区适用不同法律法规的原因，可能导致本基金的某些投资行为在部分国家/地区受到限制或合同不能正常执行，从而使得基金资产面临损失的可能性。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同时，在本基金所投资国家或地区中，包含成熟市场以及新兴市场。新兴市场国家一般对外汇的管制较严格，因此存在一定的外汇管制风险，可能导致汇兑损益。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4、政治风险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或地区的财政政策、货币政策、产业政策、地区发展政策等宏观政策发生变化，导致市场波动而影响基金收益，也会产生风险，称之为政治风险。例如，外国政府可能会鉴于政治上的优先考虑，改变支付政策；新政府或许会拒绝承担前任政府的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全球市场为主要的投资地区，因此全球的政治、社会或经济情势的变动(包括天然灾害、战争、暴动或罢工等)，都可能对本基金所参与的投资市场或投资产品造成直接或者是间接的负面冲击。本基金将在内部及外部研究机构的支持下，密切关注各国政治、经济和产业政策的变化，适时调整投资策略以应对政治风险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5、境外上市公司经营风险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境外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6、新兴市场风险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本基金可投资于海外新兴市场，鉴于各新兴市场特有的监管制度以及特点，包括市场准入制度、外汇管制制度等，可能对本基金参与新兴市场的投资收益产生直接或间接的影响。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7、初级产品风险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本基金不直接投资于钢材、石油、煤炭、有色金属等初级产品，但上述初级产品价格的不利变化可能对本基金部分投资标的带来负面影响，从而对本基金参与相关证券投资的收益带来间接的影响。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8、税务风险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投资各国或地区市场时，因各国、地区税务法律法规的不同，可能会就股息、利息、资本利得等收益向各国、地区税务机构缴纳税金，包括预扣税，该行为可能会使得资产回报受到一定影响。各国、地区的税收法律法规的规定可能变化，或者加以具有追溯力的修订，所以可能须向该等国家或地区缴纳本基金销售、估值或者出售投资当日并未预计的额外税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本基金在投资海外市场时会事先了解清楚各地区的税务法律法规，同时，在境外投资顾问和境外资产托管人的协助下，完成投资所在国家或地区的税务扣缴工作。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9、会计核算风险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由于各个国家/地区对上市公司日常经营活动的会计处理、财务报表披露等会计核算标准的规定存在一定差异，可能导致基金经理对公司盈利能力、投资价值的判断产生偏差，从而给本基金投资带来潜在风险。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（二）基金投资的一般风险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1、利率风险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金融市场利率的波动会导致证券市场价格和收益率的变动。利率直接影响着债券的价格和收益率，影响着企业的融资成本和利润。基金投资于债券和债券回购，其收益水平会受到利率变化和货币市场供求状况的影响。 各个国家或地区的利率变动还将影响该地区的经济与汇率等。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但本基金主要投资于基金与股票，而利率的波动仅间接影响到股市，因此利率风险对本基金的影响相对较低。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由于境外市场的交易日、交易时间、结算规则等与国内存在一定的差异，本基金有关申购、赎回的开放与交易确认的安排不同于国内一般开放式基金。本基金赎回款项到达投资人指定账户需要更长的时间。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（1）交易结算风险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基金在证券交割或现金交割过程中,由于交易对手违约而引发的风险。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（2）债券投资的信用风险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基金所投资债券之发行人出现违约、拒绝支付到期本息，可能导致基金资产损失和收益变化，从而产生风险。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本基金为混合型基金，故股票持仓比例将维持较高水平。如果投资目标市场的股票市场出现整体下跌，本基金的净值表现将受到影响。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6、衍生品风险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衍生工具是为了有效管理金融风险而设计的工具，一般是一种私人合约，其价值是从一些基础资产价格、参考利率或指数中派生出来的。由于事先涉及的现金流相对较少，所以衍生工具有杠杆作用，即涉及借款问题。然而，杠杆作用是一把双刃剑。一方面，由于交易成本非常低，杠杆作用可使衍生工具成为一种对冲风险和投机的有效工具；另一方面，由于事先涉及的现金支付较少，因此就更加难以评估潜在的下跌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本基金投资衍生品的目的是为了对冲风险，而不是投机，会通过控制规模、计算风险价值等手段来有效控制风险。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7、正回购/逆回购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在回购交易中，交易对手方可能因财务状况或其它原因不能履行付款或结算的义务，从而对基金资产价值造成不利影响。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8、证券借贷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作为证券借出方，如果交易对手方（即证券借入方）违约，则基金可能面临到期无法获得证券借贷收入甚至借出证券无法归还的风险，从而导致基金资产发生损失。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9、操作风险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境外投资涉及复杂的业务环节及不同的当事方，在各业务环节的操作过程中，可能因内部控制不到位或者人为因素造成操作失误或违反操作规程而引致风险；本基金后台运作中，可能因为技术系统故障或者差错而影响交易的正常进行甚至导致基金份额持有人利益受到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（1）系统故障风险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当计算机系统、通信网络等技术保障系统出现异常情况，可能导致基金日常的赎回无法按正常时限完成、注册登记系统瘫痪、核算系统无法按正常时限产生净值、基金的投资交易指令无法及时传输等风险。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（2）金融模型风险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金融模型风险是指由于投资决策或风险管理依赖的金融模型错误或参数不准确而引发的风险。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（3）人为操作失误风险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基金经理或交易员在境外证券投资管理业务过程中由于人为失误，造成错误指令或错误交易，从而引发操作风险，给投资人带来损失。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241300"/>
      <w:r>
        <w:rPr>
          <w:rFonts w:ascii="Times New Roman" w:hAnsi="Times New Roman"/>
          <w:sz w:val="30"/>
        </w:rPr>
        <w:t>四、基金的投资</w:t>
      </w:r>
      <w:bookmarkEnd w:id="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（一）投资理念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理念是：坚持价值投资理念，通过深入的基本面研究，在全球范围内对基金资产进行有效配置以降低组合风险，同时积极挖掘非完全有效市场中的投资机会获取超额收益率，帮助投资人实现长期资本增值的目标。该理念至少包含以下几个方面的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1、不同国家和地区的股票市场之间显示着或强或弱的相关性，其中中国A股市场与其他国家市场的相关性较低，通过跨境投资，可以分散单一市场集中投资的风险，改善收益。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市场通常并非完全有效，例如短期内的市场情绪可能比股票的基本面更能影响股票资产价格，使其产生更大幅度的波动，即过度反应使得股票价格倾向于过度上涨或者过度下跌。我们认为，在非完全有效的市场中，通过专业研究可以获得信息优势，获取超额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全球范围内，投资于具备良好成长前景、持续竞争优势、定价合理的高质量上市公司能创造长期卓越的投资回报。我们相信深入的基本面研究配合全面的宏观经济分析是挖掘具有上述资质的上述公司的最有效的方法，有助于我们识别市场中的估值洼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通过全球资产配置和灵活分散投资，在有效分散和控制风险的前提下，实现长期资本增值。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本基金对基金的投资限于除香港以外的国际市场。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tbl>
      <w:tblPr>
        <w:tblStyle w:val="14"/>
        <w:tblW w:w="5000" w:type="pct"/>
        <w:tblInd w:w="0" w:type="dxa"/>
        <w:tblLayout w:type="autofit"/>
        <w:tblCellMar>
          <w:top w:w="0" w:type="dxa"/>
          <w:left w:w="0" w:type="dxa"/>
          <w:bottom w:w="0" w:type="dxa"/>
          <w:right w:w="0" w:type="dxa"/>
        </w:tblCellMar>
      </w:tblPr>
      <w:tblGrid>
        <w:gridCol w:w="2167"/>
        <w:gridCol w:w="6503"/>
      </w:tblGrid>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60-100%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债券、货币市场工具以及中国证监会允许基金投资的其他金融工具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本基金的业绩比较基准为：70%×标准普尔全球大中盘指数(S&amp;P Global LargeMidCap Index)+30%×恒生指数。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标准普尔全球大中盘指数(S&amp;P Global LargeMidCap Index)属于标准普尔全球BMI指数系列（S&amp;P Global BMI Indices），该系列指数包含了全球行业分类标准33500多家公司中最大的1万家公司（每家市值均超过1亿美元），这1万家公司占据了全球证券市场97%的份额。其中标准普尔全球大中盘指数(S&amp;P Global LargeMidCap Index)覆盖全球46个市场最大的2000多家上市公司，包括25个发达市场和21个发展中市场，占据了全球证券市场约78%的份额。该指数系列较好的代表了全球市场走势，在国际上被广泛采用为有关投资产品的业绩基准。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恒生指数是由恒生银行附属的恒指服务公司编制，它是香港蓝筹股价变化的指标。恒生指数成份股分别纳入工商业、金融、地产和公用事业四个分类指数。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本基金采取70%的标准普尔全球大中盘指数与30%的恒生指数之和作为基金的投资基准，该业绩基准涵盖了本基金重点投资的主要股票市场，充分反映上述股票市场的综合表现，是市场中兼具代表性与权威性的指数。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今后法律法规发生变化，或基金变更投资范围，或市场出现更具权威、且更能够表征本基金风险收益特征的指数，则本基金管理人将视情况调整本基金的业绩评价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1、资产的类别配置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本基金充分运用施罗德集团全球研究团队的优势，通过深入分析全球宏观经济和区域经济环境，把握全球资本市场的变化趋势，结合定性分析和定量分析进行大类资产的配置。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大类资产的配置过程中本基金运用了施罗德集团的全球资产配置模型，该模型输入了来自资产类别分析专家、宏观经济分析师和多元化资产专家对宏观经济的周期性因素、各类资产的估值因素以及市场趋势的分析和判断，并通过量化模型确定大类资产的配置比例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有效分散和降低投资组合的整体风险，在不影响组合收益的情况下降低波动率或者增加组合收益为正的可能性，本基金对于资产类别的选择亦会根据对市场趋势的研判适时考虑投资具有以下特点的特殊资产，即与全球主要证券市场的股票的相关性较低的产业或资产，如房地产基金（REITS）和能源、资源类商品期货基金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2、资产的国家/地区配置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全球经济以及区域化经济发展、不同国家或地区经济体的宏观经济变化和经济增长情况，以及各证券市场的表现和全球资本的流动情况，本基金将挑选一些特定国家或地区的股票或基金作为重点投资对象，增加相应目标市场在资产组合中的配置比例，包括的目标市场有：香港市场、欧洲市场、美国市场、新兴市场等。其中，本基金投资于香港证券市场公开发行上市的股票占基金资产的比例为10%-50%；投资于全球其他证券市场的股票和基金占基金资产的比例为40%-70%。在基金实际管理过程中，管理人将借鉴施罗德集团的全球资产配置模型，根据各地区宏观经济情况和证券市场的变化，对上述重点投资的目标市场适时进行阶段性调整，实现资产在国家或地区间的有效配置，构建具备持续增长潜力的资产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3、股票及公募基金的选择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本基金在确定国家配置比例的基础上，将根据目标证券市场的特点选择品质优良、估值合理的上市公司股票，或业绩优良、符合本基金组合投资需求的基金进行投资。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（1）股票的选择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本基金管理人将综合运用交银施罗德的股票研究分析方法和其它投资分析工具，自下而上精选品质优良、具备持续竞争优势、定价合理的上市公司股票进行投资。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利用施罗德集团的全球投资研究网络和分析方法，本基金管理人将本土专业化研究和全球视角审视相结合，采取“二维矩阵”方法来保证选股安全和质量，构建高质量的投资组合。具体分以下三个层次进行：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1）本土研究和全球视角相结合的品质筛选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上市公司股票的品质筛选分为两个步骤进行，首先是基于本土研究的品质筛选。通过各个市场本土分析师的定量的筛选技术以及定性的分析研究，挑选出规模适合、流动性充足和财务状况良好的上市公司。然后对上述通过初选的上市公司股票进行进一步深入的研究分析，根据每一家上市公司在其当地市场的表现，分1-4级进行评级。筛选和评级主要考察的因素和指标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①规模和流动性：如市值和换手率等，对于规模过小或流动性差的股票进行剔除；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②盈利能力：如P/E、P/Cash Flow、P/FCF、P/S、P/EBIT等；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③经营效率：如ROE、ROA、Return on operating assets等；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④财务状况：如D/A、流动比率等。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于本土研究的品质筛选后，利用施罗德集团的全球投资研究网络，由全球行业研究专家在其覆盖的行业研究领域内，针对上一步骤中评级为1级和2级的上市公司进行二次筛选。与上一步骤本土研究中关注当地市场环境不同，这一步骤主要对于上市公司相对于全球行业动态增长的相对表现进行评估，挑选行业中最具增长潜力的上市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2）公司质量评价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对上市公司直接接触和实地调研，了解并评估公司治理结构、公司战略、所处行业的竞争动力、公司的财务特点，以决定股票的合理估值中应该考虑的折价或溢价水平。在调研基础上，分析员依据公司成长性、盈利能力可预见性、盈利质量、管理层素质、流通股东受关注程度等五大质量排名标准给每个目标公司进行评分，挑选出具有持续的竞争优势、良好的中期成长性，以及优良的管理质量和财务状况的上市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3）多元化价值评估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在质量评估的基础上，根据上市公司所处的不同行业特点，综合运用多元化的股票估值指标，对股票进行合理估值，并评定投资级别。在明确的价值评估基础上选择定价合理或价值被低估的投资标的。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（2）基金的选择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根据本基金的投资组合策略确定拟投资的地区或类别，通过定性与定量相结合的分析，寻找在投资目标、投资策略及风险和收益等方面符合本基金组合投资需求的基金。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对基金的考察主要包括以下几个方面：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①基金管理人所管理基金的长期历史业绩良好，主要管理人员相对稳定，其中，对于基金业绩的衡量包括对于收益、风险以及风险和收益的配比等多方面的考察；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②基金管理人的财务状况稳健，具有严格的风险控制体系；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③基金的投资风格和业绩表现具有可持续性。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全球宏观经济运行趋势及其引致不同国家或地区的财政货币政策变化作出判断，运用数量化工具，对不同国家及地区未来市场利率趋势及市场信用环境变化作出预测，并综合考虑利率变化对债券品种的影响、收益率水平、信用风险的大小、流动性的好坏等因素，构造债券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主要的债券投资策略是：久期调整策略、收益率曲线策略、债券类属配置策略、骑乘策略、相对价值策略、信用利差策略、回购放大策略以及资产支持证券投资策略等。具体如下：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 久期调整策略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本基金将根据对利率水平的预期，在预期利率下降时，增加组合久期，以较多地获得债券价格上升带来的收益，在预期利率上升时，减小组合久期，以规避债券价格下降的风险。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 收益率曲线策略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在久期确定的基础上，根据对收益率曲线形状变化的预测，采用子弹型策略、哑铃型策略或梯形策略，在长期、中期和短期债券间进行配置，以从长、中、短期债券的相对价格变化中获利。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 债券类属配置策略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根据国债、金融债、企业债等不同债券板块之间的相对投资价值分析，增持价值被相对低估的债券板块，减持价值被相对高估的债券板块，借以取得较高收益。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 骑乘策略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分析收益率曲线各期限段的利差情况(通常是收益率曲线短端的1-3年)，买入收益率曲线最陡峭处所对应的期限债券，随着基金持有债券时间的延长，债券的剩余期限将缩短，到期收益率将下降，基金从而可获得资本利得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 相对价值策略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相对价值策略包括研究国债与金融债之间的信用利差、交易所与银行间的市场利差等。金融债与国债的利差由税收因素形成，利差的大小主要受市场资金供给充裕程度决定，资金供给越充分上述利差将越小。交易所与银行间的联动性随着市场改革势必渐渐加强，两市之间的利差能够提供一些增值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⑥ 信用利差策略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企业债与国债的利差曲线理论上受经济波动与企业生命周期影响，相同资信等级的公司债在利差期限结构上服从凸性回归均衡的规律。内外部评级的差别与信用等级的变动会造成相对利差的波动，另外在经济上升或下降的周期中企业债利差将缩小或扩大。管理人可以通过对内外部评级、利差曲线研究和经济周期的判断主动采用相对利差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⑦ 回购放大策略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该策略在资金相对充裕的情况下是风险很低的投资策略。即在基础组合的基础上，使用基础组合持有的债券进行回购放大融入短期资金滚动操作，同时选择2年以下的交易所和银行间品种进行投资以获取骑乘及短期债券与货币市场利率的利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⑧ 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资产抵押贷款支持证券(ABS)、住房抵押贷款支持证券(MBS)等资产支持证券，其定价受多种因素影响，包括市场利率、发行条款、支持资产的构成及质量、提前偿还率等。本基金将深入分析上述基本面因素，并辅助采用蒙特卡洛方法等数量化定价模型，评估其内在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（2）债券投资组合构建流程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固定收益分析师在全球经济框架下，及时根据宏观经济运行、货币政策及财政政策导向做出分析判断，并预测未来市场利率的变化情况。在此基础上，结合使用债券信用评级体系，对影响债券收益率的各种因素进行详尽的跟踪分析，决定债券组合的久期以及债券组合的期限结构配置，完成债券的类属配置和个券精选，构建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5、金融衍生品投资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金融衍生品仅限于投资组合避险和有效管理。如通过选择恰当的金融衍生品降低因市场风险大幅增加给投资组合带来的不利影响；利用金融衍生品交易成本低、流动性好等特点，有效帮助投资组合及时调整仓位，提高投资组合的运作效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6、制定阶段性投资策略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基金管理人将根据各地区宏观经济情况和证券市场的阶段性变化，确定阶段性的投资策略，包括资产在类别以及地区间的配置比例。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在符合有关法律法规规定的前提下，本基金还可通过证券借贷交易和回购交易等投资增加收益。未来，随着全球证券市场投资工具的发展和丰富，基金可相应调整和更新相关投资策略，并在更新招募说明书中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（七）投资决策依据及流程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为了保证整个投资组合计划的顺利贯彻与实施，本基金遵循以下投资决策依据以及具体的决策程序：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(1)国家有关法律法规和本基金合同的有关规定；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(2)全球宏观经济和各区域经济体发展态势、各国证券市场运行环境和走势，以及上市公司的基本面，本基金将在对宏观经济和上市公司的基本面进行深入研究的基础上进行投资；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(3)投资对象的预期收益和预期风险的匹配关系，本基金将在承担适度风险的范围内，选择收益风险配比最佳的品种进行投资。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投资决策委员会领导下的基金经理负责制。投资决策委员会定期就投资管理业务的重大问题进行讨论。基金经理、分析师、交易员在投资管理过程中既密切合作，又责任明确，在各自职责内按照业务程序独立工作并合理地相互制衡。具体的投资决策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研究将境外投资顾问的全球投资研究平台以及公司自身的投资研究平台相结合，由全球投资专家密切配合当地股票分析师的研究,对全球宏观经济和各区域经济体发展态势、各国证券市场运行环境和走势，以及上市公司的基本面进行分析，形成宏观经济、行业以及个股的投资分析报告，为投资策略提供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的投资决策委员会每月召开投资策略会议，决定基金的资产配置策略，包括在资产类别和区域间的配置比例。基金管理人可与境外投资顾问定期或不定期地举行会议，就全球宏观经济形势、各资产类别的市场表现以及各国资本市场的发展态势况等方面进行交流，境外投资顾问定期向基金管理人提供资产配置策略分析报告及相关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构建具体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(4)基金经理根据基金投资组合方案，下达交易指令，投资交易指令通过选定的交易券商的全球交易平台执行；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对基金的风险与绩效进行评估。根据事先约定,境外投资顾问向基金管理人提供有关基金组合的各种风险与绩效评估报告，基金管理人可根据上述报告对业绩贡献的构成、基金的投资策略以及执行情况进行评价，从而为资产配置和组合调整提供依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(6)基金管理人与境外投资顾问成立联合风险管理小组，根据中国证监会和境外相关市场的监管要求，建立相应的风险管理体系，实施有效的风险管理。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基金管理人可根据市场变化和实际情况的需要，对上述投资管理程序作出调整。如果更换或撤销境外投资顾问，本基金将在遵循上述投资策略的前提下，对其投资决策程序进行适当调整。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本基金在投资策略上兼顾投资原则以及开放式基金的固有特点，通过分散投资降低基金财产的非系统性风险，保持基金组合良好的流动性。基金的投资组合将遵循以下限制：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本基金持有同一家银行的存款不得超过基金净值的20%。银行应当是中资商业银行在境外设立的分行或在最近一个会计年度达到中国证监会认可的信用评级机构评级的境外银行，但在基金托管账户的存款不受此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本基金持有同一机构(政府、国际金融组织除外)发行的证券市值不得超过基金净值的10%。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(4)基金管理人管理的全部基金不得持有同一机构10%以上具有投票权的证券发行总量。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前项投资比例限制应当合并计算同一机构境内外上市的总股本，同时应当一并计算全球存托凭证和美国存托凭证所代表的基础证券，并假设对持有的股本权证行使转换。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本基金持有非流动性资产市值不得超过基金净值的10%。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前项非流动性资产是指法律或基金合同规定的流通受限证券以及中国证监会认定的其他资产。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 本基金持有境外基金的市值合计不得超过基金净值的10%，持有货币市场基金可以不受上述限制。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 基金管理人管理的全部基金持有任何一只境外基金，不得超过该境外基金总份额的20%。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 为应付赎回、交易清算等临时用途，借入现金的比例不得超过基金资产净值的10%。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 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 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 法律法规和基金合同规定的其他限制。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除上述第(9)、(10)项外，若基金超过上述投资比例限制，应当在超过比例后30个工作日内采用合理的商业措施减仓以符合投资比例限制要求。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除中国证监会另有规定外，基金不得有下列行为：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购买不动产。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购买房地产抵押按揭。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购买贵重金属或代表贵重金属的凭证。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购买实物商品。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除应付赎回、交易清算等临时用途以外，借入现金。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 利用融资购买证券，但投资金融衍生品除外。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 参与未持有基础资产的卖空交易。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 从事证券承销业务。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 不得购买证券用于控制或影响发行该证券的机构或其管理层。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 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基金管理人和境外投资顾问不得有下列行为：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不公平对待不同客户或不同投资组合。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除法律法规规定以外，向任何第三方泄露客户资料。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3、金融衍生品投资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本基金投资衍生品应当仅限于投资组合避险或有效管理，不得用于投机或放大交易，同时应当严格遵守下列规定：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本基金的金融衍生品全部敞口不得高于基金资产净值的100%。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本基金投资期货支付的初始保证金、投资期权支付或收取的期权费、投资柜台交易衍生品支付的初始费用的总额不得高于基金资产净值的10%。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本基金投资于远期合约、互换等柜台交易金融衍生品，应当符合以下要求：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所有参与交易的对手方（中资商业银行除外）应当具有不低于中国证监会认可的信用评级机构评级。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交易对手方应当至少每个工作日对交易进行估值，并且基金可在任何时候以公允价值终止交易。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任一交易对手方的市值计价敞口不得超过基金资产净值的20%。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基金管理人应当在本基金会计年度结束后60个工作日内向中国证监会提交包括衍生品头寸及风险分析年度报告。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(5)本基金不得直接投资与实物商品相关的衍生品。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4、本基金可以参与证券借贷交易，并且应当遵守下列规定：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所有参与交易的对手方（中资商业银行除外）应当具有中国证监会认可的信用评级机构评级。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应当采取市值计价制度进行调整以确保担保物市值不低于已借出证券市值的102%。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除中国证监会另有规定外，担保物可以是以下金融工具或品种：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现金；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2）存款证明；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3）商业票据；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4）政府债券；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5）中资商业银行或由不低于中国证监会认可的信用评级机构评级的境外金融机构（作为交易对手方或其关联方的除外）出具的不可撤销信用证。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本基金有权在任何时候终止证券借贷交易并在正常市场惯例的合理期限内要求归还任一或所有已借出的证券。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 基金管理人应当对基金参与证券借贷交易中发生的任何损失负相应责任。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(7)本基金参与证券借贷交易，所有已借出而未归还证券总市值不得超过基金总资产的50%。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上述比例限制计算，基金因参与证券借贷交易而持有的担保物不得计入基金总资产。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5、基金可以根据正常市场惯例参与正回购交易、逆回购交易，并且应当遵守下列规定：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所有参与正回购交易的对手方（中资商业银行除外）应当具有中国证监会认可的信用评级机构信用评级。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参与正回购交易，应当采取市值计价制度对卖出收益进行调整以确保现金不低于已售出证券市值的102%。一旦买方违约，本基金根据协议和有关法律有权保留或处置卖出收益以满足索赔需要。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买方应当在正回购交易期内及时向本基金支付售出证券产生的所有股息、利息和分红。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参与逆回购交易，应当对购入证券采取市值计价制度进行调整以确保已购入证券市值不低于支付现金的102%。一旦卖方违约，本基金根据协议和有关法律有权保留或处置已购入证券以满足索赔需要。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基金管理人应当对基金参与证券正回购交易、逆回购交易中发生的任何损失负相应责任。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(6)基金参与正回购交易，所有已售出而未回购证券总市值均不得超过基金总资产的50%。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上述比例限制计算，基金因参与正回购交易而持有的现金不得计入基金总资产。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将来法律法规或中国证监会的相关规定发生修改或变更，致使本款前述1-5项的投资限制和禁止行为被修改或取消的，基金管理人在履行适当程序后，本基金可相应调整投资限制和禁止行为规定，不需经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此外，本基金在全球范围内进行投资，除了需要承担国际市场的市场波动风险之外，还面临汇率风险、国别风险、新兴市场风险等海外市场投资所面临的特别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（十一）代理投票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作为基金份额持有人的代理人，行使所投资股票的投票权。基金管理人将本着维护持有人利益的原则，勤勉尽职地代理基金份额持有人行使投票权。在履行代理投票职责过程中，基金管理人可根据操作需要，委托境外投资顾问、境外资产托管人或其他专业机构提供代理投票的建议、协助完成代理投票的程序等。基金管理人应对代理机构的行为进行必要的监督，并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1、券商的交易执行能力、研究实力和提供的研究服务，这是选择券商以及分配交易量最主要的原则和标准，包括以下几个方面：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（1）交易执行能力：主要指券商是否对投资指令进行了有效的执行以及能否取得较高质量的成交结果。衡量交易执行能力的指标主要有：是否完成交易、成交的及时性、成交价格、对市场的影响等；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（2）研究机构的实力和水平：主要是指券商能否所提供高质量的宏观经济研究、行业研究及市场走向、个股分析报告和专题研究报告，报告内容是否详实，投资建议是否准确；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（3）提供研究服务的质量：主要指券商承接调研课题的态度、协助安排上市公司调研、以及就有关专题提供研究报告和讲座；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（4）股票配售情况：主要指券商在股票配售时提供的服务等。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2、基金管理人根据上述标准对境外券商进行遴选，拟定交易量分仓比例，并每季度进行调整。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考核内容包括：服务质量、证券推荐的成功率、交易的执行力等因素。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考核采取打分制，打分采取加权平均的办法，主要有以下方面：交易执行能力（30%）、研究能力（30%）、服务质量（25%）和股票配售情况（15%）。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3、对于在券商选择和分仓中存在或潜在的利益冲突，基金管理人应该本着维护持有人的利益出发进行妥善处理，并及时进行披露。</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其中：普通股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218,358,070.96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82.92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优先股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存托凭证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房地产信托凭证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1,053,637.80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5,758,497.66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其中：远期</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期货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期权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33,944,881.27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12.89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4,205,104.77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263,320,192.46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报告期末在各个国家（地区）证券市场的股票及存托凭证投资分布</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国家（地区）</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167,612,184.12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65.90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51,799,524.64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86.27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注：1、国家（地区）类别根据其所在的证券交易所确定；　　2、ADR、GDR按照存托凭证本身挂牌的证券交易所确定。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3、报告期末按行业分类的股票及存托凭证投资组合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29,700,462.47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非必需消费品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17,484,764.71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必需消费品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12,119,786.63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11,188,178.35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32,382,316.60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医疗保健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15,430,338.80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16,315,265.17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3,614,387.38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4,348,755.04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68,985,499.80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7,841,953.81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86.27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注：本报告采用彭博BICS一级分类标准编制。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4、期末按公允价值占基金资产净值比例大小排序的权益投资明细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 报告期末按公允价值占基金资产净值比例大小排序的前十名股票及存托凭证投资明细</w:t>
      </w:r>
    </w:p>
    <w:tbl>
      <w:tblPr>
        <w:tblStyle w:val="14"/>
        <w:tblW w:w="5000" w:type="pct"/>
        <w:tblInd w:w="0" w:type="dxa"/>
        <w:tblLayout w:type="autofit"/>
        <w:tblCellMar>
          <w:top w:w="0" w:type="dxa"/>
          <w:left w:w="0" w:type="dxa"/>
          <w:bottom w:w="0" w:type="dxa"/>
          <w:right w:w="0" w:type="dxa"/>
        </w:tblCellMar>
      </w:tblPr>
      <w:tblGrid>
        <w:gridCol w:w="842"/>
        <w:gridCol w:w="1740"/>
        <w:gridCol w:w="842"/>
        <w:gridCol w:w="885"/>
        <w:gridCol w:w="800"/>
        <w:gridCol w:w="842"/>
        <w:gridCol w:w="823"/>
        <w:gridCol w:w="1448"/>
        <w:gridCol w:w="448"/>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公司名称(英文)</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公司名称(中文)</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所在证券市场</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所属国家（地区）</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NVIDIA CORP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英伟达公司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NVDA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15,929,012.35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APPLE INC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苹果公司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AAPL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13,925,670.99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MICROSOFT CORP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微软公司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MSFT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10,424,711.99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ALPHABET INC-CL 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谷歌公司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GOOGL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9,550,764.79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AMAZON.COM INC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亚马逊公司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AMZN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9,035,718.56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Broadcom Inc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博通股份有限公司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AVGO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5,503,972.38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Meta Platforms Inc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Meta平台股份有限公司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META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5,265,199.11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Tesla Inc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特斯拉公司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TSLA US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3,524,033.12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CHINA SHENHUA ENERGY CO-H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中国神华能源股份有限公司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84,500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3,439,496.78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CNOOC LTD-H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中国海洋石油有限公司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883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3,434,960.38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5、报告期末按债券信用等级分类的债券投资组合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6、报告期末按公允价值占基金资产净值比例大小排名的前五名债券投资明细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7、报告期末按公允价值占基金资产净值比例大小排名的前十名资产支持证券投资明细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8、报告期末按公允价值占基金资产净值比例大小排名的前五名金融衍生品投资明细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9、报告期末按公允价值占基金资产净值比例大小排序的前十名基金投资明细</w:t>
      </w:r>
    </w:p>
    <w:tbl>
      <w:tblPr>
        <w:tblStyle w:val="14"/>
        <w:tblW w:w="5000" w:type="pct"/>
        <w:tblInd w:w="0" w:type="dxa"/>
        <w:tblLayout w:type="autofit"/>
        <w:tblCellMar>
          <w:top w:w="0" w:type="dxa"/>
          <w:left w:w="0" w:type="dxa"/>
          <w:bottom w:w="0" w:type="dxa"/>
          <w:right w:w="0" w:type="dxa"/>
        </w:tblCellMar>
      </w:tblPr>
      <w:tblGrid>
        <w:gridCol w:w="1296"/>
        <w:gridCol w:w="1297"/>
        <w:gridCol w:w="1297"/>
        <w:gridCol w:w="1297"/>
        <w:gridCol w:w="1297"/>
        <w:gridCol w:w="1323"/>
        <w:gridCol w:w="863"/>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基金类型</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运作方式</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管理人</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Invesco QQQ Trust Series 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交易型开放式(ETF)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Invesco ETFs/USA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3,194,991.43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Vanguard S&amp;P 500 ETF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交易型开放式(ETF)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Vanguard Index Funds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2,563,506.23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110,873.43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4,094,231.34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4,205,104.77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241301"/>
      <w:r>
        <w:rPr>
          <w:rFonts w:ascii="Times New Roman" w:hAnsi="Times New Roman"/>
          <w:sz w:val="30"/>
        </w:rPr>
        <w:t>五、基金的业绩</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39.14%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2008年度（2008年08月22日-2008年12月31日）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注：本基金的业绩比较基准为70%×标准普尔全球大中盘指数(S&amp;PGlobalLargeMidCapIndex)+30%×恒生指数</w:t>
      </w:r>
      <w:bookmarkStart w:id="30" w:name="_GoBack"/>
      <w:bookmarkEnd w:id="30"/>
      <w:r>
        <w:rPr>
          <w:rFonts w:ascii="宋体" w:hAnsi="宋体"/>
          <w:sz w:val="24"/>
        </w:rPr>
        <w: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交银施罗德环球精选价值证券投资基金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（2008年8月22日至2026年03月31日）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241302"/>
      <w:r>
        <w:rPr>
          <w:rFonts w:ascii="Times New Roman" w:hAnsi="Times New Roman"/>
          <w:sz w:val="30"/>
        </w:rPr>
        <w:t>六、基金管理人</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交银施罗德沪深300行业分层等权重指数证券投资基金(2012年12月27日至2015年06月30日)、交银施罗德深证300价值交易型开放式指数证券投资基金联接基金(2012年12月27日至2021年04月30日)、交银施罗德消费新驱动股票型证券投资基金(2012年12月27日至2015年06月30日)、上证180公司治理交易型开放式指数证券投资基金(2012年12月27日至2021年04月30日)、交银施罗德上证180公司治理交易型开放式指数证券投资基金联接基金(2012年12月27日至2021年04月30日)、深证300价值交易型开放式指数证券投资基金(2012年12月27日至2021年04月30日)、交银施罗德国证新能源指数证券投资基金（LOF）(2015年03月26日至2021年04月30日)、交银施罗德环球精选价值证券投资基金(2015年04月22日至2017年03月25日)、交银施罗德全球自然资源证券投资基金(2015年04月22日至2017年03月24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(2018年05月18日至2020年07月17日)、交银施罗德创业板50指数型证券投资基金(2019年11月20日至2021年04月30日)、交银施罗德安享稳健养老目标一年持有期混合型基金中基金（FOF）(2021年04月30日至2025年01月22日)、交银施罗德养老目标日期2035三年持有期混合型基金中基金（FOF）(2021年04月30日至2025年01月22日)的基金经理。现任交银施罗德上证180公司治理交易型开放式指数证券投资基金联接基金(2025年02月27日至今)、交银施罗德中证海外中国互联网指数型证券投资基金(LOF)(2025年02月27日至今)、交银施罗德创业板50指数型证券投资基金(2025年02月27日至今)、上证180公司治理交易型开放式指数证券投资基金(2025年02月27日至今)、交银施罗德中证红利低波动100指数型证券投资基金(2025年02月27日至今)、交银施罗德中证智选沪深港科技50交易型开放式指数证券投资基金(2025年12月10日至今)、交银施罗德环球精选价值证券投资基金(2026年01月22日至今)、交银施罗德智远量化选股股票型发起式证券投资基金(2026年05月08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舒薇女士:基金经理。宾夕法尼亚大学MBA、上海交通大学金融硕士、上海交通大学学士，17年证券投资行业从业经验。历任东方证券分析师、中金公司分析师、光大证券分析师、香港瑞士信贷分析师。2019年加入交银施罗德基金管理有限公司，现任跨境投资部基金经理。曾任交银施罗德鸿泰一年持有期混合型证券投资基金(2024年01月18日至2025年08月29日)的基金经理。现任交银施罗德环球精选价值证券投资基金(2020年01月08日至今)、交银施罗德港股通优质精选混合型证券投资基金(2025年09月23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郑伟辉先生(2008年08月22日至2013年03月04日)；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饶超先生(2012年04月09日至2014年01月23日)；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晏青先生(2012年04月09日至2015年04月21日)；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蔡铮先生(2015年04月22日至2017年03月25日)；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陈俊华女士(2015年11月21日至2026年01月22日)；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周中先生(2015年12月12日至2024年06月06日)。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12、选择、更换或撤销境外投资顾问；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（5）依照法律、行政法规有关规定，由中国证监会规定禁止的其他行为。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3、基金管理人承诺严格遵守基金合同，并承诺建立健全内部控制制度，采取有效措施，保证基金财产不用于下列投资或者活动：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（1）购买不动产；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（2）购买房地产抵押按揭；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（3）购买贵重金属或代表贵重金属的凭证；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（4）购买实物商品；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（5）除应付赎回、交易清算等临时用途以外，借入现金；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（6）利用融资购买证券，但投资金融衍生品除外；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（7）参与未持有基础资产的卖空交易；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（8）从事证券承销业务；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4、在法律法规禁止的范围内，不以任何形式为其他组织或个人进行证券交易。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241303"/>
      <w:r>
        <w:rPr>
          <w:rFonts w:ascii="Times New Roman" w:hAnsi="Times New Roman"/>
          <w:sz w:val="30"/>
        </w:rPr>
        <w:t>七、境外投资顾问</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本基金暂不设境外投资顾问。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241304"/>
      <w:r>
        <w:rPr>
          <w:rFonts w:ascii="Times New Roman" w:hAnsi="Times New Roman"/>
          <w:sz w:val="30"/>
        </w:rPr>
        <w:t>八、基金的历史沿革</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2008年5月5日中国证券监督管理委员会证监许可【2008】635号文批准募集发售。基金管理人为交银施罗德基金管理有限公司，基金托管人为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本基金自2015年8月8日起由契约型开放式股票型基金变更为契约型开放式混合型基金。基金存续期间为不定期。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本基金于2008年7月15日进行发售。本基金设立募集期共募集508,425,627.85份基金份额，有效认购户数为13,842户。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关于实施&lt;公开募集证券投资基金运作管理办法&gt;有关问题的规定》等相关法律法规及基金合同的约定，经基金管理人与基金托管人协商一致，报中国证监会备案并公告，自2015年8月8日起，本基金类型变更为混合型基金，相应修改基金合同和托管协议相关表述，无需召开基金份额持有人大会，修改后的基金合同自同日起生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241305"/>
      <w:r>
        <w:rPr>
          <w:rFonts w:ascii="Times New Roman" w:hAnsi="Times New Roman"/>
          <w:sz w:val="30"/>
        </w:rPr>
        <w:t>九、基金的存续</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241306"/>
      <w:r>
        <w:rPr>
          <w:rFonts w:ascii="Times New Roman" w:hAnsi="Times New Roman"/>
          <w:sz w:val="30"/>
        </w:rPr>
        <w:t>十、基金份额的申购与赎回</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客户服务热线：400-700-5000（免长途话费），（021）61055000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个人投资者可以通过本公司网上直销交易平台办理开户、本基金的申购、赎回及定期定额投资等业务，具体交易细则请参阅本公司网站。网上直销交易平台网址：www.fund001.com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本基金的代销机构的代销网点请见本招募说明书“二十、相关服务机构”章节或拨打本公司客户服务电话进行咨询。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开放日是指为投资人办理基金申购、赎回等业务的证券交易所交易日（基金管理人根据法律法规或基金合同的规定公告暂停申购、赎回时除外）。代销网点在开放日的具体业务办理时间为上海证券交易所、深圳证券交易所交易日的交易时间。如遇下列情况则开放日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1）国内的节假日；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基金所投资的主要市场暂停交易。一般情况下，如由于一个或多个市场暂停交易，致使本基金资产净值20%以上的资产无法交易或估值（资产净值比例以本基金在决定暂停申购或赎回前一个估值日的投资组合为基础），本基金将决定是否暂停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本基金A类基金份额已于2008年11月21日开放日常申购业务。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本基金C类基金份额于2026年4月15日起开放日常申购业务。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本基金A类基金份额已于2008年11月5日开放日常赎回业务。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本基金C类基金份额于2026年4月15日起开放日常赎回业务。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（三）申购和赎回的原则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1、“未知价”原则，即申购、赎回价格以申请当日收市后计算的该类基金份额净值为基准进行计算；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3、投资人申购基金份额时，必须全额交付申购款项，投资人交付款项后，申购申请方为有效；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5、当日的申购与赎回申请可以在基金管理人规定的时间以内撤销。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代销网点每个账户申购最低金额为单笔1元，如果代销机构业务规则规定的最低单笔申购金额高于1元，以代销机构的规定为准。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网点每个账户首次申购的最低金额为单笔100万元，追加申购的最低金额为单笔10万元；已在直销网点有认购或申购过本基金管理人管理的任一基金（包括本基金）记录的投资人不受首次申购最低金额的限制。通过本公司网上直销交易平台办理基金申购业务的不受直销网点单笔申购最低金额的限制，申购最低金额为单笔1元。本基金直销网点单笔申购最低金额可由基金管理人酌情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本基金暂无最低保留余额限制。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投资人在提交赎回申请时，必须持有足够的基金份额余额，否则所提交的赎回申请无效而不予成交。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结算机构应以交易时间结束前受理申购和赎回申请的当天作为申购或赎回申请日(T日)，正常情况下，本基金登记结算机构在T+2日内对该交易的有效性进行确认。T日提交的有效申请，投资人可在T+3日后（包括该日）到销售网点柜台或以销售机构规定的其他方式查询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指示基金托管人在T＋10个工作日（包括该日）内从托管账户将赎回款项划出，经销售机构划往基金份额持有人银行账户；在发生巨额赎回时，款项的支付办法参照基金合同的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4、申购和赎回基金份额的份额注册登记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投资人申购基金成功后，登记结算机构在T+2日为投资人登记权益并办理份额注册登记手续，投资人自T+3日（含该日）后有权赎回该部分基金份额。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投资人赎回基金成功后，登记结算机构在T+2日为投资人办理扣除权益的份额注册登记手续。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本基金A类基金份额的申购费用由申购A类基金份额的申购人承担，不列入基金财产，主要用于本基金的市场推广、销售、登记结算等各项费用。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本基金自2013年4月11日起，对通过本公司直销柜台申购本基金A类基金份额的养老金客户实施特定申购费率。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通过本公司直销柜台申购本基金A类基金份额的养老金客户特定申购费率如下表：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A类基金份额特定申购费率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（1）本基金A类基金份额的赎回费率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登记结算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超过2年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C类基金份额赎回费率</w:t>
            </w:r>
          </w:p>
        </w:tc>
      </w:tr>
      <w:tr>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30日（含）—180日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180日以上（含）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本基金C类基金份额的赎回费用由赎回C类基金份额的基金份额持有人承担，在基金份额持有人赎回C类基金份额时收取，对C类基金份额持有人收取的赎回费用全额计入基金财产。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根据法律法规及基金合同的规定调整申购费率和赎回费率，最新的申购费率和赎回费率在更新的招募说明书中列示。费率如发生变更，基金管理人最迟应于新的费率开始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4、本基金申购、赎回的币种为人民币，基金管理人可以在不违反法律法规规定的情况下，接受其它币种的申购、赎回，并提前公告。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份额余额的处理方式：申购A类基金份额或C类基金份额的有效份额为按实际确认的申购金额在扣除相应的费用后，以申请当日该类基金份额的基金份额净值为基准计算，四舍五入保留到小数点后两位，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的处理方式：赎回金额为按实际确认的A类基金份额或C类基金份额有效赎回份额乘以申请当日该类基金份额的基金份额净值并扣除或加上相应的费用（如有），四舍五入保留到小数点后两位，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例一：某投资人投资40,000元申购本基金A类基金份额，申购费率为1.5%，假设申购当日A类基金份额净值为1.0400元，则其可得到的申购份额为：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即：投资人投资40,000元申购本基金A类基金份额，假设申购当日A类基金份额净值为1.0400元,则其可得到37,893.14份基金份额。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例二：某投资人投资100,000元申购本基金的C类基金份额，假设申购当日C类基金份额净值为1.0400元，则其可得到的申购份额为：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赎回金额为按实际确认的A类基金份额或C类基金份额有效赎回份额乘以申请当日该类基金份额净值并扣除或加上相应的费用（如有），赎回金额单位为元，计算结果保留到小数点后两位，第三位四舍五入。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赎回费用=赎回份额×T日该类基金份额净值×赎回费率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赎回金额=赎回份额×T日该类基金份额净值-赎回费用+该笔赎回确认应返还投资者的销售服务费（如有）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投资者赎回相应基金份额时随赎回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例三：某投资人赎回10,000份A类基金份额，持有期限为30日，对应的赎回费率为0.5%，假设赎回当日A类基金份额净值是1.016元，则其可得到的赎回金额为：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10,000×1.0160×0.5% ＝ 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10,000×1.0160-50.80 ＝ 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即：投资人赎回本基金10,000份A类基金份额，持有期限为30日，假设赎回当日A类基金份额净值是1.0160元，则其可得到的赎回金额为10,109.20元。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人赎回持有的10,000.00份C类基金份额（通过直销机构申购获得），持有期限为30日，对应的赎回费率为0.5%，假设赎回当日C类基金份额净值是1.0160元，且假设该笔赎回确认应返还的销售服务费为5.00元（即通过直销机构申购的C类基金份额所计提的销售服务费，在投资人赎回相应基金份额时随赎回款一并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赎回金额=10,000.00×1.0160-50.80+5.00＝10,114.20元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人赎回本基金10,000.00份C类基金份额（通过直销机构申购获得），持有期限为30日，对应的赎回费率为0.5%，假设赎回当日C类基金份额净值是1.0160元，且假设该笔赎回确认应返还的销售服务费为5.00元，则其可得到的赎回金额为10,114.20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人赎回持有的10,000.00份C类基金份额（通过其他销售机构申购获得），持有期限为450日，对应的赎回费率为0，假设赎回当日C类基金份额净值是1.0160元，且假设该笔赎回确认应返还的销售服务费为10.00元（即通过其他销售机构申购的C类基金份额持续持有超过一年后所计提的销售服务费，在投资人赎回相应基金份额时随赎回款一并返还），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赎回金额=10,000.00×1.0160-0.00+10.00＝10,170.00元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人赎回本基金10,000.00份C类基金份额（通过其他销售机构申购获得），持有期限为450日，对应的赎回费率为0，假设赎回当日C类基金份额净值是1.0160元，且假设该笔赎回确认应返还的销售服务费为10.00元，则其可得到的赎回金额为10,170.00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2、证券交易场所在交易时间非正常停市，导致基金管理人无法计算当日的基金资产净值；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5、因基金收益分配、或基金投资组合内某个或某些证券进行权益分派等原因，使基金管理人认为短期内继续接受申购可能会影响或损害现有基金份额持有人利益的；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6、个别投资人的申购、赎回过于频繁，导致基金的交易费用和变现成本增加，或使得基金管理人无法顺利实施投资策略，继续接受其申购可能对其他基金份额持有人的利益产生损害；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7、基金财产规模过大，使基金管理人无法找到合适的投资品种，或其他可能对基金业绩产生负面影响，从而损害现有基金份额持有人的利益；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8、基金投资所处的主要市场休市时或本基金的资产组合中的重要部分发生暂停交易或其他重大事件，继续接受申购可能会影响或损害其他基金份额持有人利益时；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9、当基金管理人继续接受申购申请会使基金资产规模超出国家外汇局的审批额度时；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12、法律法规规定或中国证监会认定的其他可暂停申购的情形。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10项以外的暂停申购情形时，除拒绝或暂停接受特定申购申请外，基金管理人应当根据《信息披露办法》的有关规定在指定媒介上刊登暂停申购公告。如果投资人的申购申请被拒绝，被拒绝的申购款项将全额退还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（九）暂停赎回或者延缓支付赎回款项的情形及处理方式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5、基金投资所处的主要市场休市时或本基金的资产组合中的重要部分发生暂停交易或其他重大事件，继续接受赎回可能会影响或损害其他基金份额持有人利益时；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基金重新开放申购或赎回时，基金管理人应依照《信息披露办法》的有关规定在指定媒介上刊登基金重新开放申购或赎回公告，并在重新开放申购或赎回日公告最近一个开放日各类基金份额的基金份额净值。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根据相关法律法规以及本基金合同的规定决定开办本基金的转换业务，基金转换可以收取一定的转换费。基金转换的数额限制、转换费率、转换业务规则等具体规定请参见基金管理人届时公告。基金转换业务开始前，基金管理人应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本基金目前实行份额托管的交易制度。基金份额持有人可办理已持有基金份额在不同销售机构之间的转托管。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2010年3月16日刊登公告自2010年3月16日起开通A类基金份额的定期定额投资计划业务，本基金2026年4月14日刊登公告自2026年4月15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合格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是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基金登记结算机构只受理国家有权机关依法要求的基金份额的冻结与解冻，以及登记结算机构、符合法律法规的其他情况下的基金份额的冻结与解冻。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241307"/>
      <w:r>
        <w:rPr>
          <w:rFonts w:ascii="Times New Roman" w:hAnsi="Times New Roman"/>
          <w:sz w:val="30"/>
        </w:rPr>
        <w:t>十一、基金的费用与税收</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1、基金管理人的管理费，含境外投资顾问收取的费用；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2、基金托管人的托管费，含境外资产托管人收取的费用；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3、基金财产拨划支付的银行费用；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4、基金合同生效后的基金信息披露费用；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6、基金合同生效后与基金有关的会计师费和律师费；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7、基金的证券交易费用（包括但不限于经手费、印花税、征管费、过户费、手续费、券商佣金及其他性质类似的费用等）；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8、外汇兑换交易的相关费用；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9、在中国证监会规定允许的前提下，本基金可以从基金财产中计提销售服务费，具体计提方法、计提标准在招募说明书或相关公告中载明；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10、与基金缴纳税款有关的手续费、汇款费及顾问费；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12、依法和依基金合同可以在基金财产中列支的其他费用。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在通常情况下，基金管理费按前一日基金资产净值的1.2%年费率计提。计算方法如下：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在通常情况下，基金托管费按前一日基金资产净值的0.2%年费率计提。计算方法如下：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C类基金份额的销售服务费具体收取/返还方式：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1）通过直销机构申购的C类基金份额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对于C类基金份额计提的销售服务费，在投资人赎回基金份额或基金合同终止时随赎回款或清算款一并返还给投资人。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2）通过其他销售机构申购的C类基金份额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未超过一年的C类基金份额，销售服务费每日计提，逐日累计至每月月末，按月支付。由基金管理人向基金托管人发送基金销售服务费划款指令，于次月首日起5个工作日内从基金财产中一次性支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（4）除管理费、托管费和销售服务费之外的基金费用，由基金托管人根据其他有关法规及相应协议的规定，按费用支出金额支付，列入或摊入当期基金费用。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(四)基金管理费、托管费和销售服务费的调整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调整基金管理费率、基金托管费率、销售服务费率等相关费率或改变收费模式。调低基金管理费率、基金托管费率、销售服务费率等相关费率或在不提高整体费率水平的情况下改变收费模式，此项调整不需要基金份额持有人大会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将来法律法规或监管机构许可本基金或本类型的基金采取持续性销售服务费模式，则本基金可依法引入持续性销售服务费收费模式；若引入该类收费模式，并没有增加现有基金份额持有人的费用负担，则无须召开基金份额持有人大会，法律法规或监管机构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基金根据国家法律法规和基金投资所在地的法律法规规定，履行纳税义务。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基金份额持有人根据中国法律法规规定，履行纳税义务。</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241308"/>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基金资产总值是指基金拥有的各类有价证券、银行存款本息、基金应收申购款以及其他资产的价值总和。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基金资产净值是指基金资产总值减去负债（含各项有关税收）后的价值。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投资所在地规定及境外资产托管人的相关要求，基金托管人、境外资产托管人可以以基金名义或托管人名义开立证券账户和现金账户，并保证上述账户与托管人及境外资产托管人的财产独立，并与托管人及境外资产托管人的其他托管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（四）基金财产的保管与处分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独立于基金管理人、基金托管人固有财产，并由基金托管人和/或境外资产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除依据《基金法》、《运作办法》、《试行办法》和基金合同及其他有关规定处分外，基金财产不得被处分。非因基金财产本身承担的债务，不得对基金财产强制执行。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241309"/>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基金资产估值的目的是客观、准确地反映基金财产是否保值、增值，依据经基金资产估值后确定的基金资产净值而计算出的基金份额净值，是计算基金申购与赎回价格的基础。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本基金合同生效后，每个开放日对基金资产进行估值。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（2）未上市股票的估值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①送股、转增股、配股和增发等方式发行的股票，按估值日在交易所挂牌的同一股票的收盘价估值，该日无交易的，以最近交易日的收盘价估值；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②首次发行且未上市的股票，按成本价估值；首次发行且有明确锁定期的股票，同一股票在交易所上市后，按交易所上市的同一股票的市价估值。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证券交易所市场未实行净价交易的债券按估值日收盘价减去债券收盘价中所含的债券应收利息得到的净价进行估值，估值日没有交易的，按最近交易日债券收盘价减去所含的最近交易日债券应收利息后得到的净价估值。未上市债券采用估值技术确定公允价值，在估值技术难以可靠计量公允价值的情况下，按成本进行后续计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（2）在国内全国银行间债券市场交易的债券、资产支持证券等固定收益品种，采用估值技术确定公允价值。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3、衍生品估值方法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（1）上市流通衍生品按估值日其所在证券交易所的收盘价估值；估值日无交易的，以最近交易日的收盘价估值。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（2）未上市衍生品按成本价估值，如成本价不能反映公允价值，则采用估值技术确定公允价值。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（3）衍生品的估值，可以参照国际会计准则进行。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公开挂牌的存托凭证按其所在证券交易所的最近交易日的收盘价估值。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（1）上市流通的基金按估值日其所在证券交易所的收盘价估值；估值日无交易的，以最近交易日的收盘价估值。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（2）其他基金按最近交易日的基金份额净值估值。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6、非流动性资产或暂停交易的证券估值方法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未上市流通、或流通受限、或暂停交易的证券，应参照上述估值原则进行估值。如果上述估值方法不能客观反映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对于流动性受限的证券估值可以参照国际会计准则进行。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外币资产价值计算中，所涉及人民币对美元的汇率应当以基金估值日中国人民银行或其授权机构公布的人民币汇率为准。涉及到其它币种与人民币之间的汇率，采用估值日伦敦时间下午四点（或能够取到的离下午四点最近时点）由彭博信息(Bloomberg)提供的其它币种对美元的汇率套算。基金管理人和托管人经协商可对所采用的汇率来源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若无法取得上述汇率价格信息时，以基金托管人或境外托管人所提供的合理公开外汇市场交易价格为准。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任何情况下，基金管理人如采用本款第1－8项规定的方法对基金资产进行估值，均应被认为采用了适当的估值方法。但是，如果基金管理人认为按本款第1－8项规定的方法对基金资产进行估值不能客观反映其公允价值的，基金管理人可根据具体情况，并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10、法律法规或监管部门有最新规定的，按其规定进行估值。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基金管理人或基金托管人按上述估值方法进行估值时，所造成的误差不作为基金资产估值错误处理。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本基金所拥有的股票、权证、债券和银行存款本息、应收款项、其它投资等资产。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日常估值由基金管理人进行。基金管理人完成估值后，将估值结果加盖业务公章以书面形式加密传真至基金托管人，基金托管人按法律法规、基金合同规定的估值方法、时间、程序进行复核，复核无误后在基金管理人传真的书面估值结果上加盖业务公章返回给基金管理人；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在法律法规和中国证监会允许的情况下，基金管理人与基金托管人可以各自委托第三方机构进行基金资产估值，但不改变基金管理人与基金托管人对基金资产估值各自承担的责任。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运作过程中，如果由于基金管理人或基金托管人、或登记结算机构、或代销机构、或投资人自身的原因造成差错，导致其他当事人遭受损失的，过错的责任人应当对由于该差错遭受损失的当事人（“受损方”）按下述“差错处理原则”给予赔偿并承担相关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基金估值错误给基金投资人造成的损失应由基金托管人和基金管理人协商共同承担，基金托管人和基金管理人对不应由其承担的责任，有权根据过错原则，向过错人追偿，基金合同的当事人应将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的损失由差错责任方承担；若差错责任方已经积极协调，并且有协助义务的当事人有足够的时间进行更正而未更正，则有协助义务的当事人应当承担相应赔偿责任。差错责任方应对更正的情况向有关当事人进行确认，确保差错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（4）基金份额净值计算差错小于该类基金份额净值0.5%时，基金管理人与基金托管人应在发现日对账务进行更正调整，不做追溯处理。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差错责任方拒绝进行赔偿时，如果因基金管理人原因造成基金资产损失时，基金托管人应为基金的利益向基金管理人追偿，如果因基金托管人原因造成基金资产损失时，基金管理人应为基金的利益向基金托管人追偿。除基金管理人和托管人之外的第三方造成基金资产的损失，并拒绝进行赔偿时，由基金托管人负责向差错方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（7）按法律法规规定的其他原则处理差错。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3、差错处理程序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差错被发现后，有关的当事人应当及时进行处理，处理的程序如下：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（1）查明差错发生的原因，列明所有的当事人，并根据差错发生的原因确定差错的责任方；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（2）根据差错处理原则或当事人协商的方法对因差错造成的损失进行评估；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差错处理原则或当事人协商的方法由差错的责任方进行更正和赔偿损失；其中基金份额净值计算差错小于该类基金份额净值0.5%时，基金管理人与基金托管人应在发现日对账务进行更正调整，不做追溯处理；基金份额净值计算差错达到或超过该类基金份额净值0.5%时，基金管理人应当公告、通报基金托管人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（4）根据差错处理的方法，需要修改基金登记结算机构的交易数据的，由基金登记结算机构进行更正，并就差错的更正向有关当事人进行确认。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5、特殊情况的处理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（1）对于因税收规定调整或其他原因导致基金实际交纳税金与基金按照权责发生制进行估值的应交税金有差异的，相关估值调整不作为基金资产估值错误处理。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各家数据服务机构发送的数据错误，本基金管理人和本基金托管人虽然已经采取必要、适当、合理的措施进行检查，但未能发现错误的，由此造成的基金资产估值错误，本基金管理人和本基金托管人可以免除赔偿责任。但基金托管人应当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1、基金投资涉及的主要证券交易市场遇法定节假日或因其他原因停市时；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2、因不可抗力或其它情形致使基金管理人、基金托管人无法准确评估基金资产价值时；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4、如出现基金管理人认为属于紧急事故的任何情况，会导致基金管理人不能出售或无法评估基金资产的；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241310"/>
      <w:r>
        <w:rPr>
          <w:rFonts w:ascii="Times New Roman" w:hAnsi="Times New Roman"/>
          <w:sz w:val="30"/>
        </w:rPr>
        <w:t>十四、基金的收益与分配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(一)基金收益的构成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1、买卖证券差价；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2、基金投资所得红利、股息、债券利息；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3、银行存款利息；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4、外汇兑换损益；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5、其他合法收入。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因运用基金财产带来的成本或费用的节约应计入收益。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(二)基金净收益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基金净收益为基金收益扣除按国家有关规定应在基金收益中扣除的费用后的余额。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本基金收益分配应遵循下列原则：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划款日的基金份额净值自动转为相应类别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3、本基金收益每年最多分配10次，任一类基金份额年度基金收益分配比例不低于该类基金份额年度可分配收益的10%；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4、在符合有关基金分红条件的前提下，本基金收益每年至少分配一次，但若基金合同生效不满3个月则可不进行收益分配；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收益分配方式分为两种：现金分红与红利再投资，投资人可选择现金红利或将现金红利按红利再投日的基金份额净值自动转为相应类别的基金份额进行再投资；若投资人不选择，本基金默认的收益分配方式是现金分红；基金份额持有人可对其持有的A类基金份额和C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6、基金任一类基金份额投资当期出现净亏损，则该类基金份额不进行收益分配；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7、基金任一类基金份额当期收益应先弥补上期亏损后，方可进行该类基金份额当期收益分配；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8、法律法规或监管机构另有规定的从其规定。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基金收益分配方案中应载明基金收益分配对象、分配原则、分配时间、分配数额及比例、分配方式、支付方式等内容。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1.基金收益分配方案由基金管理人拟订，由基金托管人复核，依照《信息披露办法》的有关规定在指定媒介上公告；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2.在收益分配方案公布后，基金管理人依据具体方案的规定就支付的现金红利向基金托管人发送划款指令，基金托管人按照基金管理人的指令及时进行分红资金的划付。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登记结算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本基金实施侧袋机制的，侧袋账户不进行收益分配，详见招募说明书的规定。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241311"/>
      <w:r>
        <w:rPr>
          <w:rFonts w:ascii="Times New Roman" w:hAnsi="Times New Roman"/>
          <w:sz w:val="30"/>
        </w:rPr>
        <w:t>十五、基金的会计与审计</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3、本基金的会计核算以人民币为记账本位币，以人民币元为记账单位；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4、会计制度执行国家有关会计制度，并可参考国际会计准则；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7、基金托管人定期与基金管理人就基金的会计核算、报表编制等进行核对并书面确认。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2、会计师事务所更换经办注册会计师时，应事先征得基金管理人同意。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241312"/>
      <w:r>
        <w:rPr>
          <w:rFonts w:ascii="Times New Roman" w:hAnsi="Times New Roman"/>
          <w:sz w:val="30"/>
        </w:rPr>
        <w:t>十六、基金的信息披露</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人民币、美元等主要外汇币种计算并披露净值及相关信息。涉及币种之间转换的，应当披露汇率数据来源，并保持一致性。如果出现改变，应当予以披露并说明改变的理由。人民币对主要外汇的汇率应当以报告期末最后一个估值日中国人民银行或其授权机构公布的人民币汇率中间价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招募说明书是基金向社会公开销售时对基金情况进行说明的法律文件。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1）《基金合同》生效后，在开始办理基金份额申购或者赎回前，基金管理人应当至少每周在指定网站披露一次基金份额净值和基金份额累计净值；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开始办理基金份额申购或者赎回后，基金管理人应当在不晚于每个开放日后的2个工作日内，通过指定网站、基金销售机构网站或者营业网点分别披露开放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3）基金管理人应当在不晚于半年度和年度最后一日后的2个工作日内，在指定网站披露半年度和年度最后一日A类基金份额和C类基金份额所对应的基金份额净值和基金份额累计净值。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7、基金份额申购、赎回价格公告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8、基金年度报告、基金中期报告、基金季度报告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9、临时报告与公告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12）更换或撤销境外投资顾问；更换境外资产托管人；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13）基金管理人、基金托管人、境外资产托管人或境外投资顾问受到监管部门的调查；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23）基金份额的拆分；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24）本基金接受其它币种的申购、赎回；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本基金的信息披露将严格按照法律法规和基金合同的规定进行。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241313"/>
      <w:r>
        <w:rPr>
          <w:rFonts w:ascii="Times New Roman" w:hAnsi="Times New Roman"/>
          <w:sz w:val="30"/>
        </w:rPr>
        <w:t>十七、侧袋机制</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241314"/>
      <w:r>
        <w:rPr>
          <w:rFonts w:ascii="Times New Roman" w:hAnsi="Times New Roman"/>
          <w:sz w:val="30"/>
        </w:rPr>
        <w:t>十八、基金合同的终止与基金财产的清算</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有下列情形之一的，基金合同经中国证监会核准后将终止：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基金合同终止时，基金管理人应予公告并组织清算小组对基金财产进行清算。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1、基金财产清算小组：自出现基金合同终止事由之日起30个工作日内成立清算小组，基金财产清算小组在中国证监会的监督下进行基金清算。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（6）聘请律师事务所出具法律意见书；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（7）将基金清算结果报告中国证监会；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（五）基金财产的清偿、分配顺序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基金财产按照下列顺序清偿和分配：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基金财产未按前款1、2、3项规定清偿前，不分配给基金份额持有人。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241315"/>
      <w:r>
        <w:rPr>
          <w:rFonts w:ascii="Times New Roman" w:hAnsi="Times New Roman"/>
          <w:sz w:val="30"/>
        </w:rPr>
        <w:t>十九、基金托管人</w:t>
      </w:r>
      <w:bookmarkEnd w:id="2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241316"/>
      <w:r>
        <w:rPr>
          <w:rFonts w:ascii="Times New Roman" w:hAnsi="Times New Roman"/>
          <w:sz w:val="30"/>
        </w:rPr>
        <w:t>二十、境外资产托管人</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（一）境外资产托管人基本情况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名称：摩根大通银行（JPMorgan Chase Bank, National Association）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注册地址：1111 Polaris Parkway, Columbus, Ohio 43240, U.S.A.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办公地址：383 Madison Avenue, New York, NY 10179-0001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法定代表人：James Dimon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成立时间：1799年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总资产（截止2025年12月31日）：4.4万亿美元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实收资本（截止2025年12月31日）：1,214亿美元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托管资产规模（截止2025年12月31日）：41.2万亿美元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信用等级：穆迪评级Aa2（高级信用债券）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作为全球领先的金融服务公司，摩根大通拥有4.4万亿美元资产，在超过60 个国家经营。在投资银行业务、消费者金融服务、小企业和商业银行业务、金融交易处理、资产管理和私募股权投资基金等方面，摩根大通均为业界领导者。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摩根大通自1946 年开始为其美国客户提供托管服务。之后为响应客户投资海外的要求，摩根大通在1974 年率先开展了一种综合性的服务-全球托管。此后，摩根大通继续扩展服务，以满足不断变化的客户需要。通过提供优质服务和创新的产品，摩根大通始终保持其领先地位。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今，作为全球托管行业的领先者，摩根大通托管资产达41.2万亿美元，为全世界最大的机构投资者提供创新的托管、基金会计和服务以及证券服务。摩根大通是一家真正的全球机构，在超过60个国家有实体运作。与很多竞争对手不同之处在于，我们还可为客户提供市场领先的投资银行服务，包括外汇交易、全球期货与期权清算、股权及股权挂钩产品以及固定收益投资的交易与研究。同时，在资产负债表内和表外的现金和流动性方面，摩根大通也有很强的解决方案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此外，摩根大通还是亚太地区全球托管的先行者之一，其历史可以追溯到1974 年，在亚太地区17个国家/地区均有客户：日本、澳大利亚、文莱、中国大陆、中国香港、印度、马来西亚、新西兰、新加坡、韩国、中国台湾、菲律宾、泰国、印度尼西亚、蒙古、东帝汶和越南。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 境外资产托管人的职责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1、安全保管基金的境外资产，及时办理清算、交割事宜；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2、准时将公司行为信息通知基金管理人和/或基金托管人，确保基金及时收取所有应得收入；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3、其他由基金托管人委托其履行的职责。</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241317"/>
      <w:r>
        <w:rPr>
          <w:rFonts w:ascii="Times New Roman" w:hAnsi="Times New Roman"/>
          <w:sz w:val="30"/>
        </w:rPr>
        <w:t>二十一、相关服务机构</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个人投资者可以通过本公司网上直销交易平台办理开户、本基金的申购、赎回及定期定额投资等业务，具体交易细则请参阅本公司网站。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（2）名称：杭州银行股份有限公司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法定代表人：陈震山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电话：（0571）85108195、85120696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传真：（0571）86475527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联系人：严峻、夏帆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网址：www.hzbank.com.cn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（3）名称：华夏银行股份有限公司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法定代表人：李民吉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（4）名称：江苏银行股份有限公司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（6）名称：北京银行股份有限公司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（10）名称：广发银行股份有限公司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住所：广州市越秀区东风东路713号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法定代表人：杨明生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客户服务电话：800-830-8003，400-830-8003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住所：北京市北京市复兴门内大街1号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法定代表人：陈四清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传真：（010）66594853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（14）名称：江苏常熟农村商业银行股份有限公司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（15）名称：上海银行股份有限公司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法定代表人：金煜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电话：（021）68475888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传真：（021）68476111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客户服务电话：（021）962888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网址：www.bankofshanghai.com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（26）名称：方正证券股份有限公司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（27）名称：中国民族证券有限责任公司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办公地址：北京市西城区金融街5号新盛大厦A座6-9层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法定代表人：赵大建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客户服务电话：400-889-5618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网址：www.e5618.com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（33）名称：金融街证券股份有限公司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（34）名称：湘财证券股份有限公司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（39）名称：爱建证券有限责任公司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（41）名称：粤开证券股份有限公司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（108）名称：上海好买基金销售有限公司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（109）名称：上海长量基金销售有限公司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（116）名称：易方达财富管理基金销售（广州）有限公司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住所：广州市南沙区横沥镇期航二街2号101房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办公地址：广东省广州市天河区珠江东路30号广州银行大厦41楼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电话：020-85102688-7498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联系人：吕晋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客户服务电话：4001608888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网址：www.efundcf.com.cn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（117）名称：深圳前海微众银行股份有限公司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名称：上海源泰律师事务所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住所：上海浦东南路256号华夏银行大厦1405室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办公地址：上海浦东南路256号华夏银行大厦1405室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负责人：廖海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电话：（021）51150298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传真：（021）51150398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联系人：廖海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经办律师：梁丽金、刘佳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241318"/>
      <w:r>
        <w:rPr>
          <w:rFonts w:ascii="Times New Roman" w:hAnsi="Times New Roman"/>
          <w:sz w:val="30"/>
        </w:rPr>
        <w:t>二十二、基金合同内容摘要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（一）基金合同当事人及权利义务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（1）自本基金合同生效之日起，依照有关法律法规和本基金合同的规定独立运用基金财产；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（2）依照基金合同获得基金管理费以及法律法规规定或监管部门批准的其他收入；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（4）依照有关规定行使因基金财产投资于证券所产生的权利；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（6）根据有关规定，选择、更换或撤销境外投资顾问、证券经纪代理商以及证券登记机构，并对其行为进行必要的监督；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（8）在基金合同约定的范围内，拒绝或暂停受理申购和赎回申请；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（10）自行担任或选择、更换登记结算机构，获取基金份额持有人名册，并对登记结算机构的代理行为进行必要的监督和检查；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（11）选择、更换代销机构，并依据销售代理协议和有关法律法规，对其行为进行必要的监督和检查；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（12）选择、更换律师、审计师、证券经纪商或其他为基金提供服务的外部机构；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（3）自基金合同生效之日起，以诚实信用、勤勉尽责的原则管理和运用基金财产，基于谨慎的原则，控制基金资产的流动性风险；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（5）确保管理人或其委托的境外投资顾问依照相关法规或协议规定发送的交易数据真实、准确、完整，因数据错误造成基金资产或基金托管人的财产损失，由基金管理人承担赔偿责任；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（6）委托境外投资顾问进行境外证券投资的，境外投资顾问应符合《试行办法》规定的有关条件；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（7）承担受信责任，在挑选、委托投资顾问过程中，履行尽职调查义务；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严格遵守境内有关法律法规、基金合同的规定，始终将基金持有人的利益置于首位，以合理的依据提出投资建议，寻求基金的最佳交易执行，公平客观对待所有客户，始终按照基金的投资目标、策略、政策、指引和限制实施投资决定，充分披露一切涉及利益冲突的重要事实，尊重客户信息的机密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（9）建立健全内部风险控制、监察与稽核、财务管理及人事管理等制度，保证所管理的基金财产和管理人的财产相互独立，对所管理的不同基金分别管理，分别记账，进行证券投资；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确保基金投资于中国证监会规定的金融产品或工具；严格按照《基金法》、《试行办法》、《通知》、基金合同及有关法律法规有关投资范围和比例限制的规定，确定清晰、可执行的投资范围和投资比例，并在规定时间内，对超范围、超比例的投资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（11）确保基金管理人依照相关法规或协议规定向基金托管人发送的基金认购、申购和赎回数据的真实、准确和完整；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（12）委托境外证券服务机构代理买卖证券的，应当严格履行受信责任，并按照有关规定对投资交易的流程、信息披露、记录保存进行管理；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（13）与境外证券服务机构之间的证券交易和研究服务安排，应当符合相关法律法规的规定；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（14）进行境外证券投资，应当遵守当地监管机构、交易所的有关法律法规规定；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（15）如需在托管人选择的机构之外保管、登记基金财产，应严格审查，保证基金财产的安全，以及相关资产收益准确、按时归入基金财产；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（16）应当按照全球投资表现标准(GIPS)选取投资业绩标准；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（17）除依据《基金法》、《试行办法》、基金合同及其他有关规定外，不得为自己及任何第三人谋取利益，不得委托第三人运作基金财产；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（20）采取适当合理的措施使计算基金份额认购、申购、赎回和注销价格的方法符合基金合同等法律文件的规定；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（21）按规定受理申购和赎回申请，严格控制基金投资产品的流动性风险，确保及时、足额支付赎回款项；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（24）严格按照《基金法》、《试行办法》、《信息披露办法》、基金合同及其他有关规定，履行信息披露及报告义务；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（25）保守基金商业秘密，不得泄露基金投资计划、投资意向等，除《基金法》、《试行办法》、《信息披露办法》和基金合同及其他有关规定另有规定外，在基金信息公开披露前应予保密，不得向他人泄露；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（27）依据《基金法》、《运作办法》、基金合同及其他有关规定召集基金份额持有人大会或配合基金托管人、基金份额持有人依法召集基金份额持有人大会；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（31）授权投资顾问负责投资决策的，应当在协议中明确投资顾问由于本身差错、疏忽、未履行职责等原因而导致财产受损时应当承担相应责任。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 因违反基金合同导致基金财产的损失或损害基金份额持有人合法权益，应当承担赔偿责任，其赔偿责任不因其退任而免除；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（33）基金托管人违反基金合同造成基金财产损失时，应为基金份额持有人利益向基金托管人追偿；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（34）按规定向基金托管人提供基金份额持有人名册资料；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（37）不从事任何有损基金及其他基金当事人利益的活动；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（38）依照法律法规为基金的利益对被投资公司行使股东权利，为基金的利益行使因基金财产投资于证券所产生的权利，不谋求对上市公司的控股和直接管理；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（39）法律法规、中国证监会和基金合同规定的其他义务。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依基金合同约定获得基金托管费以及法律法规规定或监管部门批准的其他收入；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（2）选择、更换境外资产托管人负责境外资产托管业务；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（4）自本基金合同生效之日起，依法保管基金资产；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（5）在基金管理人更换时，提名新任基金管理人；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（8）按规定取得基金份额持有人名册资料；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（1）设立专门的基金托管部，具有符合要求的营业场所，配备足够的、合格的熟悉基金托管业务的专职人员，负责基金财产托管事宜；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（3）除依据《基金法》、《试行办法》、基金合同及其他有关规定外，不得为自己及任何第三人谋取利益；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（4）保护持有人利益，按照规定对基金日常投资行为和资金汇出入情况实施监督，如发现投资指令或资金汇出入违法、违规，应当及时向中国证监会、国家外汇局报告； 　　</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（5）安全保护基金财产，准时将公司行为信息通知基金管理人，确保基金及时收取所有应得收入；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（6）确保基金按照有关法律法规和基金合同约定的投资目标和限制进行管理，按照规定监督基金管理人的投资运作；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（7）按照有关法律法规和基金合同的约定执行基金管理人、境外投资顾问的指令，及时办理清算、交割事宜； 　　</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 确保基金的各类基金份额净值按照有关法律法规和基金合同规定的方法进行计算； 　</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（9）确保基金按照有关法律法规和基金合同的规定进行申购、认购、赎回等日常交易；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（10）确保基金根据有关法律法规和基金合同确定并实施收益分配方案；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（11）按照有关法律法规和基金合同的规定，基金托管人对由基金托管人或其委托的境外资产托管人实际有效控制的证券承担安全保管责任； 　</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（12）每月结束后7个工作日内，向中国证监会和国家外汇局报告基金管理人境外投资情况，并按相关规定进行国际收支申报； 　</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（13）安全保管基金资产，开设或委托开设资金账户和证券账户；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（14）保存基金管理人的资金汇出、汇入、兑换、收汇、付汇、资金往来、委托及成交记录等相关资料，其保存的时间应当不少于20年；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（16）保守基金商业秘密，除《基金法》、《试行办法》、基金合同及其他有关规定另有规定外，在基金信息公开披露前应予保密，不得向他人泄露；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（18）保存基金托管业务活动的记录、账册、报表和其他相关资料；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（23）按照规定召集基金份额持有人大会或配合基金份额持有人依法自行召集基金份额持有人大会；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（24）因违反基金合同导致基金财产损失，应承担赔偿责任，其赔偿责任不因其退任而免除；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（25）选择的境外托管代理人，应符合《试行办法》第十九条的规定；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（26）对基金的境外财产，可授权境外资产托管人代为履行其承担的受托人职责；境外资产托管人在履行职责过程中，因本身过错、疏忽等原因而导致基金财产受损的，托管人应当承担相应责任；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（27）基金管理人因违反基金合同造成基金财产损失时，应为基金向基金管理人追偿；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（31）不从事任何有损基金及其他基金当事人利益的活动；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（32）保存与基金托管人职责相关的基金份额持有人名册；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（33）法律法规、中国证监会和国家外汇局根据审慎监管原则规定的其他职责以及基金合同规定的其他义务。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因基金管理人原因造成基金托管人无法正常履行上述义务且基金托管人无任何过错的，由基金管理人承担责任，并对造成的基金财产损失承担相关赔偿责任。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（8）对基金管理人、基金托管人、基金份额发售机构损害其合法权益的行为依法提起诉讼；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（9）法律法规和基金合同规定的其他权利。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（1）遵守法律法规、基金合同及其他有关规定；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（2）遵守基金管理人、基金托管人、代销机构和登记结算机构关于开放式基金业务的相关规则及规定；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在持有的基金份额范围内，承担基金亏损或者基金合同终止的有限责任；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（5）不从事任何有损基金及其他基金份额持有人合法权益的活动；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（7）返还在基金交易过程中因任何原因，自基金管理人及基金管理人的代理人、基金托管人、代销机构、其他基金份额持有人处获得的不当得利；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（8）法律法规和基金合同规定的其他义务。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本基金合同当事各方的权利义务以本基金合同为依据，不因基金财产账户名称而有所改变。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若基金合同当事人上述各项权利义务与不时修订或新颁布实施的法律法规或中国证监会规定冲突的，以修订后或届时有效的法律法规或中国证监会规定为准。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(1)提前终止基金合同；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(7)提高基金管理人、基金托管人的报酬标准或提高销售服务费率，但法律法规要求提高该等报酬标准的除外；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（1）调低基金管理费、基金托管费、销售服务费和其他应由基金承担的费用；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（4）经中国证监会允许，基金推出新业务或服务；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（5）经中国证监会允许，基金管理人、登记结算机构、代销机构在法律法规规定的范围内调整有关基金认购、申购、赎回、转换、非交易过户、转托管等业务的规则；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（6）在不违反法律法规规定的情况下，接受其它币种的申购、赎回；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（8）对基金合同的修改不涉及本基金合同当事人权利义务关系发生变化；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（10）按照法律法规或本基金合同规定不需召开基金份额持有人大会的其他情形。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(1)会议召开的时间、地点和出席方式；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(2)会议拟审议的主要事项；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(5)有权出席基金份额持有人大会的基金份额持有人权益登记日；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(6)代理投票的授权委托书的内容要求、送达时间和地点；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(8)会务常设联系人姓名、电话；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1)基金份额持有人大会的召开方式包括现场开会和通讯方式开会。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3)通讯方式开会指按照本基金合同的相关规定以通讯的书面方式进行表决。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4)会议的召开方式由召集人确定，但决定转换基金运作方式、基金管理人更换或基金托管人更换、提前终止基金合同的事宜必须以现场开会方式召开基金份额持有人大会。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（2）召开基金份额持有人大会的条件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在同时符合以下条件时，现场会议方可举行：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在同时符合以下条件时，通讯会议方可举行：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①召集人按本基金合同规定公布会议通知后，在2个工作日内连续公布相关提示性公告；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如果开会条件达不到上述的条件，则召集人可另行确定并公告重新表决的时间，且确定有权出席会议的基金份额持有人资格的权益登记日应保持不变。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1)议事内容为本基金合同规定的召开基金份额持有人大会事由所涉及的内容。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3)对于基金份额持有人提交的提案，大会召集人应当按照以下原则对提案进行审核：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7、决议形成的条件、表决方式、程序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（1）基金份额持有人所持每一基金份额享有平等的表决权。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提前终止基金合同必须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（3）基金份额持有人大会决定的事项，应当依法报中国证监会核准或者备案，并予以公告。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9、基金份额持有人大会决议报中国证监会核准或备案后的公告时间、方式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（3）通讯开会的直接出具书面表决意见或授权他人代表出具书面表决意见的基金份额持有人所持有的基金份额不小于在权益登记日相关基金份额的二分之一（含二分之一）；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11、法律法规或监管部门对基金份额持有人大会另有规定的，从其规定。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6）提高基金管理人、基金托管人的报酬标准或提高销售服务费率。但根据适用的相关规定提高该等报酬标准的除外；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8）对基金份额持有人的权利和义务有重大影响而需要变更本基金合同的其他事项；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9）法律法规、基金合同或中国证监会规定的其他情形。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1）调低基金管理费、基金托管费、销售服务费和其他应由基金承担的费用；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4）因相应的法律法规发生变动必须对基金合同进行修改；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5）对基金合同的修改不涉及本基金合同当事人权利义务关系发生变化；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6）基金合同的修改对基金份额持有人利益无实质性不利影响；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7）按照法律法规或本基金合同规定不需召开基金份额持有人大会的其他情形。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有下列情形之一的，本基金合同经中国证监会核准后将终止：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1)基金合同终止时，成立基金财产清算组，基金财产清算组在中国证监会的监督下进行基金清算。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2)基金合同终止时，由基金财产清算组统一接管基金财产；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5)聘请律师事务所出具法律意见书；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6)聘请会计师事务所对清算报告进行审计；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7)将基金财产清算结果报告中国证监会；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（4）基金财产按下列顺序清偿：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241319"/>
      <w:r>
        <w:rPr>
          <w:rFonts w:ascii="Times New Roman" w:hAnsi="Times New Roman"/>
          <w:sz w:val="30"/>
        </w:rPr>
        <w:t>二十三、托管协议的内容摘要</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同一家银行的存款不得超过基金资产净值的20%，银行应当是中资商业银行在境外设立的分行或在最近一个会计年度达到中国证监会认可的信用评级机构评级的境外银行，但在基金托管账户的存款不受此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（2）本基金持有同一机构(政府、国际金融组织除外)发行的证券市值不得超过基金资产净值的10%。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（4）基金不得购买证券用于控制或影响发行该证券的机构或其管理层。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（5）本基金持有非流动性资产市值不得超过基金资产净值的10%。前项非流动性资产是指法律或基金合同规定的流通受限证券以及中国证监会认定的其他资产。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（6）本基金持有境外基金的市值合计不得超过基金资产净值的10%，但持有货币市场基金不受此限制。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（7）为应付赎回、交易清算等临时用途，借入现金的比例不得超过基金资产净值的10%。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（8）本基金投资衍生品应当仅限于投资组合避险或有效管理，不得用于投机或放大交易，同时应当严格遵守下列规定：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1)本基金的金融衍生品全部敞口不得高于基金资产净值的100%。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2)本基金投资期货支付的初始保证金、投资期权支付或收取的期权费、投资柜台交易衍生品支付的初始费用的总额不得高于基金资产净值的10%。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3)本基金投资于远期合约、互换等柜台交易金融衍生品，应当符合以下要求：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 所有参与交易的对手方（中资商业银行除外）应当具有不低于中国证监会认可的信用评级机构评级；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b.交易对手方应当至少每个工作日对交易进行估值，并且基金可在任何时候以公允价值终止交易；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 任一交易对手方的市值计价敞口不得超过基金资产净值的20%。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4)本基金不得直接投资与实物商品相关的衍生品。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（9）本基金可以参与证券借贷交易，并且应当遵守下列规定：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2)参与正回购交易,应当采取市值计价制度对卖出收益进行调整以确保现金不低于已售出证券市值的102%。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除中国证监会另有规定外，担保物可以是以下金融工具或品种：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 现金；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b.存款证明；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c.商业票据；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d.政府债券；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e.中资商业银行或由不低于中国证监会认可的信用评级机构评级的境外金融机构（作为交易对手方或其关联方的除外）出具的不可撤销信用证。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5)本基金有权在任何时候终止证券借贷交易并在正常市场惯例的合理期限内要求归还任一或所有已借出的证券。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6)基金管理人应当对基金参与证券借贷交易中发生的任何损失负相应责任。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7)基金参与证券借贷交易，所有已借出而未归还证券总市值不得超过基金总资产的50%。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上述比例限制计算，基金因参与证券借贷交易而持有的担保物不得计入基金总资产。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（10）基金可以根据正常市场惯例参与正回购交易、逆回购交易，并且应当遵守下列规定：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2)参与正回购交易，应当采取市值计价制度对卖出收益进行调整以确保现金不低于已售出证券市值的102%。一旦买方违约，本基金根据协议和有关法律有权保留或处置卖出收益以满足索赔需要。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3)买方应当在正回购交易期内及时向本基金支付售出证券产生的所有股息、利息和分红。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4)参与逆回购交易，应当对购入证券采取市值计价制度进行调整以确保已购入证券市值不低于支付现金的102%。一旦卖方违约，本基金根据协议和有关法律有权保留或处置已购入证券以满足索赔需要。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5)基金参与正回购交易，所有已售出而未回购证券总市值均不得超过基金总资产的50%。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上述比例限制计算，基金因参与正回购交易而持有的现金不得计入基金总资产。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（13）法律法规和基金合同规定的其他限制。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将来法律法规或中国证监会的相关规定发生修改、更新或废止，致使本款前述投资限制和禁止行为被修改、更新或取消的，基金管理人在履行适当程序后，本基金可相应调整投资限制和禁止行为规定，不需经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后6个月内使基金的投资组合比例符合基金合同的约定。除第（11）、（12）项外，若基金超过上述投资比例限制，应当在超过比例后30个工作日内采用合理的商业措施减仓以符合投资比例限制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3、基金托管人根据有关法律法规的规定及基金合同的约定，对本托管协议第十七条第（九）款基金投资禁止行为进行监督。基金托管人通过事后监督方式对基金管理人基金投资禁止行为进行监督。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能准时将公司行为信息通知基金管理人、未执行或无故延迟执行基金管理人资金划拨指令、泄露基金投资信息等违反《基金法》、《试行办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（1）基金财产应保管于基金托管人或基金托管人委托的机构处。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（6）基金托管人根据基金管理人的指令，按照基金合同和本协议的约定保管基金财产，并按指令进行结算。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（1）基金募集期间募集的资金应存于中国证券登记结算有限责任公司的“基金募集专户”。该账户由基金管理人委托的登记结算机构开立并管理。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试行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（4）资产保管内容和约定事项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非投资当地的法律法规和市场惯例另有规定，基金托管人和其境外资产托管人应在收到基金管理人或其委托的境外投资顾问的指令后，按下述方式支付现金、售出或交付证券：(a)按照交易发生的司法管辖区或市场的有关惯常和既定惯例和程序作出；或(b)就通过证券系统进行的买卖而言，按照管辖该系统运营的规则、条例和条件作出；(c)在不违反基金合同、托管协议和招募说明书等法律文件约定的情况下，依基金管理人或其投资顾问根据指令程序发送的指令中的另有规定。基金托管人和其境外资产托管人应不时将该等有关惯例、程序、规则、条例和条件及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基金托管人自身，并应确保其境外资产托管人尽商业的合理努力建立安全的数据管理机制，安全完整地保存基金管理人与基金财产相关的业务数据和信息。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因依法解散、被依法撤销或者被依法宣告清盘或破产等原因进行终止清算时，不得将基金财产及其收益归入其清算财产；基金管理人和基金托管人理解现金于存入托管账户时构成基金托管人、境外资产托管人的等额债务，除非法律法规及撤销或清盘程序明文许可该等现金不归于清算财产外，该等现金归入清算财产并不构成基金托管人违反托管协议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并供境内资金划拨使用。基金托管人可委托境外资产托管人开立基金银行账户（境外），境外资产托管人根据基金托管人的指令办理境外资金收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基金托管人可委托境外资产托管人根据投资所在国家或地区市场法律法规规定，开立和管理证券账户。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（1）因业务发展需要而开立的其他账户，可以根据投资所在国家或地区法律法规和基金合同的规定，由基金托管人或其委托机构负责开立。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（2）投资所在国家或地区法律法规对相关账户的开立和管理另有规定的，从其规定办理。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境外有关实物证券、银行存款定期存单等有价凭证由基金托管人委托境外托管代理人存放于其保管库。属于基金托管人及其境外资产托管人实际有效控制下的实物证券在基金托管人保管期间的损坏、灭失，由此产生的责任应由基金托管人承担。基金托管人对由基金托管人及其境外资产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基金管理人应保证基金管理人和基金托管人至少各持有一份正本的原件。上述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基金资产净值是指基金资产总值减去负债（含各项有关税收）后的金额。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各类基金份额的基金份额净值是指该类基金份额的基金资产净值除以该类基金份额总数，基金份额净值的计算精确到0.0001元，小数点后第五位四舍五入。国家另有规定的，从其规定。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241320"/>
      <w:r>
        <w:rPr>
          <w:rFonts w:ascii="Times New Roman" w:hAnsi="Times New Roman"/>
          <w:sz w:val="30"/>
        </w:rPr>
        <w:t>二十四、对基金份额持有人的服务</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1、每次交易结束后，可在T+3个工作日后通过销售机构的网点查询和打印确认单。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的申购、赎回和定期定额投资等业务。通过网上直销交易平台办理本基金A类基金份额申购和定期定额投资业务的个人投资者将享受申购费率的优惠，其他费率标准不变。具体优惠费率请参见公司网站列示的网上直销交易平台申购及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在条件成熟的时候，本基金管理人将根据基金网上直销业务的发展状况，适时调整可用于基金网上直销交易平台的银行卡种类，敬请个人投资者留意相关公告。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（六）如本招募说明书存在任何您/贵机构无法理解的内容，可通过上述方式联系基金管理人。请确保投资前，您/贵机构已经全面理解了本招募说明书。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241321"/>
      <w:r>
        <w:rPr>
          <w:rFonts w:ascii="Times New Roman" w:hAnsi="Times New Roman"/>
          <w:sz w:val="30"/>
        </w:rPr>
        <w:t>二十五、其他应披露事项</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交银施罗德基金管理有限公司关于交银施罗德环球精选价值证券投资基金暂停及恢复大额申购（定期定额投资）业务的公告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交银施罗德基金管理有限公司关于交银施罗德环球精选价值证券投资基金调整境外投资顾问安排的公告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交银施罗德基金管理有限公司关于交银施罗德环球精选价值证券投资基金增加C类基金份额、增加侧袋机制、调整基金份额净值计算小数点后保留位数并修改基金合同和托管协议的公告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交银施罗德环球精选价值证券投资基金基金合同更新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交银施罗德环球精选价值证券投资基金托管协议更新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4241322"/>
      <w:r>
        <w:rPr>
          <w:rFonts w:ascii="Times New Roman" w:hAnsi="Times New Roman"/>
          <w:sz w:val="30"/>
        </w:rPr>
        <w:t>二十六、招募说明书的存放及查阅方式</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9" w:name="_Toc234241323"/>
      <w:r>
        <w:rPr>
          <w:rFonts w:ascii="Times New Roman" w:hAnsi="Times New Roman"/>
          <w:sz w:val="30"/>
        </w:rPr>
        <w:t>二十七、备查文件</w:t>
      </w:r>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（一）中国证监会批准交银施罗德环球精选价值证券投资基金募集的文件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（二）《交银施罗德环球精选价值证券投资基金基金合同》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（三）《交银施罗德环球精选价值证券投资基金托管协议》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（六）关于申请募集交银施罗德环球精选价值证券投资基金之法律意见书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165</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交银施罗德环球精选价值证券投资基金招募说明书更新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交银施罗德环球精选价值证券投资基金招募说明书更新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交银施罗德环球精选价值证券投资基金招募说明书更新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11A5"/>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1642"/>
    <w:rsid w:val="00B72FA0"/>
    <w:rsid w:val="00B73209"/>
    <w:rsid w:val="00B739D2"/>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6BCE"/>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D7A22"/>
    <w:rsid w:val="00FE3FF3"/>
    <w:rsid w:val="00FE6D8B"/>
    <w:rsid w:val="00FF459F"/>
    <w:rsid w:val="00FF4D4F"/>
    <w:rsid w:val="1A113708"/>
    <w:rsid w:val="346427BE"/>
    <w:rsid w:val="4A2C1042"/>
    <w:rsid w:val="4D8212ED"/>
    <w:rsid w:val="57CD0206"/>
    <w:rsid w:val="74913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166</Pages>
  <Words>16524</Words>
  <Characters>94191</Characters>
  <Lines>784</Lines>
  <Paragraphs>220</Paragraphs>
  <TotalTime>6</TotalTime>
  <ScaleCrop>false</ScaleCrop>
  <LinksUpToDate>false</LinksUpToDate>
  <CharactersWithSpaces>110495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2026-07-06T06:41:00Z</dcterms:created>
  <dc:creator>系统用户</dc:creator>
  <cp:lastModifiedBy>haotingting</cp:lastModifiedBy>
  <cp:lastPrinted>2013-02-18T03:10:00Z</cp:lastPrinted>
  <dcterms:modified xsi:type="dcterms:W3CDTF">2026-07-06T07:11:23Z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F1425C7DCDCC417E8B00ED805FA090C2</vt:lpwstr>
  </property>
</Properties>
</file>