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交银施罗德产业机遇混合型证券投资基金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交银产业机遇混合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010094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2020-09-24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朱维缜</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2024-06-22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产业机遇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沪深300指数收益率×65%+恒生指数收益率×5%+中证综合债券指数收益率×30%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详见《交银施罗德产业机遇混合型证券投资基金招募说明书》“基金的投资”。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2、本基金份额于2020年9月24日开始确认，首次确认当年净值增长率按实际存续期计算。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3、本基金的业绩比较基准为“沪深300指数收益率×65%+恒生指数收益率×5%+中证综合债券指数收益率×30%”，每日进行再平衡过程。</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M＜200万元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投资主题风险：本基金投资于产业机遇主题相关证券的比例不低于非现金基金资产的80%，因此本基金的股票投资业绩与本基金界定的符合“产业机遇”主题界定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●《交银施罗德产业机遇混合型证券投资基金基金合同》、</w:t>
      </w:r>
    </w:p>
    <w:p>
      <w:pPr>
        <w:ind w:firstLine="420"/>
        <w:jc w:val="left"/>
        <w:rPr>
          <w:rFonts w:ascii="仿宋_GB2312" w:eastAsia="仿宋_GB2312"/>
          <w:szCs w:val="21"/>
        </w:rPr>
      </w:pPr>
      <w:r>
        <w:rPr>
          <w:rFonts w:hint="eastAsia" w:ascii="仿宋_GB2312" w:eastAsia="仿宋_GB2312"/>
          <w:szCs w:val="21"/>
        </w:rPr>
        <w:t>《交银施罗德产业机遇混合型证券投资基金托管协议》、</w:t>
      </w:r>
    </w:p>
    <w:p>
      <w:pPr>
        <w:ind w:firstLine="420"/>
        <w:jc w:val="left"/>
        <w:rPr>
          <w:rFonts w:ascii="仿宋_GB2312" w:eastAsia="仿宋_GB2312"/>
          <w:szCs w:val="21"/>
        </w:rPr>
      </w:pPr>
      <w:r>
        <w:rPr>
          <w:rFonts w:hint="eastAsia" w:ascii="仿宋_GB2312" w:eastAsia="仿宋_GB2312"/>
          <w:szCs w:val="21"/>
        </w:rPr>
        <w:t>《交银施罗德产业机遇混合型证券投资基金招募说明书》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126D"/>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754D12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806</Words>
  <Characters>4597</Characters>
  <Lines>38</Lines>
  <Paragraphs>10</Paragraphs>
  <TotalTime>2</TotalTime>
  <ScaleCrop>false</ScaleCrop>
  <LinksUpToDate>false</LinksUpToDate>
  <CharactersWithSpaces>5393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2026-06-23T08:18:00Z</dcterms:created>
  <dc:creator>Cc</dc:creator>
  <cp:lastModifiedBy>haotingting</cp:lastModifiedBy>
  <dcterms:modified xsi:type="dcterms:W3CDTF">2026-06-24T07:00:36Z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0A6F26F628EE407B94D3BF33B8E24ACF</vt:lpwstr>
  </property>
</Properties>
</file>