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交银施罗德增利债券证券投资基金（AB类份额）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交银增利债券A/B</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519680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2008-03-31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2018-08-29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519680（A类份额），519681（B类份额）</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控制信用风险、利率风险、流动性风险前提下，主要通过投资承担一定信用风险、具有较高息票率的债券，实现基金资产的长期稳定增长。</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债券、股票、权证以及法律法规或中国证监会允许基金投资的其他金融工具，其中股票投资仅限于参与新股认购和可转债转股获得的股票，权证投资仅限于参与可分离转债申购而获得的权证，即本基金不从二级市场购买股票或权证。本基金通过新股认购策略所认购新发行股票，在其上市后持有时间不超60个交易日，所持可转换债券转股后的股票持有时间不超过5个交易日，通过可转债认购所获得的权证，在其上市后持有时间不超过20个交易日。本基金的投资对象重点为承载一定信用风险、具有较高息票率的债券，包括企业债、公司债、短期融资券、次级债、资产支持证券（含资产收益计划）、可转换债券等以企业为主体发行的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基金保留的现金以及投资于到期日在一年以内的政府债券的比例合计不低于基金资产净值的5%，其中现金不包括结算备付金、存出保证金和应收申购款等；股票、权证等资产占基金资产的比例为0-20%，其中权证资产占基金资产净值的比例为0-3%。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大类金融资产比例，自上而下决定债券组合久期、期限结构配置及债券类别配置；同时在对企业债券进行信用评级的基础上，综合考量企业债券（含公司债、企业短期融资券）的信用评级以及包括其它券种在内的债券流动性、供求关系、收益率水平等因素，自下而上地配置债券类属和精选个券。通过综合运用骑乘操作、套利操作、新股认购等策略，提高投资组合收益。</w:t>
            </w:r>
          </w:p>
          <w:p>
            <w:pPr>
              <w:ind w:firstLine="420"/>
              <w:jc w:val="left"/>
              <w:rPr>
                <w:rFonts w:ascii="仿宋_GB2312" w:eastAsia="仿宋_GB2312"/>
                <w:szCs w:val="21"/>
              </w:rPr>
            </w:pPr>
            <w:r>
              <w:rPr>
                <w:rFonts w:hint="eastAsia" w:ascii="仿宋_GB2312" w:eastAsia="仿宋_GB2312"/>
                <w:szCs w:val="21"/>
              </w:rPr>
              <w:t>1、资产配置策略；2、久期管理策略；3、企业债投资策略；4、资产支持证券（含资产收益计划）投资策略；5、可转换债券投资策略；6、股票投资策略；7、权证投资策略。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中债企业债总指数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在证券投资基金中属于中等风险的品种，其长期平均风险和预期收益高于货币市场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详见《交银施罗德增利债券证券投资基金招募说明书》“基金的投资”。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A类份额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B类份额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本基金属于债券型基金，将维持较高的债券持仓比例。如果债券市场出现整体下跌，本基金的净值表现将受到影响。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本基金主要通过投资于承担一定信用风险、具有较高息票率的债券，实现基金资产的长期稳定增长。在债券投资中，本基金特有的风险主要来自两个方面：一是对宏观经济趋势、政策以及债券市场基本面研究是否准确、深入。二是对企业债券的优选和判断是否科学、准确。基本面研究及企业债券分析的错误均可能导致所选择的证券不能完全符合本基金的预期目标。三是本基金所投资的企业债券承载的信用风险要高于高信用等级的债券（如国债），若债券发行人出现违约、不能按时或全额支付本金和利息，将导致基金资产损失，发生信用风险。</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●《交银施罗德增利债券证券投资基金基金合同》、</w:t>
      </w:r>
    </w:p>
    <w:p>
      <w:pPr>
        <w:ind w:firstLine="420"/>
        <w:jc w:val="left"/>
        <w:rPr>
          <w:rFonts w:ascii="仿宋_GB2312" w:eastAsia="仿宋_GB2312"/>
          <w:szCs w:val="21"/>
        </w:rPr>
      </w:pPr>
      <w:r>
        <w:rPr>
          <w:rFonts w:hint="eastAsia" w:ascii="仿宋_GB2312" w:eastAsia="仿宋_GB2312"/>
          <w:szCs w:val="21"/>
        </w:rPr>
        <w:t>《交银施罗德增利债券证券投资基金托管协议》、</w:t>
      </w:r>
    </w:p>
    <w:p>
      <w:pPr>
        <w:ind w:firstLine="420"/>
        <w:jc w:val="left"/>
        <w:rPr>
          <w:rFonts w:ascii="仿宋_GB2312" w:eastAsia="仿宋_GB2312"/>
          <w:szCs w:val="21"/>
        </w:rPr>
      </w:pPr>
      <w:r>
        <w:rPr>
          <w:rFonts w:hint="eastAsia" w:ascii="仿宋_GB2312" w:eastAsia="仿宋_GB2312"/>
          <w:szCs w:val="21"/>
        </w:rPr>
        <w:t>《交银施罗德增利债券证券投资基金招募说明书》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E18EA"/>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7D5960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682</Words>
  <Characters>3892</Characters>
  <Lines>32</Lines>
  <Paragraphs>9</Paragraphs>
  <TotalTime>3</TotalTime>
  <ScaleCrop>false</ScaleCrop>
  <LinksUpToDate>false</LinksUpToDate>
  <CharactersWithSpaces>4565</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2026-06-23T08:20:00Z</dcterms:created>
  <dc:creator>Cc</dc:creator>
  <cp:lastModifiedBy>haotingting</cp:lastModifiedBy>
  <dcterms:modified xsi:type="dcterms:W3CDTF">2026-06-30T08:44:25Z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2CE3A657123B453AAF992A9F812B8835</vt:lpwstr>
  </property>
</Properties>
</file>