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2"/>
        </w:rPr>
      </w:pPr>
    </w:p>
    <w:p>
      <w:pPr>
        <w:rPr>
          <w:sz w:val="32"/>
        </w:rPr>
      </w:pPr>
    </w:p>
    <w:p>
      <w:pPr>
        <w:rPr>
          <w:sz w:val="32"/>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交银施罗德创新领航混合型证券投资基金</w:t>
      </w:r>
    </w:p>
    <w:p>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pPr>
        <w:snapToGrid w:val="0"/>
        <w:spacing w:line="360" w:lineRule="auto"/>
        <w:jc w:val="center"/>
        <w:rPr>
          <w:rFonts w:ascii="宋体" w:hAnsi="宋体"/>
          <w:b/>
          <w:sz w:val="30"/>
          <w:szCs w:val="30"/>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基金托管人：招商银行股份有限公司</w:t>
      </w: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spacing w:val="2"/>
          <w:w w:val="99"/>
          <w:kern w:val="0"/>
          <w:sz w:val="32"/>
          <w:szCs w:val="32"/>
        </w:rPr>
      </w:pPr>
    </w:p>
    <w:p>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二〇二六年六月</w:t>
      </w:r>
    </w:p>
    <w:p>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pPr>
        <w:pStyle w:val="2"/>
        <w:snapToGrid w:val="0"/>
        <w:spacing w:before="240" w:beforeLines="0" w:after="240"/>
        <w:rPr>
          <w:rFonts w:ascii="宋体" w:hAnsi="宋体"/>
          <w:kern w:val="0"/>
        </w:rPr>
      </w:pPr>
      <w:bookmarkStart w:id="0" w:name="_Toc233879593"/>
      <w:bookmarkStart w:id="1" w:name="_Toc324920538"/>
      <w:bookmarkStart w:id="2" w:name="_Toc496884613"/>
      <w:r>
        <w:rPr>
          <w:rFonts w:ascii="Times New Roman" w:hAnsi="Times New Roman"/>
          <w:kern w:val="0"/>
        </w:rPr>
        <w:t>重要提示</w:t>
      </w:r>
      <w:bookmarkEnd w:id="0"/>
      <w:bookmarkEnd w:id="1"/>
      <w:bookmarkEnd w:id="2"/>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创新领航混合型证券投资基金（以下简称“本基金”）经2019年12月18日中国证券监督管理委员会（以下简称“中国证监会”）证监许可【2019】2880号文准予募集注册。本基金基金合同于2020年2月27日正式生效。</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信用风险；投资股指期货的特定风险；投资资产支持证券的特定风险；投资流通受限证券的特定风险；投资科创板股票的特定风险；连续50个工作日出现基金份额持有人数量不满200人或基金资产净值低于5000万元情形时基金管理人可依基金合同约定提前终止基金合同的风险；投资本基金的其他风险等等。本基金是一只混合型基金，其预期风险和预期收益高于债券型基金和货币市场基金，低于股票型基金。本基金可投资港股通标的股票，会面临港股通机制下因投资环境、投资标的、市场制度以及交易规则等差异带来的特有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香港联合交易所”）上市的股票（以下简称“港股通标的股票”）的，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烦请查阅本基金招募说明书的“风险揭示”章节的具体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风险揭示”章节内容。</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本招募说明书所载内容截止日为2026年06月17日，有关财务数据和净值表现截止日为2026年03月31日。本招募说明书所载的财务数据未经审计。</w:t>
      </w:r>
    </w:p>
    <w:p>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pPr>
        <w:pStyle w:val="10"/>
        <w:tabs>
          <w:tab w:val="right" w:leader="dot" w:pos="8550"/>
        </w:tabs>
        <w:spacing w:line="360" w:lineRule="auto"/>
        <w:rPr>
          <w:rFonts w:ascii="宋体" w:hAnsi="宋体" w:cstheme="minorBidi"/>
          <w:sz w:val="24"/>
        </w:rPr>
      </w:pPr>
      <w:r>
        <w:fldChar w:fldCharType="begin"/>
      </w:r>
      <w:r>
        <w:instrText xml:space="preserve"> HYPERLINK \l "_Toc233879593"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_Toc233879593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"_Toc233879594"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_Toc233879594 \h </w:instrText>
      </w:r>
      <w:r>
        <w:rPr>
          <w:rFonts w:ascii="宋体" w:hAnsi="宋体"/>
          <w:sz w:val="24"/>
        </w:rPr>
        <w:fldChar w:fldCharType="separate"/>
      </w:r>
      <w:r>
        <w:rPr>
          <w:rFonts w:ascii="宋体" w:hAnsi="宋体"/>
          <w:sz w:val="24"/>
        </w:rPr>
        <w:t>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"_Toc233879595"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_Toc233879595 \h </w:instrText>
      </w:r>
      <w:r>
        <w:rPr>
          <w:rFonts w:ascii="宋体" w:hAnsi="宋体"/>
          <w:sz w:val="24"/>
        </w:rPr>
        <w:fldChar w:fldCharType="separate"/>
      </w:r>
      <w:r>
        <w:rPr>
          <w:rFonts w:ascii="宋体" w:hAnsi="宋体"/>
          <w:sz w:val="24"/>
        </w:rPr>
        <w:t>6</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"_Toc233879596"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_Toc233879596 \h </w:instrText>
      </w:r>
      <w:r>
        <w:rPr>
          <w:rFonts w:ascii="宋体" w:hAnsi="宋体"/>
          <w:sz w:val="24"/>
        </w:rPr>
        <w:fldChar w:fldCharType="separate"/>
      </w:r>
      <w:r>
        <w:rPr>
          <w:rFonts w:ascii="宋体" w:hAnsi="宋体"/>
          <w:sz w:val="24"/>
        </w:rPr>
        <w:t>11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"_Toc233879597"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_Toc233879597 \h </w:instrText>
      </w:r>
      <w:r>
        <w:rPr>
          <w:rFonts w:ascii="宋体" w:hAnsi="宋体"/>
          <w:sz w:val="24"/>
        </w:rPr>
        <w:fldChar w:fldCharType="separate"/>
      </w:r>
      <w:r>
        <w:rPr>
          <w:rFonts w:ascii="宋体" w:hAnsi="宋体"/>
          <w:sz w:val="24"/>
        </w:rPr>
        <w:t>18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"_Toc233879598"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_Toc233879598 \h </w:instrText>
      </w:r>
      <w:r>
        <w:rPr>
          <w:rFonts w:ascii="宋体" w:hAnsi="宋体"/>
          <w:sz w:val="24"/>
        </w:rPr>
        <w:fldChar w:fldCharType="separate"/>
      </w:r>
      <w:r>
        <w:rPr>
          <w:rFonts w:ascii="宋体" w:hAnsi="宋体"/>
          <w:sz w:val="24"/>
        </w:rPr>
        <w:t>25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"_Toc233879599"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_Toc233879599 \h </w:instrText>
      </w:r>
      <w:r>
        <w:rPr>
          <w:rFonts w:ascii="宋体" w:hAnsi="宋体"/>
          <w:sz w:val="24"/>
        </w:rPr>
        <w:fldChar w:fldCharType="separate"/>
      </w:r>
      <w:r>
        <w:rPr>
          <w:rFonts w:ascii="宋体" w:hAnsi="宋体"/>
          <w:sz w:val="24"/>
        </w:rPr>
        <w:t>48</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"_Toc233879600"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_Toc233879600 \h </w:instrText>
      </w:r>
      <w:r>
        <w:rPr>
          <w:rFonts w:ascii="宋体" w:hAnsi="宋体"/>
          <w:sz w:val="24"/>
        </w:rPr>
        <w:fldChar w:fldCharType="separate"/>
      </w:r>
      <w:r>
        <w:rPr>
          <w:rFonts w:ascii="宋体" w:hAnsi="宋体"/>
          <w:sz w:val="24"/>
        </w:rPr>
        <w:t>49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"_Toc233879601"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_Toc233879601 \h </w:instrText>
      </w:r>
      <w:r>
        <w:rPr>
          <w:rFonts w:ascii="宋体" w:hAnsi="宋体"/>
          <w:sz w:val="24"/>
        </w:rPr>
        <w:fldChar w:fldCharType="separate"/>
      </w:r>
      <w:r>
        <w:rPr>
          <w:rFonts w:ascii="宋体" w:hAnsi="宋体"/>
          <w:sz w:val="24"/>
        </w:rPr>
        <w:t>50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"_Toc233879602" </w:instrText>
      </w:r>
      <w:r>
        <w:fldChar w:fldCharType="separate"/>
      </w:r>
      <w:r>
        <w:rPr>
          <w:rStyle w:val="18"/>
          <w:rFonts w:hint="eastAsia" w:ascii="宋体" w:hAnsi="宋体"/>
          <w:sz w:val="24"/>
        </w:rPr>
        <w:t>九、</w:t>
      </w:r>
      <w:r>
        <w:rPr>
          <w:rStyle w:val="18"/>
          <w:rFonts w:ascii="宋体" w:hAnsi="宋体"/>
          <w:sz w:val="24"/>
        </w:rPr>
        <w:t xml:space="preserve"> </w:t>
      </w:r>
      <w:r>
        <w:rPr>
          <w:rStyle w:val="18"/>
          <w:rFonts w:hint="eastAsia" w:ascii="宋体" w:hAnsi="宋体"/>
          <w:sz w:val="24"/>
        </w:rPr>
        <w:t>基金的转换</w:t>
      </w:r>
      <w:r>
        <w:rPr>
          <w:rFonts w:ascii="宋体" w:hAnsi="宋体"/>
          <w:sz w:val="24"/>
        </w:rPr>
        <w:tab/>
      </w:r>
      <w:r>
        <w:rPr>
          <w:rFonts w:ascii="宋体" w:hAnsi="宋体"/>
          <w:sz w:val="24"/>
        </w:rPr>
        <w:fldChar w:fldCharType="begin"/>
      </w:r>
      <w:r>
        <w:rPr>
          <w:rFonts w:ascii="宋体" w:hAnsi="宋体"/>
          <w:sz w:val="24"/>
        </w:rPr>
        <w:instrText xml:space="preserve"> PAGEREF _Toc233879602 \h </w:instrText>
      </w:r>
      <w:r>
        <w:rPr>
          <w:rFonts w:ascii="宋体" w:hAnsi="宋体"/>
          <w:sz w:val="24"/>
        </w:rPr>
        <w:fldChar w:fldCharType="separate"/>
      </w:r>
      <w:r>
        <w:rPr>
          <w:rFonts w:ascii="宋体" w:hAnsi="宋体"/>
          <w:sz w:val="24"/>
        </w:rPr>
        <w:t>62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"_Toc233879603" </w:instrText>
      </w:r>
      <w:r>
        <w:fldChar w:fldCharType="separate"/>
      </w:r>
      <w:r>
        <w:rPr>
          <w:rStyle w:val="18"/>
          <w:rFonts w:hint="eastAsia" w:ascii="宋体" w:hAnsi="宋体"/>
          <w:sz w:val="24"/>
        </w:rPr>
        <w:t>十、基金的投资</w:t>
      </w:r>
      <w:r>
        <w:rPr>
          <w:rFonts w:ascii="宋体" w:hAnsi="宋体"/>
          <w:sz w:val="24"/>
        </w:rPr>
        <w:tab/>
      </w:r>
      <w:r>
        <w:rPr>
          <w:rFonts w:ascii="宋体" w:hAnsi="宋体"/>
          <w:sz w:val="24"/>
        </w:rPr>
        <w:fldChar w:fldCharType="begin"/>
      </w:r>
      <w:r>
        <w:rPr>
          <w:rFonts w:ascii="宋体" w:hAnsi="宋体"/>
          <w:sz w:val="24"/>
        </w:rPr>
        <w:instrText xml:space="preserve"> PAGEREF _Toc233879603 \h </w:instrText>
      </w:r>
      <w:r>
        <w:rPr>
          <w:rFonts w:ascii="宋体" w:hAnsi="宋体"/>
          <w:sz w:val="24"/>
        </w:rPr>
        <w:fldChar w:fldCharType="separate"/>
      </w:r>
      <w:r>
        <w:rPr>
          <w:rFonts w:ascii="宋体" w:hAnsi="宋体"/>
          <w:sz w:val="24"/>
        </w:rPr>
        <w:t>69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"_Toc233879604" </w:instrText>
      </w:r>
      <w:r>
        <w:fldChar w:fldCharType="separate"/>
      </w:r>
      <w:r>
        <w:rPr>
          <w:rStyle w:val="18"/>
          <w:rFonts w:hint="eastAsia" w:ascii="宋体" w:hAnsi="宋体"/>
          <w:sz w:val="24"/>
        </w:rPr>
        <w:t>十一、基金的业绩</w:t>
      </w:r>
      <w:r>
        <w:rPr>
          <w:rFonts w:ascii="宋体" w:hAnsi="宋体"/>
          <w:sz w:val="24"/>
        </w:rPr>
        <w:tab/>
      </w:r>
      <w:r>
        <w:rPr>
          <w:rFonts w:ascii="宋体" w:hAnsi="宋体"/>
          <w:sz w:val="24"/>
        </w:rPr>
        <w:fldChar w:fldCharType="begin"/>
      </w:r>
      <w:r>
        <w:rPr>
          <w:rFonts w:ascii="宋体" w:hAnsi="宋体"/>
          <w:sz w:val="24"/>
        </w:rPr>
        <w:instrText xml:space="preserve"> PAGEREF _Toc233879604 \h </w:instrText>
      </w:r>
      <w:r>
        <w:rPr>
          <w:rFonts w:ascii="宋体" w:hAnsi="宋体"/>
          <w:sz w:val="24"/>
        </w:rPr>
        <w:fldChar w:fldCharType="separate"/>
      </w:r>
      <w:r>
        <w:rPr>
          <w:rFonts w:ascii="宋体" w:hAnsi="宋体"/>
          <w:sz w:val="24"/>
        </w:rPr>
        <w:t>81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"_Toc233879605"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_Toc233879605 \h </w:instrText>
      </w:r>
      <w:r>
        <w:rPr>
          <w:rFonts w:ascii="宋体" w:hAnsi="宋体"/>
          <w:sz w:val="24"/>
        </w:rPr>
        <w:fldChar w:fldCharType="separate"/>
      </w:r>
      <w:r>
        <w:rPr>
          <w:rFonts w:ascii="宋体" w:hAnsi="宋体"/>
          <w:sz w:val="24"/>
        </w:rPr>
        <w:t>83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"_Toc233879606"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_Toc233879606 \h </w:instrText>
      </w:r>
      <w:r>
        <w:rPr>
          <w:rFonts w:ascii="宋体" w:hAnsi="宋体"/>
          <w:sz w:val="24"/>
        </w:rPr>
        <w:fldChar w:fldCharType="separate"/>
      </w:r>
      <w:r>
        <w:rPr>
          <w:rFonts w:ascii="宋体" w:hAnsi="宋体"/>
          <w:sz w:val="24"/>
        </w:rPr>
        <w:t>84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"_Toc233879607" </w:instrText>
      </w:r>
      <w:r>
        <w:fldChar w:fldCharType="separate"/>
      </w:r>
      <w:r>
        <w:rPr>
          <w:rStyle w:val="18"/>
          <w:rFonts w:hint="eastAsia" w:ascii="宋体" w:hAnsi="宋体"/>
          <w:sz w:val="24"/>
        </w:rPr>
        <w:t>十四、基金的收益与分配</w:t>
      </w:r>
      <w:r>
        <w:rPr>
          <w:rFonts w:ascii="宋体" w:hAnsi="宋体"/>
          <w:sz w:val="24"/>
        </w:rPr>
        <w:tab/>
      </w:r>
      <w:r>
        <w:rPr>
          <w:rFonts w:ascii="宋体" w:hAnsi="宋体"/>
          <w:sz w:val="24"/>
        </w:rPr>
        <w:fldChar w:fldCharType="begin"/>
      </w:r>
      <w:r>
        <w:rPr>
          <w:rFonts w:ascii="宋体" w:hAnsi="宋体"/>
          <w:sz w:val="24"/>
        </w:rPr>
        <w:instrText xml:space="preserve"> PAGEREF _Toc233879607 \h </w:instrText>
      </w:r>
      <w:r>
        <w:rPr>
          <w:rFonts w:ascii="宋体" w:hAnsi="宋体"/>
          <w:sz w:val="24"/>
        </w:rPr>
        <w:fldChar w:fldCharType="separate"/>
      </w:r>
      <w:r>
        <w:rPr>
          <w:rFonts w:ascii="宋体" w:hAnsi="宋体"/>
          <w:sz w:val="24"/>
        </w:rPr>
        <w:t>90</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"_Toc233879608"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_Toc233879608 \h </w:instrText>
      </w:r>
      <w:r>
        <w:rPr>
          <w:rFonts w:ascii="宋体" w:hAnsi="宋体"/>
          <w:sz w:val="24"/>
        </w:rPr>
        <w:fldChar w:fldCharType="separate"/>
      </w:r>
      <w:r>
        <w:rPr>
          <w:rFonts w:ascii="宋体" w:hAnsi="宋体"/>
          <w:sz w:val="24"/>
        </w:rPr>
        <w:t>92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"_Toc233879609"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_Toc233879609 \h </w:instrText>
      </w:r>
      <w:r>
        <w:rPr>
          <w:rFonts w:ascii="宋体" w:hAnsi="宋体"/>
          <w:sz w:val="24"/>
        </w:rPr>
        <w:fldChar w:fldCharType="separate"/>
      </w:r>
      <w:r>
        <w:rPr>
          <w:rFonts w:ascii="宋体" w:hAnsi="宋体"/>
          <w:sz w:val="24"/>
        </w:rPr>
        <w:t>94</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"_Toc233879610"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_Toc233879610 \h </w:instrText>
      </w:r>
      <w:r>
        <w:rPr>
          <w:rFonts w:ascii="宋体" w:hAnsi="宋体"/>
          <w:sz w:val="24"/>
        </w:rPr>
        <w:fldChar w:fldCharType="separate"/>
      </w:r>
      <w:r>
        <w:rPr>
          <w:rFonts w:ascii="宋体" w:hAnsi="宋体"/>
          <w:sz w:val="24"/>
        </w:rPr>
        <w:t>95</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"_Toc233879611" </w:instrText>
      </w:r>
      <w:r>
        <w:fldChar w:fldCharType="separate"/>
      </w:r>
      <w:r>
        <w:rPr>
          <w:rStyle w:val="18"/>
          <w:rFonts w:hint="eastAsia" w:ascii="宋体" w:hAnsi="宋体"/>
          <w:sz w:val="24"/>
        </w:rPr>
        <w:t>十八、风险揭示</w:t>
      </w:r>
      <w:r>
        <w:rPr>
          <w:rFonts w:ascii="宋体" w:hAnsi="宋体"/>
          <w:sz w:val="24"/>
        </w:rPr>
        <w:tab/>
      </w:r>
      <w:r>
        <w:rPr>
          <w:rFonts w:ascii="宋体" w:hAnsi="宋体"/>
          <w:sz w:val="24"/>
        </w:rPr>
        <w:fldChar w:fldCharType="begin"/>
      </w:r>
      <w:r>
        <w:rPr>
          <w:rFonts w:ascii="宋体" w:hAnsi="宋体"/>
          <w:sz w:val="24"/>
        </w:rPr>
        <w:instrText xml:space="preserve"> PAGEREF _Toc233879611 \h </w:instrText>
      </w:r>
      <w:r>
        <w:rPr>
          <w:rFonts w:ascii="宋体" w:hAnsi="宋体"/>
          <w:sz w:val="24"/>
        </w:rPr>
        <w:fldChar w:fldCharType="separate"/>
      </w:r>
      <w:r>
        <w:rPr>
          <w:rFonts w:ascii="宋体" w:hAnsi="宋体"/>
          <w:sz w:val="24"/>
        </w:rPr>
        <w:t>102</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"_Toc233879612" </w:instrText>
      </w:r>
      <w:r>
        <w:fldChar w:fldCharType="separate"/>
      </w:r>
      <w:r>
        <w:rPr>
          <w:rStyle w:val="18"/>
          <w:rFonts w:hint="eastAsia" w:ascii="宋体" w:hAnsi="宋体"/>
          <w:sz w:val="24"/>
        </w:rPr>
        <w:t>十九、基金合同的变更、终止与基金财产的清算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_Toc233879612 \h </w:instrText>
      </w:r>
      <w:r>
        <w:rPr>
          <w:rFonts w:ascii="宋体" w:hAnsi="宋体"/>
          <w:sz w:val="24"/>
        </w:rPr>
        <w:fldChar w:fldCharType="separate"/>
      </w:r>
      <w:r>
        <w:rPr>
          <w:rFonts w:ascii="宋体" w:hAnsi="宋体"/>
          <w:sz w:val="24"/>
        </w:rPr>
        <w:t>111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"_Toc233879613" </w:instrText>
      </w:r>
      <w:r>
        <w:fldChar w:fldCharType="separate"/>
      </w:r>
      <w:r>
        <w:rPr>
          <w:rStyle w:val="18"/>
          <w:rFonts w:hint="eastAsia" w:ascii="宋体" w:hAnsi="宋体"/>
          <w:sz w:val="24"/>
        </w:rPr>
        <w:t>二十、基金合同内容摘要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_Toc233879613 \h </w:instrText>
      </w:r>
      <w:r>
        <w:rPr>
          <w:rFonts w:ascii="宋体" w:hAnsi="宋体"/>
          <w:sz w:val="24"/>
        </w:rPr>
        <w:fldChar w:fldCharType="separate"/>
      </w:r>
      <w:r>
        <w:rPr>
          <w:rFonts w:ascii="宋体" w:hAnsi="宋体"/>
          <w:sz w:val="24"/>
        </w:rPr>
        <w:t>113</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"_Toc233879614" </w:instrText>
      </w:r>
      <w:r>
        <w:fldChar w:fldCharType="separate"/>
      </w:r>
      <w:r>
        <w:rPr>
          <w:rStyle w:val="18"/>
          <w:rFonts w:hint="eastAsia" w:ascii="宋体" w:hAnsi="宋体"/>
          <w:sz w:val="24"/>
        </w:rPr>
        <w:t>二十一、托管协议的内容摘要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_Toc233879614 \h </w:instrText>
      </w:r>
      <w:r>
        <w:rPr>
          <w:rFonts w:ascii="宋体" w:hAnsi="宋体"/>
          <w:sz w:val="24"/>
        </w:rPr>
        <w:fldChar w:fldCharType="separate"/>
      </w:r>
      <w:r>
        <w:rPr>
          <w:rFonts w:ascii="宋体" w:hAnsi="宋体"/>
          <w:sz w:val="24"/>
        </w:rPr>
        <w:t>129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"_Toc233879615" </w:instrText>
      </w:r>
      <w:r>
        <w:fldChar w:fldCharType="separate"/>
      </w:r>
      <w:r>
        <w:rPr>
          <w:rStyle w:val="18"/>
          <w:rFonts w:hint="eastAsia" w:ascii="宋体" w:hAnsi="宋体"/>
          <w:sz w:val="24"/>
        </w:rPr>
        <w:t>二十二、对基金份额持有人的服务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_Toc233879615 \h </w:instrText>
      </w:r>
      <w:r>
        <w:rPr>
          <w:rFonts w:ascii="宋体" w:hAnsi="宋体"/>
          <w:sz w:val="24"/>
        </w:rPr>
        <w:fldChar w:fldCharType="separate"/>
      </w:r>
      <w:r>
        <w:rPr>
          <w:rFonts w:ascii="宋体" w:hAnsi="宋体"/>
          <w:sz w:val="24"/>
        </w:rPr>
        <w:t>147</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"_Toc233879616" </w:instrText>
      </w:r>
      <w:r>
        <w:fldChar w:fldCharType="separate"/>
      </w:r>
      <w:r>
        <w:rPr>
          <w:rStyle w:val="18"/>
          <w:rFonts w:hint="eastAsia" w:ascii="宋体" w:hAnsi="宋体"/>
          <w:sz w:val="24"/>
        </w:rPr>
        <w:t>二十三、其他应披露事项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_Toc233879616 \h </w:instrText>
      </w:r>
      <w:r>
        <w:rPr>
          <w:rFonts w:ascii="宋体" w:hAnsi="宋体"/>
          <w:sz w:val="24"/>
        </w:rPr>
        <w:fldChar w:fldCharType="separate"/>
      </w:r>
      <w:r>
        <w:rPr>
          <w:rFonts w:ascii="宋体" w:hAnsi="宋体"/>
          <w:sz w:val="24"/>
        </w:rPr>
        <w:t>149</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"_Toc233879617" </w:instrText>
      </w:r>
      <w:r>
        <w:fldChar w:fldCharType="separate"/>
      </w:r>
      <w:r>
        <w:rPr>
          <w:rStyle w:val="18"/>
          <w:rFonts w:hint="eastAsia" w:ascii="宋体" w:hAnsi="宋体"/>
          <w:sz w:val="24"/>
        </w:rPr>
        <w:t>二十四、招募说明书的存放及查阅方式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_Toc233879617 \h </w:instrText>
      </w:r>
      <w:r>
        <w:rPr>
          <w:rFonts w:ascii="宋体" w:hAnsi="宋体"/>
          <w:sz w:val="24"/>
        </w:rPr>
        <w:fldChar w:fldCharType="separate"/>
      </w:r>
      <w:r>
        <w:rPr>
          <w:rFonts w:ascii="宋体" w:hAnsi="宋体"/>
          <w:sz w:val="24"/>
        </w:rPr>
        <w:t>151</w:t>
      </w:r>
      <w:r>
        <w:rPr>
          <w:rFonts w:ascii="宋体" w:hAnsi="宋体"/>
          <w:sz w:val="24"/>
        </w:rPr>
        <w:fldChar w:fldCharType="end"/>
      </w:r>
      <w:r>
        <w:rPr>
          <w:rFonts w:ascii="宋体" w:hAnsi="宋体"/>
          <w:sz w:val="24"/>
        </w:rPr>
        <w:fldChar w:fldCharType="end"/>
      </w:r>
    </w:p>
    <w:p>
      <w:pPr>
        <w:pStyle w:val="10"/>
        <w:tabs>
          <w:tab w:val="right" w:leader="dot" w:pos="8550"/>
        </w:tabs>
        <w:spacing w:line="360" w:lineRule="auto"/>
        <w:rPr>
          <w:rFonts w:ascii="宋体" w:hAnsi="宋体" w:cstheme="minorBidi"/>
          <w:sz w:val="24"/>
        </w:rPr>
      </w:pPr>
      <w:r>
        <w:fldChar w:fldCharType="begin"/>
      </w:r>
      <w:r>
        <w:instrText xml:space="preserve"> HYPERLINK \l "_Toc233879618" </w:instrText>
      </w:r>
      <w:r>
        <w:fldChar w:fldCharType="separate"/>
      </w:r>
      <w:r>
        <w:rPr>
          <w:rStyle w:val="18"/>
          <w:rFonts w:hint="eastAsia" w:ascii="宋体" w:hAnsi="宋体"/>
          <w:sz w:val="24"/>
        </w:rPr>
        <w:t>二十五、备查文件</w:t>
      </w:r>
      <w:r>
        <w:rPr>
          <w:rFonts w:ascii="宋体" w:hAnsi="宋体"/>
          <w:sz w:val="24"/>
        </w:rPr>
        <w:tab/>
      </w:r>
      <w:r>
        <w:rPr>
          <w:rFonts w:ascii="宋体" w:hAnsi="宋体"/>
          <w:sz w:val="24"/>
        </w:rPr>
        <w:fldChar w:fldCharType="begin"/>
      </w:r>
      <w:r>
        <w:rPr>
          <w:rFonts w:ascii="宋体" w:hAnsi="宋体"/>
          <w:sz w:val="24"/>
        </w:rPr>
        <w:instrText xml:space="preserve"> PAGEREF _Toc233879618 \h </w:instrText>
      </w:r>
      <w:r>
        <w:rPr>
          <w:rFonts w:ascii="宋体" w:hAnsi="宋体"/>
          <w:sz w:val="24"/>
        </w:rPr>
        <w:fldChar w:fldCharType="separate"/>
      </w:r>
      <w:r>
        <w:rPr>
          <w:rFonts w:ascii="宋体" w:hAnsi="宋体"/>
          <w:sz w:val="24"/>
        </w:rPr>
        <w:t>152</w:t>
      </w:r>
      <w:r>
        <w:rPr>
          <w:rFonts w:ascii="宋体" w:hAnsi="宋体"/>
          <w:sz w:val="24"/>
        </w:rPr>
        <w:fldChar w:fldCharType="end"/>
      </w:r>
      <w:r>
        <w:rPr>
          <w:rFonts w:ascii="宋体" w:hAnsi="宋体"/>
          <w:sz w:val="24"/>
        </w:rPr>
        <w:fldChar w:fldCharType="end"/>
      </w:r>
    </w:p>
    <w:p>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pPr>
        <w:pStyle w:val="2"/>
        <w:snapToGrid w:val="0"/>
        <w:spacing w:before="240" w:beforeLines="0" w:after="240"/>
        <w:rPr>
          <w:rFonts w:ascii="宋体" w:hAnsi="宋体"/>
          <w:szCs w:val="30"/>
        </w:rPr>
      </w:pPr>
      <w:bookmarkStart w:id="3" w:name="_Toc233879594"/>
      <w:r>
        <w:rPr>
          <w:rFonts w:ascii="Times New Roman" w:hAnsi="Times New Roman"/>
          <w:sz w:val="30"/>
        </w:rPr>
        <w:t>一、绪言</w:t>
      </w:r>
      <w:bookmarkEnd w:id="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创新领航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创新领航混合型证券投资基金基金合同》（以下简称“基金合同”）编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4" w:name="_Toc233879595"/>
      <w:r>
        <w:rPr>
          <w:rFonts w:ascii="Times New Roman" w:hAnsi="Times New Roman"/>
          <w:sz w:val="30"/>
        </w:rPr>
        <w:t>二、释义</w:t>
      </w:r>
      <w:bookmarkEnd w:id="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1、基金或本基金：指交银施罗德创新领航混合型证券投资基金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2、基金管理人：指交银施罗德基金管理有限公司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3、基金托管人：指招商银行股份有限公司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4、基金合同：指《交银施罗德创新领航混合型证券投资基金基金合同》及对基金合同的任何有效修订和补充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5、托管协议：指基金管理人与基金托管人就本基金签订之《交银施罗德创新领航混合型证券投资基金托管协议》及对该托管协议的任何有效修订和补充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6、招募说明书或本招募说明书：指《交银施罗德创新领航混合型证券投资基金招募说明书》及其更新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7、基金产品资料概要：指《交银施罗德创新领航混合型证券投资基金基金产品资料概要》及其更新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8、基金份额发售公告：指《交银施罗德创新领航混合型证券投资基金基金份额发售公告》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10、《基金法》：指《中华人民共和国证券投资基金法》及颁布机关对其不时做出的修订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11、《销售办法》：指《证券投资基金销售管理办法》及颁布机关对其不时做出的修订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12、《信息披露办法》：指《公开募集证券投资基金信息披露管理办法》及颁布机关对其不时做出的修订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13、《运作办法》：指《公开募集证券投资基金运作管理办法》及颁布机关对其不时做出的修订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15、中国证监会：指中国证券监督管理委员会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16、银行业监督管理机构：指中国人民银行和/或中国银行保险监督管理委员会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18、个人投资者：指依据有关法律法规规定可投资于证券投资基金的自然人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21、人民币合格境外机构投资者：指按照《人民币合格境外机构投资者境内证券投资试点办法》及相关法律法规规定，运用来自境外的人民币资金进行境内证券投资的境外法人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22、投资人、投资者：指个人投资者、机构投资者、合格境外机构投资者和人民币合格境外机构投资者以及法律法规或中国证监会允许购买证券投资基金的其他投资人的合称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23、基金份额持有人：指依基金合同和招募说明书合法取得基金份额的投资人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27、登记机构：指办理登记业务的机构。基金的登记机构为交银施罗德基金管理有限公司或接受交银施罗德基金管理有限公司委托代为办理登记业务的机构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29、基金交易账户：指销售机构为投资人开立的、记录投资人通过该销售机构办理认购、申购、赎回、转换及转托管等业务而引起的基金份额变动及结余情况的账户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32、基金募集期：指自基金份额发售之日起至发售结束之日止的期间，最长不得超过3个月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33、存续期：指基金合同生效至终止之间的不定期期限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34、工作日：指上海证券交易所、深圳证券交易所的正常交易日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35、T日：指销售机构在规定时间受理投资人申购、赎回或其他业务申请的开放日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36、T+n日：指自T日起第n个工作日（不包含T日）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37、开放日：指为投资人办理基金份额申购、赎回或其他业务的工作日（若该工作日为非港股通交易日，则本基金可不开放）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38、开放时间：指开放日基金接受申购、赎回或其他交易的时间段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39、《业务规则》：指中国证券登记结算有限责任公司相关业务规则及其不时做出的修订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40、认购：指在基金募集期内，投资人根据基金合同和招募说明书的规定申请购买基金份额的行为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41、申购：指基金合同生效后，投资人根据基金合同和招募说明书的规定申请购买基金份额的行为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44、转托管：指基金份额持有人在本基金的不同销售机构之间实施的变更所持基金份额销售机构的操作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47、元：指人民币元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49、基金资产总值：指基金拥有的各类有价证券、股指期货合约、银行存款本息、基金应收申购款及其他资产的价值总和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50、基金资产净值：指基金资产总值减去基金负债后的价值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51、基金份额净值：指计算日基金资产净值除以计算日基金份额总数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52、基金资产估值：指计算评估基金资产和负债的价值，以确定基金资产净值和基金份额净值的过程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53、港股通：指内地投资者委托内地证券公司，经由内地证券交易所设立的证券交易服务公司，向香港联合交易所进行申报，买卖规定范围内的香港联合交易所上市的股票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54、指定媒介：指中国证监会指定的用以进行信息披露的全国性报刊及指定互联网网站（包括基金管理人网站、基金托管人网站、中国证监会基金电子披露网站）等媒介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57、不可抗力：指基金合同当事人不能预见、不能避免且不能克服的客观事件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5" w:name="_Toc233879596"/>
      <w:r>
        <w:rPr>
          <w:rFonts w:ascii="Times New Roman" w:hAnsi="Times New Roman"/>
          <w:sz w:val="30"/>
        </w:rPr>
        <w:t>三、基金管理人</w:t>
      </w:r>
      <w:bookmarkEnd w:id="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单锋先生，独立董事，博士。现任南京大学法学教授职务。历任南京大学法学院助教、讲师、副教授。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郭斐先生:基金经理。复旦大学经济学学士，17年证券投资行业从业经验。2009年至2014年于高盛（亚洲）有限责任公司/高华证券公司任职。2014年加入交银施罗德基金管理有限公司，曾任研究部行业分析师，现任权益部基金经理。现任交银施罗德成长30混合型证券投资基金(2017年09月26日至今)、交银施罗德经济新动力混合型证券投资基金(2018年06月02日至今)、交银施罗德创新领航混合型证券投资基金(2020年02月27日至今)、交银施罗德瑞卓三年持有期混合型证券投资基金(2021年09月24日至今)的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委员：马俊（副总经理）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迟鑫（权益部总经理兼任跨境投资部总经理）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黄莹洁（固定收益（公募）投资助理总监、基金经理）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樊继拓（多资产研究部副总经理）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上述人员之间无近亲属关系。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（5）侵占、挪用基金财产；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（6）法律、行政法规和中国证监会禁止的其他行为。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6" w:name="_Toc233879597"/>
      <w:r>
        <w:rPr>
          <w:rFonts w:ascii="Times New Roman" w:hAnsi="Times New Roman"/>
          <w:sz w:val="30"/>
        </w:rPr>
        <w:t>四、基金托管人</w:t>
      </w:r>
      <w:bookmarkEnd w:id="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名称：招商银行股份有限公司（以下简称“招商银行”）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设立日期：1987年3月31日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注册地址：深圳市深南大道7088号招商银行大厦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办公地址：深圳市深南大道7088号招商银行大厦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注册资本：252.20亿元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行长：王小青（拟任）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资产托管业务批准文号：证监基金字[2002]83号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电话：4006195555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资产托管部信息披露负责人：张姗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2、发展概况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于1987年在深圳创建，是中国境内第一家完全由企业法人持股的股份制商业银行，成立38年来逐步发展成为沪港两地上市，拥有商业银行、金融租赁、基金管理、人寿保险、境外投行、消费金融、理财子公司等金融牌照的银行集团。成立以来，招商银行始终坚持服务立行、创新驱动、科技兴行、人才强行，以自身转型发展助力社会经济高质量发展，全力服务居民和企业客户财富增长、资产安全、资金融通。截至2026年3月31日，本集团总资产134,848.82亿元人民币，高级法下资本充足率17.76%，权重法下资本充足率14.60%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261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资产托管结合自身在托管行业深耕24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2025年8月，在《21世纪经济报道》主办的2025资产管理年会暨十八届21世纪【金贝】资产管理竞争力案例发布盛典上，“招商银行托管+”荣获“2025卓越影响力品牌”奖项。2025年12月，荣获《2025东方财富风云际会》“年度托管银行风云奖”。2026年1月，荣获中央国债登记结算有限责任公司“2025年度优秀资产托管机构”奖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（二）主要人员情况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缪建民先生，招商银行董事长、非执行董事，2020年9月起担任招商银行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小青先生，招商银行党委书记，复旦大学政治经济学博士。曾任中国人保资产管理有限公司总裁助理、副总裁兼财务负责人，招商基金管理有限公司总经理、董事长，招商银行行长助理兼深圳分行行长、招商银行副行长，招商局金融控股有限公司总经理。曾兼任招商信诺人寿保险有限公司董事长、招商信诺资产管理有限公司董事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颖女士，招商银行副行长，南京大学政治经济学专业硕士，经济师。王颖女士1997年1月加入招商银行，历任招商银行北京分行行长助理、副行长，天津分行行长，深圳分行行长，招商银行行长助理。2023年11月起任招商银行副行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孙乐女士，招商银行资产托管部总经理，硕士研究生毕业，2001年8月加入招商银行至今，历任招商银行合肥分行风险控制部副经理、经理、信贷管理部总经理助理、副总经理、总经理、公司银行部总经理、中小企业金融部总经理、投行与金融市场部总经理；无锡分行行长助理、副行长；南京分行副行长；2021年10月起先后任招商银行资产托管部负责人、资产托管部总经理，具有20余年银行从业经验，在风险管理、信贷管理、公司金融、资产托管等领域有深入的研究和丰富的实务经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（三）基金托管业务经营情况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截至2026年3月31日，招商银行股份有限公司累计托管1813只证券投资基金。</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（四）托管人的内部控制制度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 内部控制目标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 内部控制组织结构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招商银行资产托管业务建立三级内部控制及风险防范体系：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 内部控制原则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（1）全面性原则。内部控制覆盖各项业务过程和操作环节、覆盖所有团队和岗位，并由全部人员参与。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（2）审慎性原则。托管组织体系的构成、内部管理制度的建立均以防范风险、审慎经营为出发点，体现“内控优先”的要求。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（3）独立性原则。招商银行资产托管部各团队、各岗位职责保持相对独立，不同托管资产之间、托管资产和自有资产之间相互分离。内部控制的检查、评价部门独立于内部控制的建立和执行部门。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（7）重要性原则。内部控制在实现全面控制的基础上，关注重要托管业务重要事项和高风险环节。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 内部控制措施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信息技术系统风险控制。招商银行对信息技术系统机房、权限管理实行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（五）基金托管人对基金管理人运作基金进行监督的方法和程序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7" w:name="_Toc233879598"/>
      <w:r>
        <w:rPr>
          <w:rFonts w:ascii="Times New Roman" w:hAnsi="Times New Roman"/>
          <w:sz w:val="30"/>
        </w:rPr>
        <w:t>五、相关服务机构</w:t>
      </w:r>
      <w:bookmarkEnd w:id="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本基金直销机构为基金管理人直销柜台以及基金管理人的网上直销交易平台（网站及手机APP，下同）。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法定代表人：袁庆伟（代任）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 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2、代销机构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（1）名称：中国建设银行股份有限公司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传真：（010）66275654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（2）名称：上海浦东发展银行股份有限公司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办公地址：上海市中山东一路12 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法定代表人：郑杨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传真：（021）61618888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网址：www.spdb.com.cn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（3）名称：交通银行股份有限公司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（4）名称：招商银行股份有限公司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（5）名称：中信银行股份有限公司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（6）名称：中国农业银行股份有限公司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法定代表人：周慕冰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联系人：贺倩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网址：www.abchina.com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（7）名称：中国光大银行股份有限公司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办公地址：北京市西城区太平桥大街25号、甲25号中国光大中心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电话：（010）63639681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传真：（010）63639709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联系人：刘昭宇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网址：www.cebbank.com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（8）名称：平安银行股份有限公司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（9）名称：宁波银行股份有限公司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（10）名称：中国邮政储蓄银行股份有限公司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法定代表人：李国华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传真：（010）68858117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联系人：陈春林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网址：www.psbc.com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（11）名称：申万宏源证券有限公司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（12）名称：中国中金财富证券有限公司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（13）名称：国投证券股份有限公司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（14）名称：东莞证券股份有限公司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办公地址：广东省东莞市莞城区可园南路一号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传真：（0769）22115712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网址：www.dgzq.com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（15）名称：财通证券股份有限公司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注册地址：杭州市杭大路15号嘉华国际商务中心201、501、502、1103、1601-1615、1701-1716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办公地址：杭州市杭大路15号嘉华国际商务中心201、501、502、1103、1601-1615、1701-1716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沈继宁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电话：0571-87789160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陶志华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客户服务电话：95336,40086-96336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网址：www.ctsec.com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（16）名称：中信建投证券股份有限公司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（17）名称：中原证券股份有限公司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办公地址：郑州市郑东新区商务外环路10号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法定代表人：菅明军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联系人：程月艳 李盼盼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电话：0371-69099881/2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网址：https://www.ccnew.com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（18）名称：东方财富证券股份有限公司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住所：西藏自治区拉萨市柳梧新区国际总部城10栋楼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法定代表人：戴彦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电话：（021）021-23586603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传真：（021）021-23586860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联系人：付佳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网址：http://www.18.cn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（19）名称：国信证券股份有限公司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（20）名称：华泰证券股份有限公司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（21）名称：兴业证券股份有限公司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（22）名称：广发证券股份有限公司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法定代表人：林传辉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联系人：任嘉鹏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（23）名称：招商证券股份有限公司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（24）名称：国金证券股份有限公司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（25）名称：中国国际金融股份有限公司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办公地址：北京建国门外大街1号国贸大厦2座27层及28层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法定代表人：毕明建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电话：（010）65051166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传真：（010）85679203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联系人：杨涵宇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（26）名称：申万宏源西部证券有限公司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（27）名称：华龙证券股份有限公司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办公地址：兰州市城关区东岗西路638号财富中心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传真：（0931）4890628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联系人：李昕田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客户服务电话：4006898888、（0931）4890208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网址：www.hlzqgs.com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（28）名称：西部证券股份有限公司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办公地址：陕西省西安市新城区东新街 319 号 8 幢 10000 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法定代表人：徐朝晖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电话：029-87211668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联系人：张吉安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网址：www.west95582.com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（29）名称：国联民生证券股份有限公司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住所：江苏省无锡市金融一街8号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办公地址：江苏省无锡市金融一街8号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联系电话：0510-82832051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传真：0510-82830162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网址：www.glsc.com.cn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（30）名称：山西证券股份有限公司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住所：山西省太原市府西街69号山西国际贸易中心东塔楼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办公地址：山西省太原市府西街69号山西国际贸易中心东塔楼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法定代表人：侯巍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电话：0351—8686815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联系人：谢武兵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客户服务电话：400-666-1618、95573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网址：www.i618.com.cn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（31）名称：中邮证券有限责任公司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注册地址：陕西省西安市唐延路5号（陕西邮政信息大厦9-11层）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办公地址：北京市东城区珠市口东大街17号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法定代表人：郭成林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电话：010-67017788-8914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传真：010-67017788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联系人：史蕾</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网址：www.cnpsec.com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（32）名称：华宝证券股份有限公司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住所：中国上海市陆家嘴环路166号未来资产大厦27楼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办公地址：中国上海市浦东新区世纪大道100号上海环球金融中心57楼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陈林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电话：（021）68777222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传真：（021）68777822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客户服务电话：400-820-9898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网址：www.cnhbstock.com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（33）名称：开源证券股份有限公司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注册地址：陕西省西安市高新区锦业路一号都市之门B座5层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办公地址：陕西省西安市高新区锦业路一号都市之门B座5层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电话：13709210036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联系人：赵东会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网址：www.kysec.cn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（34）名称：华西证券股份有限公司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（35）名称：中信证券（山东）有限责任公司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（36）名称：中信证券股份有限公司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（37）名称：中信证券华南股份有限公司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（38）名称：国泰海通证券股份有限公司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（39）名称：民生证券股份有限公司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住所：北京市东城区建国门内大街28号民生金融中心A座16层--18层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办公地址：北京市东城区建国门内大街28号民生金融中心A座16层--18层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法定代表人：冯鹤年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电话：（010）85127561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传真：（010）85127641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联系人：周照清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客户服务电话：400-619-8888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网址：www.mszq.com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（40）名称：泛华普益基金销售有限公司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（41）名称：京东肯特瑞基金销售有限公司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（42）名称：上海陆金所基金销售有限公司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（43）名称：北京雪球基金销售有限公司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（44）名称：奕丰基金销售有限公司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（45）名称：上海天天基金销售有限公司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（46）名称：蚂蚁（杭州）基金销售有限公司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（47）名称：上海基煜基金销售有限公司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（48）名称：浙江同花顺基金销售有限公司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（49）名称：中国人寿保险股份有限公司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（50）名称：珠海盈米基金销售有限公司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（51）名称：北京汇成基金销售有限公司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（52）名称：北京度小满基金销售有限公司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（53）名称：和耕传承基金销售有限公司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（54）名称：诺亚正行基金销售有限公司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（55）名称：腾安基金销售（深圳）有限公司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（56）名称：上海挖财基金销售有限公司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（57）名称：南京苏宁基金销售有限公司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（58）名称：上海联泰基金销售有限公司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（59）名称：上海万得基金销售有限公司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（60）名称：上海好买基金销售有限公司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（61）名称：北京创金启富基金销售有限公司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（62）名称：上海利得基金销售有限公司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（63）名称：上海长量基金销售有限公司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（64）名称：济安财富（北京）基金销售有限公司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（65）名称：大连网金基金销售有限公司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（66）名称：博时财富基金销售有限公司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（67）名称：嘉实财富管理有限公司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（68）名称：深圳前海微众银行股份有限公司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住所：深圳前海深港合作区前湾一路1号A栋201室（入驻深圳市前海商务秘书有限公司）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办公地址：广东省深圳市南山区沙河西路1819号深圳湾科技生态园7栋A座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电话：15112686889</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联系人：白冰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网址：www.webank.com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（69）名称：上海中欧财富基金销售有限公司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（70）名称：深圳众禄基金销售股份有限公司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（71）名称：中信期货有限公司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基金管理人可根据有关法律法规的要求，选择其它符合要求的机构销售本基金，并在管理人网站公示。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名称：上海市通力律师事务所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办公地址：上海市银城中路68号时代金融中心19楼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负责人：陈臻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电话：（021）31358666</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传真：（021）31358600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经办律师：黎明、丁媛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名称：安永华明会计师事务所（特殊普通合伙）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住所：北京市东城区东长安街1号东方广场安永大楼17层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办公地址：北京市东城区东长安街1号东方广场安永大楼17层</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执行事务合伙人：毛鞍宁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电话：（010）58153000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传真：（010）85188298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联系人：蒋燕华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经办注册会计师：蒋燕华、费泽旭</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8" w:name="_Toc233879599"/>
      <w:r>
        <w:rPr>
          <w:rFonts w:ascii="Times New Roman" w:hAnsi="Times New Roman"/>
          <w:sz w:val="30"/>
        </w:rPr>
        <w:t>六、基金的募集</w:t>
      </w:r>
      <w:bookmarkEnd w:id="8"/>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本基金由基金管理人依照《基金法》、《运作办法》、《销售办法》、基金合同及其他有关规定，并经中国证监会2019年12月18日证监许可【2019】2880号文准予募集注册。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本基金为契约型开放式混合型基金。基金存续期间为不定期。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本基金于2020年2月24日进行发售，本基金设立募集期共募集4,943,203,036.38份基金份额，有效认购户数为225,320户。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9" w:name="_Toc233879600"/>
      <w:r>
        <w:rPr>
          <w:rFonts w:ascii="Times New Roman" w:hAnsi="Times New Roman"/>
          <w:sz w:val="30"/>
        </w:rPr>
        <w:t>七、基金合同的生效</w:t>
      </w:r>
      <w:bookmarkEnd w:id="9"/>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根据有关规定，本基金满足基金合同生效条件，基金合同已于2020年2月27日正式生效。自基金合同生效之日起，本基金管理人正式开始管理本基金。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法律法规或中国证监会另有规定时，从其规定。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0" w:name="_Toc233879601"/>
      <w:r>
        <w:rPr>
          <w:rFonts w:ascii="Times New Roman" w:hAnsi="Times New Roman"/>
          <w:sz w:val="30"/>
        </w:rPr>
        <w:t>八、基金份额的申购与赎回</w:t>
      </w:r>
      <w:bookmarkEnd w:id="10"/>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（一）申购和赎回的场所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1、本基金管理人的直销机构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本基金直销机构为基金管理人直销柜台以及基金管理人的网上直销交易平台。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个人投资者可以通过基金管理人网上直销交易平台办理开户、本基金的申购、赎回、定期定额投资及转换等业务，具体交易细则请参阅基金管理人网站。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2、除基金管理人之外的其他销售机构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（二）申购和赎回的开放日及时间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2、申购、赎回开始日及业务办理时间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本基金已于2020年3月30日起开放申购、赎回业务。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在确定申购开始与赎回开始时间后，基金管理人应在申购、赎回开放日前依照《信息披露办法》的有关规定在指定媒介上公告申购与赎回的开始时间。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（三）申购与赎回的原则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1、“未知价”原则，即申购、赎回价格以申请当日收市后计算的基金份额净值为基准进行计算；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3、当日的申购与赎回申请可以在基金管理人规定的时间以内撤销，但申请经登记机构受理的不得撤销；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（四）申购和赎回的数额限定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3、最低基金份额余额的限制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（五）申购和赎回的程序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2、申购和赎回的款项支付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4、申购和赎回的登记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（2）投资人T日赎回基金成功后，正常情况下，登记机构在T＋1日为投资人扣除权益并办理相应的登记手续。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（六）基金的申购费和赎回费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本基金的申购费用由基金申购人承担，不列入基金财产，主要用于本基金的市场推广、销售、登记等各项费用。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投资人可以多次申购本基金，申购费用按每笔申购申请单独计算。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本基金的申购费率如下：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因红利自动再投资而产生的基金份额，不收取相应的申购费用。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本基金对通过基金管理人直销柜台申购本基金基金份额的养老金客户实施特定申购费率。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1）全国社会保障基金；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2）可以投资基金的地方社会保障基金；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3）企业年金单一计划以及集合计划；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4）企业年金理事会委托的特定客户资产管理计划；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5）企业年金养老金产品。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100万元以下</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赎回费用由赎回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将赎回费总额的25%计入基金财产。上述“月”指的是30个自然日。未归入基金财产的部分用于支付登记费和其他必要的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本基金的赎回费率如下：</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7日（含）—30日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30日（含）—1年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1年（含）—2年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2年以上（含）</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上表中的“年”指的是365个自然日。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（七）申购和赎回的数额和价格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（1）申购的有效份额为净申购金额除以当日的基金份额净值，有效份额单位为份，申购份额计算结果按四舍五入方法，保留到小数点后2位，由此产生的收益或损失由基金财产承担。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（注：对于适用固定金额申购费用的申购，净申购金额＝申购总金额－固定申购费用金额）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（注：对于适用固定金额申购费用的申购，申购费用＝固定申购费用金额）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申购份额=（申购总金额-申购费用）/T日基金份额净值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例三：某投资者（非养老金客户）投资40,000元申购本基金，假设申购当日基金份额净值为1.0400元，申购费率为1.5%，则其可得到的申购份额为：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申购总金额＝40,000元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净申购金额=40,000/（1+1.5%）=39,408.87元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申购费用=40,000-39,408.87=591.13元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申购份额=（40,000-591.13）/1.0400=37,893.14份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即：该投资者（非养老金客户）投资40,000元申购本基金，假设申购当日基金份额净值为1.0400元，则其可得到37,893.14份基金份额。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例四：某养老金客户投资100,000元通过基金管理人的直销柜台申购本基金，假设申购当日基金份额净值为1.0400元，申购费率为0.6%，则其可得到的申购份额为：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净申购金额=100,000/（1+0.6%）=99,403.58元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申购费用=100,000-99,403.58=596.42元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申购份额=（100,000-596.42）/1.0400=95,580.37份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即：该养老金客户投资100,000元通过基金管理人的直销柜台申购本基金，假设申购当日基金份额净值为1.0400元，则其可得到95,580.37份基金份额。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赎回费用=赎回份额×T日基金份额净值×赎回费率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赎回金额=赎回份额×T日基金份额净值-赎回费用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例五：某投资者赎回持有的10,000份基金份额，持有期限为30日，对应的赎回费率为0.5%，假设赎回当日基金份额净值是1.0160元，则其可得到的赎回金额为：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赎回费用=10,000×1.0160×0.5%＝50.80元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赎回金额=10,000×1.0160-50.80＝10,109.20元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即：该投资者赎回本基金10,000份基金份额，持有期限为30日，对应的赎回费率为0.5%，假设赎回当日基金份额净值是1.0160元，则其可得到的赎回金额为10,109.20元。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基金份额净值＝基金资产净值总额/发行在外的基金份额总数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基金份额净值的计算，保留到小数点后4位，小数点后第5位四舍五入，由此产生的收益或损失由基金财产承担。</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（八）拒绝或暂停申购的情形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4、接受某笔或某些申购申请可能会影响或损害现有基金份额持有人利益时。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7、港股通交易每日额度不足。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指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（九）暂停赎回或延缓支付赎回款项的情形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1、因不可抗力导致基金管理人不能支付赎回款项。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4、连续两个或两个以上开放日发生巨额赎回。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7、法律法规规定、中国证监会认定或基金合同约定的其他情形。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（十）巨额赎回的情形及处理方式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当发生上述巨额赎回并延期办理时，基金管理人应当通过邮寄、传真、刊登公告或者通知销售机构代为告知等方式在3个交易日内通知基金份额持有人，说明有关处理方法，并在两日内在指定媒介上刊登公告。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（十一）暂停申购或赎回的公告和重新开放申购或赎回的公告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1、发生上述暂停申购或赎回情况的，基金管理人应在规定期限内在指定媒介上刊登暂停公告。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（十二）基金的非交易过户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（十三）基金的转托管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（十四）定期定额投资计划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本基金2020年3月27日刊登公告自2020年3月30日起开通定期定额投资计划业务，具体开通销售机构名单和业务规则参见相关公告。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（十五）基金份额的冻结和解冻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（十六）基金份额的转让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（十七）其他业务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1" w:name="_Toc233879602"/>
      <w:r>
        <w:rPr>
          <w:rFonts w:ascii="Times New Roman" w:hAnsi="Times New Roman"/>
          <w:sz w:val="30"/>
        </w:rPr>
        <w:t>九、 基金的转换</w:t>
      </w:r>
      <w:bookmarkEnd w:id="11"/>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（二）转换业务办理时间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2020年4月7日刊登公告自2020年4月9日起开放日常转换业务。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（三）基金转换的程序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（四）基金转换的数额限制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6、本基金管理人可以根据法律法规及基金合同的规定对上述转换费用收费方式和费率进行调整，并应于调整后的收费方式和费率实施前依照《信息披露办法》的有关规定在中国证监会指定媒介上公告。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（六）基金转换份额的计算公式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（八）暂停基金转换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2" w:name="_Toc233879603"/>
      <w:r>
        <w:rPr>
          <w:rFonts w:ascii="Times New Roman" w:hAnsi="Times New Roman"/>
          <w:sz w:val="30"/>
        </w:rPr>
        <w:t>十、基金的投资</w:t>
      </w:r>
      <w:bookmarkEnd w:id="12"/>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在合理控制风险并保持基金资产良好流动性的前提下，追求超越业绩比较基准的投资回报，力争实现基金资产的长期稳健增值。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投资于创新领航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1、大类资产配置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（1）“创新领航”主题的界定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面对日益激烈的市场竞争和复杂多变的外部环境，企业只有坚持创新，才能不断提高核心竞争力，保持竞争优势，从而实现可持续地发展。本基金所指的“创新领航”主题涵盖了把创新发展作为应对环境变化、增强发展动力、把握主动权的发展之策，实现关键核心技术自主可控、推动产品和产业向价值链中高端跃升、甚至引领行业发展新方向的优质上市企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创新领航”主题覆盖的上市公司主要从两个方面进行考量：一方面，本基金重点考虑上市公司能够通过技术创新、产品创新、服务创新、营销创新、流程创新、管理模式创新、商业模式创新等一种或多种创新形式，为公司带来先发优势、提高产品质量或提升服务水平、降低成本，从而提升长期竞争优势或盈利能力，在市场竞争中掌握主动权；另一方面，本基金考虑上市公司在所属行业内所发挥的引领带头作用，以标杆形象积极推动产业结构升级，引领行业发展新方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时，本基金将对有关公司的发展进行密切跟踪，随着公司的不断发展，相关上市公司的范围也会相应改变，本基金在履行适当程序后可调整上述界定标准。本基金由于上述原因调整界定范围应及时告知基金托管人，并在更新的招募说明书中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（2）个股投资策略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1）品质筛选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筛选出在公司治理、财务及管理品质上符合基本品质要求的公司，构建备选股票池。主要筛选指标包括：</w:t>
      </w:r>
    </w:p>
    <w:p>
      <w:pPr>
        <w:autoSpaceDE w:val="0"/>
        <w:autoSpaceDN w:val="0"/>
        <w:adjustRightInd w:val="0"/>
        <w:snapToGrid w:val="0"/>
        <w:spacing w:line="360" w:lineRule="auto"/>
        <w:ind w:firstLine="420" w:firstLineChars="200"/>
        <w:jc w:val="left"/>
        <w:rPr>
          <w:rFonts w:ascii="宋体" w:hAnsi="宋体"/>
          <w:szCs w:val="24"/>
        </w:rPr>
      </w:pPr>
      <w:r>
        <w:rPr/>
        <w:sym w:font="Wingdings" w:char="2585"/>
      </w:r>
      <w:r>
        <w:rPr>
          <w:rFonts w:ascii="宋体" w:hAnsi="宋体"/>
          <w:sz w:val="24"/>
        </w:rPr>
        <w:t>盈利能力指标：如市盈率（P/E）、市现率（P/Cash Flow）、股价与每股自由现金流比率（P/FCF）、市销率（P/S）、股价与每股息税前利润比率（P/EBIT）等；</w:t>
      </w:r>
    </w:p>
    <w:p>
      <w:pPr>
        <w:autoSpaceDE w:val="0"/>
        <w:autoSpaceDN w:val="0"/>
        <w:adjustRightInd w:val="0"/>
        <w:snapToGrid w:val="0"/>
        <w:spacing w:line="360" w:lineRule="auto"/>
        <w:ind w:firstLine="420" w:firstLineChars="200"/>
        <w:jc w:val="left"/>
        <w:rPr>
          <w:rFonts w:ascii="宋体" w:hAnsi="宋体"/>
          <w:szCs w:val="24"/>
        </w:rPr>
      </w:pPr>
      <w:r>
        <w:rPr/>
        <w:sym w:font="Wingdings" w:char="2585"/>
      </w:r>
      <w:r>
        <w:rPr>
          <w:rFonts w:ascii="宋体" w:hAnsi="宋体"/>
          <w:sz w:val="24"/>
        </w:rPr>
        <w:t>经营效率指标：如净资产收益率（ROE）、资产收益率（ROA）、经营资产回报率（Return on operating assets）等；</w:t>
      </w:r>
    </w:p>
    <w:p>
      <w:pPr>
        <w:autoSpaceDE w:val="0"/>
        <w:autoSpaceDN w:val="0"/>
        <w:adjustRightInd w:val="0"/>
        <w:snapToGrid w:val="0"/>
        <w:spacing w:line="360" w:lineRule="auto"/>
        <w:ind w:firstLine="420" w:firstLineChars="200"/>
        <w:jc w:val="left"/>
        <w:rPr>
          <w:rFonts w:ascii="宋体" w:hAnsi="宋体"/>
          <w:szCs w:val="24"/>
        </w:rPr>
      </w:pPr>
      <w:r>
        <w:rPr/>
        <w:sym w:font="Wingdings" w:char="2585"/>
      </w:r>
      <w:r>
        <w:rPr>
          <w:rFonts w:ascii="宋体" w:hAnsi="宋体"/>
          <w:sz w:val="24"/>
        </w:rPr>
        <w:t>财务状况指标：如资产负债率（D/A）、流动比率等；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▅研发投入指标：如研发投入与营业收入比率、科研人员数量及占比、专利数量及在同行业的占比等。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2）价值评估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（3）港股通标的股票投资策略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通过内地与香港股票市场交易互联互通机制投资于香港股票市场。本基金将遵循创新领航主题相关股票的投资策略，优先将基本面健康、业绩向上弹性较大、具有估值优势的港股纳入本基金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（4）存托凭证的投资策略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本基金投资存托凭证的策略依照境内上市交易的股票投资策略执行。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3、债券投资策略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以期获取债券市场的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4、资产支持证券投资策略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5、股指期货投资策略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1、组合限制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（1）股票投资（含存托凭证）占基金资产的比例为60%-95%（其中投资于港股通标的股票的比例占股票资产的0%-50%），投资于创新领航主题相关证券的比例不低于非现金基金资产的80%；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（15）本基金参与股指期货交易，则：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1）本基金在任何交易日日终，持有的买入股指期货合约价值，不得超过基金资产净值的10%；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3）本基金在任何交易日日终，持有的卖出股指期货合约价值不得超过基金持有的股票总市值的20%；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2、禁止行为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沪深300指数收益率×65%+恒生指数收益率×5%+中证综合债券指数收益率×30%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恒生指数是由恒生指数服务有限公司编制，以香港股票市场中的50 家上市股票为成份股样本，以其发行量为权数的加权平均股价指数，是反映香港股市价幅趋势最有影响的一种股价指数。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（六）风险收益特征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本基金是一只混合型基金，其预期风险和预期收益高于债券型基金和货币市场基金，低于股票型基金。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（七）基金管理人代表基金行使股东或债权人权利的处理原则及方法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1、基金管理人按照国家有关规定代表基金独立行使股东或债权人权利，保护基金份额持有人的利益；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（八）基金投资组合报告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本基金托管人招商银行股份有限公司根据本基金合同规定，于2026年04月20日复核了本报告中的财务指标、净值表现和投资组合报告等内容，保证复核内容不存在虚假记载、误导性陈述或者重大遗漏。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本投资组合报告期为2026年01月01日起至03月31日，所载财务数据未经审计师审计。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1,174,536,722.79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87.24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1,174,536,722.79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87.24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165,915,502.46</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12.32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5,932,164.24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1,346,384,389.49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注：本基金本报告期末通过港股通机制投资香港股票的公允价值为116,229,358.31元，占基金资产净值比例为8.68%。</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3,909,024.00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44,947,235.05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970,863,137.75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72.50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14,392,479.00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4,686,032.00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5,525,845.64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21,739.80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7,118,865.02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0.53</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4,256,098.50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52,714.72</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2,534,193.00</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0.19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1,058,307,364.48</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79.03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48,744,791.09</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3.64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34,557,868.35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2.58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32,684,866.51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2.44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信息技术</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237,460.57</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3,068.64</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公用事业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1,303.15</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116,229,358.31</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8.68</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注：本报告采用中证CICS一级分类标准编制。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605117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德业股份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1,005,164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132,138,859.44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9.87</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300763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锦浪科技</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516,100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51,558,390.00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3.85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601899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紫金矿业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1,367,300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44,738,056.00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3.34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688390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固德威</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462,138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43,695,147.90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3.26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87,000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38,527,080.00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2.88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北方华创</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85,782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38,344,554.00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2.86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迈为股份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160,700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36,752,090.00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603061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金海通</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134,600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36,386,418.00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03808 HK</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中国重汽</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1,058,000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36,226,767.46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2.71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002271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东方雨虹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2,321,500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35,542,165.00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2.65</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9、报告期末本基金投资的股指期货交易情况说明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报告期末本基金投资的股指期货持仓和损益明细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本基金投资股指期货的投资政策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10、报告期末本基金投资的国债期货交易情况说明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本期国债期货投资政策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报告期末本基金投资的国债期货持仓和损益明细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本期国债期货投资评价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11、投资组合报告附注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08月12日,北京证监局给予北京东方雨虹防水技术股份有限公司责令改正的行政监管措施。本基金管理人对证券投资决策程序的说明如下：本基金管理人对证券投资特别是重仓证券的投资有严格的投资决策流程控制，对上述主体发行证券的投资决策程序符合公司投资制度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11.2 基金投资的前十名股票是否超出基金合同规定的备选股票库</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539,626.50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5,334,559.40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57,978.34</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right"/>
              <w:rPr>
                <w:rFonts w:ascii="宋体" w:hAnsi="宋体"/>
                <w:color w:val="000000"/>
                <w:kern w:val="0"/>
                <w:sz w:val="25"/>
                <w:szCs w:val="24"/>
              </w:rPr>
            </w:pPr>
            <w:r>
              <w:rPr>
                <w:rFonts w:ascii="Times New Roman" w:hAnsi="Times New Roman"/>
                <w:color w:val="000000"/>
                <w:kern w:val="0"/>
                <w:sz w:val="25"/>
                <w:szCs w:val="24"/>
              </w:rPr>
              <w:t>5,932,164.24</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11.4 报告期末持有的处于转股期的可转换债券明细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11.5 报告期末前十名股票中存在流通受限情况的说明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11.6 投资组合报告附注的其他文字描述部分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3" w:name="_Toc233879604"/>
      <w:r>
        <w:rPr>
          <w:rFonts w:ascii="Times New Roman" w:hAnsi="Times New Roman"/>
          <w:sz w:val="30"/>
        </w:rPr>
        <w:t>十一、基金的业绩</w:t>
      </w:r>
      <w:bookmarkEnd w:id="13"/>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基金业绩截止日为2026年03月31日，所载财务数据未经审计师审计。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1、基金份额净值增长率及其与同期业绩比较基准收益率的比较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交银施罗德创新领航混合型证券投资基金</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-2.40%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3.82%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16.24%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-11.34%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-6.70%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-4.64%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-14.07%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-6.05%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12.92%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1.60%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-2.28%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15.20%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r>
      <w:tr>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2020年度（自基金合同生效日起至2020年12月31日）</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49.99%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18.50%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31.49%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r>
    </w:tbl>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注：沪深300指数收益率×65%+恒生指数收益率×5%+中证综合债券指数收益率×30%，每日进行再平衡过程。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交银施罗德创新领航混合型证券投资基金</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份额累计净值增长率与业绩比较基准收益率历史走势对比图</w:t>
      </w:r>
    </w:p>
    <w:p>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（2020年2月27日至2026年03月31日）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5" o:spt="75" type="#_x0000_t75" style="height:268.5pt;width:439.5pt;" filled="f" o:preferrelative="t" stroked="f" coordsize="21600,21600">
            <v:path/>
            <v:fill on="f" focussize="0,0"/>
            <v:stroke on="f" joinstyle="miter"/>
            <v:imagedata r:id="rId12" o:title="1521256610242020828"/>
            <o:lock v:ext="edit" aspectratio="t"/>
            <w10:wrap type="none"/>
            <w10:anchorlock/>
          </v:shape>
        </w:pic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4" w:name="_Toc233879605"/>
      <w:r>
        <w:rPr>
          <w:rFonts w:ascii="Times New Roman" w:hAnsi="Times New Roman"/>
          <w:sz w:val="30"/>
        </w:rPr>
        <w:t>十二、基金的财产</w:t>
      </w:r>
      <w:bookmarkEnd w:id="14"/>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（一）基金资产总值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（四）基金财产的保管和处分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5" w:name="_Toc233879606"/>
      <w:r>
        <w:rPr>
          <w:rFonts w:ascii="Times New Roman" w:hAnsi="Times New Roman"/>
          <w:sz w:val="30"/>
        </w:rPr>
        <w:t>十三、基金资产的估值</w:t>
      </w:r>
      <w:bookmarkEnd w:id="15"/>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（一）估值日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（二）估值对象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基金所拥有的股票、债券、衍生工具和其他投资等持续以公允价值计量的金融资产及负债。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（三）估值原则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基金管理人在确定相关金融资产和金融负债的公允价值时，应符合《企业会计准则》、监管部门有关规定。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（四）估值方法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1、证券交易所上市的有价证券的估值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易所上市交易的可转换债券以每日收盘价作为估值全价；估值日没有交易的，且最近交易日后经济环境未发生重大变化，按最近交易日债券收盘价作为估值全价。如最近交易日后经济环境发生了重大变化的，可参考类似投资品种现行市价及重大变化因素，调整最近交易市价，确定公允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2、处于未上市期间的有价证券应区分如下情况处理：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5、估值计算中涉及港币对人民币汇率的，将依据下列信息提供机构所提供的汇率为基准：当日中国人民银行公布的人民币与港币的中间价。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7、当发生大额申购或赎回情形时，基金管理人可以采用摆动定价机制，以确保基金估值的公平性。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8、本基金投资存托凭证的估值核算依照境内上市交易的股票执行。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9、相关法律法规以及监管部门有强制规定的，从其规定。如有新增事项，按国家最新规定估值。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（五）估值程序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基金管理人于每个工作日计算基金资产净值及基金份额净值，并按规定公告。如遇特殊情况，经履行适当程序，可以适当延迟计算或公告。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（六）估值错误的处理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基金合同的当事人应按照以下约定处理：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1、估值错误类型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2、估值错误处理原则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（4）估值错误调整采用尽量恢复至假设未发生估值错误的正确情形的方式。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（5）按法律法规规定的其他原则处理估值错误。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3、估值错误处理程序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估值错误被发现后，有关的当事人应当及时进行处理，处理的程序如下：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（1）查明估值错误发生的原因，列明所有的当事人，并根据估值错误发生的原因确定估值错误的责任方；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（2）根据估值错误处理原则或当事人协商的方法对因估值错误造成的损失进行评估；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（3）根据估值错误处理原则或当事人协商的方法由估值错误的责任方进行更正和赔偿损失；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4、基金份额净值估值错误处理的方法如下：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（3）前述内容如法律法规或监管机关另有规定的，从其规定处理。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（七）暂停估值的情形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1、基金投资所涉及的证券、期货交易市场遇法定节假日或因其他原因暂停营业时；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2、因不可抗力致使基金管理人、基金托管人无法准确评估基金资产价值时；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3、当前一估值日基金资产净值50%以上的资产出现无可参考的活跃市场价格且采用估值技术仍导致公允价值存在重大不确定性时，经与基金托管人协商确认后，基金管理人应当暂停估值；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4、法律法规、中国证监会和基金合同认定的其它情形。</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（八）基金净值的确认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（九）特殊情形的处理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6" w:name="_Toc233879607"/>
      <w:r>
        <w:rPr>
          <w:rFonts w:ascii="Times New Roman" w:hAnsi="Times New Roman"/>
          <w:sz w:val="30"/>
        </w:rPr>
        <w:t>十四、基金的收益与分配</w:t>
      </w:r>
      <w:bookmarkEnd w:id="16"/>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（一）基金利润的构成</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（二）基金可供分配利润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基金可供分配利润指截至收益分配基准日基金未分配利润与未分配利润中已实现收益的孰低数。</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（三）基金收益分配原则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2、本基金收益分配方式分两种：现金分红与红利再投资，投资者可选择现金红利或将现金红利自动转为基金份额进行再投资；若投资者不选择，本基金默认的收益分配方式是现金分红；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4、每一基金份额享有同等分配权；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（四）收益分配方案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（五）收益分配方案的确定、公告与实施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本基金收益分配方案由基金管理人拟定，并由基金托管人复核，依照《信息披露办法》的规定在指定媒介公告。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法律法规或监管机关另有规定的，从其规定。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（六）基金收益分配中发生的费用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基金份额。红利再投资的计算方法，依照《业务规则》执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（七）收益分配方式的修改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7" w:name="_Toc233879608"/>
      <w:r>
        <w:rPr>
          <w:rFonts w:ascii="Times New Roman" w:hAnsi="Times New Roman"/>
          <w:sz w:val="30"/>
        </w:rPr>
        <w:t>十五、基金的费用与税收</w:t>
      </w:r>
      <w:bookmarkEnd w:id="17"/>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（一）基金费用的种类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3、《基金合同》生效后与基金相关的信息披露费用；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4、《基金合同》生效后与基金相关的会计师费、律师费、仲裁费和诉讼费；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6、基金的证券、期货交易费用；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7、基金的银行汇划费用；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8、基金的开户费用、账户维护费用；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9、因投资港股通标的股票而产生的各项合理费用；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10、按照国家有关规定和《基金合同》约定，可以在基金财产中列支的其他费用。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（二）基金费用计提方法、计提标准和支付方式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本基金的管理费按前一日基金资产净值的1.2%年费率计提。管理费的计算方法如下：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H＝E×年管理费率÷当年天数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逐日累计至每月月末，按月支付。由基金管理人与基金托管人核对一致后，由基金托管人按照与基金管理人协商一致的方式于次月首日起5个工作日内从基金财产中一次性支付给基金管理人，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本基金的托管费按前一日基金资产净值的0.2%年费率计提。托管费的计算方法如下：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H＝E×年托管费率÷当年天数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E为前一日的基金资产净值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于次月首日起5个工作日内从基金财产中一次性支付给基金托管人，若遇法定节假日、休息日或不可抗力致使无法按时支付的，支付日期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（3）上述“（一）基金费用的种类”中第3－10项费用，根据有关法规及相应协议规定，按费用实际支出金额列入当期费用，由基金托管人从基金财产中支付。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（三）不列入基金费用的项目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下列费用不列入基金费用：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1、基金管理人和基金托管人因未履行或未完全履行义务导致的费用支出或基金财产的损失；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2、基金管理人和基金托管人处理与基金运作无关的事项发生的费用；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3、《基金合同》生效前的相关费用；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4、其他根据相关法律法规及中国证监会的有关规定不得列入基金费用的项目。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（四）基金税收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8" w:name="_Toc233879609"/>
      <w:r>
        <w:rPr>
          <w:rFonts w:ascii="Times New Roman" w:hAnsi="Times New Roman"/>
          <w:sz w:val="30"/>
        </w:rPr>
        <w:t>十六、基金的会计与审计</w:t>
      </w:r>
      <w:bookmarkEnd w:id="18"/>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（一）基金会计政策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3、基金核算以人民币为记账本位币，以人民币元为记账单位；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7、基金托管人每月与基金管理人就基金的会计核算、报表编制等进行核对并以书面方式确认。</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（二）基金的年度审计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2、会计师事务所更换经办注册会计师，应事先征得基金管理人同意。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3、基金管理人认为有充足理由更换会计师事务所，须通报基金托管人。更换会计师事务所需依照《信息披露办法》的规定在指定媒介公告。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19" w:name="_Toc233879610"/>
      <w:r>
        <w:rPr>
          <w:rFonts w:ascii="Times New Roman" w:hAnsi="Times New Roman"/>
          <w:sz w:val="30"/>
        </w:rPr>
        <w:t>十七、基金的信息披露</w:t>
      </w:r>
      <w:bookmarkEnd w:id="19"/>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（一）本基金的信息披露应符合《基金法》、《运作办法》、《信息披露办法》、《流动性风险管理规定》、《基金合同》及其他有关规定。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（二）信息披露义务人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（三）本基金信息披露义务人承诺公开披露的基金信息，不得有下列行为：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4、诋毁其他基金管理人、基金托管人或者基金销售机构；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（四）本基金公开披露的信息应采用中文文本。如同时采用外文文本的，基金信息披露义务人应保证不同文本的内容一致。不同文本之间发生歧义的，以中文文本为准。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（五）公开披露的基金信息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1、基金招募说明书、《基金合同》、基金托管协议、基金产品资料概要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募集申请经中国证监会注册后，基金管理人在基金份额发售的三日前，将基金招募说明书提示性公告和《基金合同》提示性公告登载在指定报刊上，将基金份额发售公告、基金招募说明书、基金产品资料概要、《基金合同》和基金托管协议登载在指定网站上，并将基金产品资料概要登载在基金销售机构网站或营业网点；基金托管人应当同时将《基金合同》、基金托管协议登载在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2、基金份额发售公告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基金管理人应当在收到中国证监会确认文件的次日在指定媒介上登载《基金合同》生效公告。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4、基金净值信息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《基金合同》生效后，在开始办理基金份额申购或者赎回前，基金管理人应当至少每周在指定网站披露一次基金份额净值和基金份额累计净值。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在开始办理基金份额申购或者赎回后，基金管理人应当在不晚于每个开放日的次日，通过指定网站、基金销售机构网站或者营业网点披露开放日的基金份额净值和基金份额累计净值。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基金管理人应当在不晚于半年度和年度最后一日的次日，在指定网站披露半年度和年度最后一日的基金份额净值和基金份额累计净值。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6、基金定期报告，包括基金年度报告、基金中期报告和基金季度报告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《基金合同》生效不足2个月的，基金管理人可以不编制当期季度报告、中期报告或者年度报告。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基金管理人应当在基金年度报告和中期报告中披露基金组合资产情况及其流动性风险分析等。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7、临时报告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本基金发生重大事件，有关信息披露义务人应当依照《信息披露办法》的规定编制临时报告书，并登载在指定报刊和指定网站上。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前款所称重大事件，是指可能对基金份额持有人权益或者基金份额的价格产生重大影响的下列事件：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（15）管理费、托管费、申购费、赎回费等费用计提标准、计提方式和费率发生变更；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（16）基金份额净值计价错误达基金份额净值百分之零点五；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（22）基金管理人采用摆动定价机制进行估值；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（23）本基金增加或调整基金份额类别；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（24）本基金推出新业务或服务；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（25）《基金合同》生效后，本基金连续30、40、45个工作日出现基金份额持有人数量不满200人或者基金资产净值低于5000万元情形，基金管理人应当发布提示性公告；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8、澄清公告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11、基金投资资产支持证券情况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12、基金投资股指期货情况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13、投资港股通标的股票相关公告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14、中国证监会规定的其他信息。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（六）信息披露事务管理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基金管理人、基金托管人应当在指定报刊中选择披露信息的报刊。基金管理人、基金托管人应当向中国证监会基金电子披露网站报送拟披露的基金信息，并保证相关报送信息的真实、准确、完整、及时。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（七）信息披露文件的存放与查阅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0" w:name="_Toc233879611"/>
      <w:r>
        <w:rPr>
          <w:rFonts w:ascii="Times New Roman" w:hAnsi="Times New Roman"/>
          <w:sz w:val="30"/>
        </w:rPr>
        <w:t>十八、风险揭示</w:t>
      </w:r>
      <w:bookmarkEnd w:id="20"/>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（二）管理风险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（四）信用风险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（五）本基金的特有风险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3、基金合同提前终止风险。连续50个工作日出现基金份额持有人数量不满200人或者基金资产净值低于5000万元情形的，基金管理人提前终止基金合同，不需召开基金份额持有人大会。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4、本基金可投资创业板股票，创业板个股上市后的前五个交易日不设价格涨跌幅限制，第六个交易日开始涨跌幅限制比例为20%。</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（六）投资流通受限证券的特定风险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（七）投资港股通标的股票的特定风险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1、港股交易失败风险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2、汇率风险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3、境外市场的风险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1）香港市场实行T+0回转交易机制（即当日买入的股票，在交收前可以于当日卖出），且证券交易价格并无涨跌幅上下限的规定，因此每日涨跌幅空间相对较大，可能表现出比A股更为剧烈的股价波动；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香港联合交易所出现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4、本基金可根据投资策略需要或不同配置地市场环境的变化，选择将部分基金资产投资于港股通标的股票或选择不将基金资产投资于港股通标的股票，基金资产并非必然投资港股通标的股票。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以上所述因素可能会给本基金投资带来特殊交易风险。</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（八）投资存托凭证的特定风险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（九）投资科创板股票的特定风险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1、市场风险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3、退市风险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4、系统性风险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5、政策风险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（十）本基金法律文件风险收益特征表述与销售机构基金风险评价可能不一致的风险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（十一）其他风险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1" w:name="_Toc233879612"/>
      <w:r>
        <w:rPr>
          <w:rFonts w:ascii="Times New Roman" w:hAnsi="Times New Roman"/>
          <w:sz w:val="30"/>
        </w:rPr>
        <w:t>十九、基金合同的变更、终止与基金财产的清算</w:t>
      </w:r>
      <w:bookmarkEnd w:id="21"/>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2" w:name="_Toc233879613"/>
      <w:r>
        <w:rPr>
          <w:rFonts w:ascii="Times New Roman" w:hAnsi="Times New Roman"/>
          <w:sz w:val="30"/>
        </w:rPr>
        <w:t>二十、基金合同内容摘要</w:t>
      </w:r>
      <w:bookmarkEnd w:id="22"/>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（一）基金份额持有人、基金管理人和基金托管人的权利与义务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（2）自《基金合同》生效之日起，根据法律法规和《基金合同》独立运用并管理基金财产；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（3）依照《基金合同》收取基金管理费以及法律法规规定或中国证监会批准的其他费用；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（7）在基金托管人更换时，提名新的基金托管人；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（8）选择、更换基金销售机构，对基金销售机构的相关行为进行监督和处理；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（9）担任或委托其他符合条件的机构担任基金登记机构办理基金登记业务并获得《基金合同》规定的费用；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（10）依据《基金合同》及有关法律规定决定基金收益的分配方案；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（11）在《基金合同》约定的范围内，拒绝或暂停受理申购与赎回申请；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（13）在法律法规允许的前提下，为基金的利益依法为基金进行融资；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（14）以基金管理人的名义，代表基金份额持有人的利益行使诉讼权利或者实施其他法律行为；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（15）选择、更换律师事务所、会计师事务所、证券经纪商、期货经纪机构或其他为基金提供服务的外部机构；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（16）在符合有关法律、法规的前提下，制定和调整有关基金认购、申购、赎回、转换等的业务规则；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根据《基金法》、《运作办法》及其他有关规定，基金管理人的义务包括但不限于：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（3）自《基金合同》生效之日起，以诚实信用、谨慎勤勉的原则管理和运用基金财产；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（9）进行基金会计核算并编制基金财务会计报告；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（10）编制季度报告、中期报告和年度报告；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（11）严格按照《基金法》、《基金合同》及其他有关规定，履行信息披露及报告义务；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（13）按《基金合同》的约定确定基金收益分配方案，及时向基金份额持有人分配基金收益；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（14）按规定受理申购与赎回申请，及时、足额支付赎回款项；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（16）按规定保存基金财产管理业务活动的会计账册、报表、记录和其他相关资料15年以上；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（18）组织并参加基金财产清算小组，参与基金财产的保管、清理、估价、变现和分配；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（19）面临解散、依法被撤销或者被依法宣告破产时，及时报告中国证监会并通知基金托管人；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（22）当基金管理人将其义务委托第三方处理时，应当对第三方处理有关基金事务的行为承担责任；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（23）以基金管理人名义，代表基金份额持有人利益行使诉讼权利或实施其他法律行为；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（26）建立并保存基金份额持有人名册；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（1）自《基金合同》生效之日起，依法律法规和《基金合同》的规定安全保管基金财产；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（2）依《基金合同》约定获得基金托管费以及法律法规规定或监管部门批准的其他费用；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（4）根据相关市场规则，为基金开设资金账户、证券账户、期货结算账户等投资所需账户，为基金办理证券、期货交易资金清算；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（5）提议召开或召集基金份额持有人大会；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（6）在基金管理人更换时，提名新的基金管理人；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根据《基金法》、《运作办法》及其他有关规定，基金托管人的义务包括但不限于：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（1）以诚实信用、勤勉尽责的原则持有并安全保管基金财产；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（8）复核、审查基金管理人计算的基金资产净值、基金份额净值、基金份额申购、赎回价格；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（9）办理与基金托管业务活动有关的信息披露事项；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（11）保存基金托管业务活动的记录、账册、报表和其他相关资料15年以上；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（12）保存基金份额持有人名册；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（13）按规定制作相关账册并与基金管理人核对；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（14）依据基金管理人的指令或有关规定向基金份额持有人支付基金收益和赎回款项；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（16）按照法律法规和《基金合同》的规定监督基金管理人的投资运作；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（17）参加基金财产清算小组，参与基金财产的保管、清理、估价、变现和分配；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（19）因违反《基金合同》导致基金财产损失时，应承担赔偿责任，其赔偿责任不因其退任而免除；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每份基金份额具有同等的合法权益。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根据《基金法》、《运作办法》及其他有关规定，基金份额持有人的权利包括但不限于：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（1）分享基金财产收益；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（2）参与分配清算后的剩余基金财产；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（3）依法并按照基金合同和招募说明书的规定转让或者申请赎回其持有的基金份额；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（4）按照规定要求召开基金份额持有人大会或者召集基金份额持有人大会；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（5）出席或者委派代表出席基金份额持有人大会，对基金份额持有人大会审议事项行使表决权；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（6）查阅或者复制公开披露的基金信息资料；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（7）监督基金管理人的投资运作；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（8）对基金管理人、基金托管人、基金服务机构损害其合法权益的行为依法提起诉讼或仲裁；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（9）法律法规及中国证监会规定的和《基金合同》约定的其他权利。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根据《基金法》、《运作办法》及其他有关规定，基金份额持有人的义务包括但不限于：</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（1）认真阅读并遵守《基金合同》、招募说明书等信息披露文件；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（3）关注基金信息披露，及时行使权利和履行义务；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（4）交纳基金认购、申购款项及法律法规和《基金合同》所规定的费用；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（5）在其持有的基金份额范围内，承担基金亏损或者《基金合同》终止的有限责任；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（6）不从事任何有损基金及其他《基金合同》当事人合法权益的活动；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（7）执行生效的基金份额持有人大会的决议；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（8）返还在基金交易过程中因任何原因获得的不当得利；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（9）遵守基金管理人、基金托管人、销售机构和登记机构的相关交易及业务规则；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（10）提供基金管理人和监管机构依法要求提供的信息，以及不时的更新和补充，并保证其真实性；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（11）法律法规及中国证监会规定的和《基金合同》约定的其他义务。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（二）基金份额持有人大会召集、议事及表决的程序和规则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本基金份额持有人大会不设日常机构。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2）更换基金管理人；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3）更换基金托管人；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4）转换基金运作方式；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5）调整基金管理人、基金托管人的报酬标准；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6）变更基金类别；</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8）变更基金投资目标、范围或策略；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9）变更基金份额持有人大会程序；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10）基金管理人或基金托管人要求召开基金份额持有人大会；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12）对基金合同当事人权利和义务产生重大影响的其他事项；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13）法律法规、《基金合同》或中国证监会规定的其他应当召开基金份额持有人大会的事项。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1）法律法规要求增加的基金费用的收取；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2）在法律法规和《基金合同》规定的范围内调整本基金的申购费率、调低赎回费率、在对现有基金份额持有人利益无实质性不利影响的前提下变更收费方式；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3）因相应的法律法规、登记机构的相关业务规则发生变动而应当对《基金合同》进行修改；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8）按照法律法规和《基金合同》规定不需召开基金份额持有人大会的其他情形。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2、会议召集人及召集方式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（1）除法律法规规定或《基金合同》另有约定外，基金份额持有人大会由基金管理人召集；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（2）基金管理人未按规定召集或不能召集时，由基金托管人召集；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（6）基金份额持有人会议的召集人负责选择确定开会时间、地点、方式和权益登记日。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3、召开基金份额持有人大会的通知时间、通知内容、通知方式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1）会议召开的时间、地点和会议形式；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2）会议拟审议的事项、议事程序和表决方式；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3）有权出席基金份额持有人大会的基金份额持有人的权益登记日；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4）授权委托证明的内容要求（包括但不限于代理人身份，代理权限和代理有效期限等）、送达时间和地点；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5）会务常设联系人姓名及联系电话；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6）出席会议者必须准备的文件和必须履行的手续；</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7）召集人需要通知的其他事项。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4、基金份额持有人出席会议的方式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在同时符合以下条件时，通讯开会的方式视为有效：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1）会议召集人按《基金合同》约定公布会议通知后，在2个工作日内连续公布相关提示性公告；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5、议事内容与程序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基金份额持有人大会不得对未事先公告的议事内容进行表决。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基金份额持有人所持每份基金份额有一票表决权。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基金份额持有人大会决议分为一般决议和特别决议：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基金份额持有人大会采取记名方式进行投票表决。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基金份额持有人大会的各项提案或同一项提案内并列的各项议题应当分开审议、逐项表决。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2）监票人应当在基金份额持有人表决后立即进行清点并由大会主持人当场公布计票结果。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4）计票过程应由公证机关予以公证，基金管理人或基金托管人拒不出席大会的，不影响计票的效力。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8、生效与公告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基金份额持有人大会的决议，召集人应当自通过之日起5日内报中国证监会备案。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基金份额持有人大会的决议自表决通过之日起生效。法律法规另有规定的，从其规定。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基金份额持有人大会决议自生效之日起依照《信息披露办法》的规定在指定媒介上公告。如果采用通讯方式进行表决，在公告基金份额持有人大会决议时，必须将公证书全文、公证机构、公证员姓名等一同公告。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（三）基金合同解除和终止的事由、程序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（2）关于《基金合同》变更的基金份额持有人大会决议自生效后方可执行，自决议生效后依照《信息披露办法》的规定在指定媒介公告。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2、《基金合同》的终止事由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有下列情形之一的，经履行相关程序后，《基金合同》应当终止：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（2）基金管理人、基金托管人职责终止，在6个月内没有新基金管理人、新基金托管人承接的；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（4）《基金合同》约定的其他情形；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（5）相关法律法规和中国证监会规定的其他情况。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1）《基金合同》终止情形出现时，由基金财产清算小组统一接管基金；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2）对基金财产和债权债务进行清理和确认；</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3）对基金财产进行估值和变现；</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4）制作清算报告；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5）聘请会计师事务所对清算报告进行外部审计，聘请律师事务所对清算报告出具法律意见书；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6）将清算报告报中国证监会备案并公告；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7）对基金剩余财产进行分配。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4、清算费用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5、基金财产清算剩余资产的分配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6、基金财产清算的公告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7、基金财产清算账册及文件的保存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深圳国际仲裁院，按照深圳国际仲裁院届时有效的仲裁规则进行仲裁。仲裁地点为深圳市。仲裁裁决是终局的，对各方当事人均有约束力，除非仲裁裁决另有规定，仲裁费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《基金合同》受中国法律（不含港澳台地区法律）管辖。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（五）基金合同存放地和投资者取得基金合同的方式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《基金合同》正本一式三份，除上报有关监管机构一式一份外，基金管理人、基金托管人各持有一份，每份具有同等的法律效力。</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3" w:name="_Toc233879614"/>
      <w:r>
        <w:rPr>
          <w:rFonts w:ascii="Times New Roman" w:hAnsi="Times New Roman"/>
          <w:sz w:val="30"/>
        </w:rPr>
        <w:t>二十一、托管协议的内容摘要</w:t>
      </w:r>
      <w:bookmarkEnd w:id="23"/>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（一）托管协议当事人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pPr>
        <w:autoSpaceDE w:val="0"/>
        <w:autoSpaceDN w:val="0"/>
        <w:adjustRightInd w:val="0"/>
        <w:snapToGrid w:val="0"/>
        <w:spacing w:line="360" w:lineRule="auto"/>
        <w:ind w:firstLine="480" w:firstLineChars="200"/>
        <w:jc w:val="left"/>
        <w:rPr>
          <w:rFonts w:hint="eastAsia" w:ascii="宋体" w:hAnsi="宋体"/>
          <w:sz w:val="24"/>
        </w:rPr>
      </w:pPr>
      <w:r>
        <w:rPr>
          <w:rFonts w:ascii="宋体" w:hAnsi="宋体"/>
          <w:sz w:val="24"/>
        </w:rPr>
        <w:t>法定代表人：</w:t>
      </w:r>
      <w:r>
        <w:rPr>
          <w:rFonts w:hint="eastAsia" w:ascii="宋体" w:hAnsi="宋体"/>
          <w:sz w:val="24"/>
        </w:rPr>
        <w:t>袁庆伟（代任）</w:t>
      </w:r>
    </w:p>
    <w:p>
      <w:pPr>
        <w:autoSpaceDE w:val="0"/>
        <w:autoSpaceDN w:val="0"/>
        <w:adjustRightInd w:val="0"/>
        <w:snapToGrid w:val="0"/>
        <w:spacing w:line="360" w:lineRule="auto"/>
        <w:ind w:firstLine="480" w:firstLineChars="200"/>
        <w:jc w:val="left"/>
        <w:rPr>
          <w:rFonts w:ascii="宋体" w:hAnsi="宋体"/>
          <w:szCs w:val="24"/>
        </w:rPr>
      </w:pPr>
      <w:bookmarkStart w:id="28" w:name="_GoBack"/>
      <w:bookmarkEnd w:id="28"/>
      <w:r>
        <w:rPr>
          <w:rFonts w:ascii="宋体" w:hAnsi="宋体"/>
          <w:sz w:val="24"/>
        </w:rPr>
        <w:t>成立时间：2005年8月4日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批准设立机关：中国证券监督管理委员会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批准设立文号：中国证监会证监基金字[2005]128号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经营范围：基金募集、基金销售、资产管理和中国证监会许可的其他业务。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名称：招商银行股份有限公司(简称：招商银行)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住所：深圳市深南大道7088号招商银行大厦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办公地址：深圳市深南大道7088号招商银行大厦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邮政编码：518040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法定代表人：李建红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成立时间：1987年4月8日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基金托管业务批准文号：证监基金字[2002]83号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注册资本：人民币252.20亿元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（二）基金托管人对基金管理人的业务监督和核查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以及《基金合同》的约定，对基金投资范围、投资比例、投资限制、关联方交易等进行监督。《基金合同》明确约定基金投资证券选择标准的，基金管理人应事先或定期向基金托管人提供投资品种池，以便基金托管人对基金实际投资是否符合基金合同关于证券选择标准的约定进行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（1）本基金的投资范围为：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（2）本基金各类品种的投资比例、投资限制为：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投资于创新领航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基金的投资组合应遵循以下限制：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1）股票投资（含存托凭证）占基金资产的比例为60%-95%（其中投资于港股通标的股票的比例占股票资产的0%-50%），投资于创新领航主题相关证券的比例不低于非现金基金资产的80%；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5）本基金投资于同一原始权益人的各类资产支持证券的比例，不得超过基金资产净值的10％；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6）本基金持有的全部资产支持证券，其市值不得超过基金资产净值的20％；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7）本基金持有的同一（指同一信用级别）资产支持证券的比例，不得超过该资产支持证券规模的10％；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15）本基金参与股指期货交易，则：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a.本基金在任何交易日日终，持有的买入股指期货合约价值，不得超过基金资产净值的10%；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b.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c.本基金在任何交易日日终，持有的卖出股指期货合约价值不得超过基金持有的股票总市值的20%；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16）本基金资产总值不超过基金资产净值的140%；</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17）本基金投资存托凭证的比例限制依照境内上市交易的股票执行；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18）法律法规及中国证监会规定的和《基金合同》约定的其他投资限制。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（3）本基金财产不得用于以下投资或者活动：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2）违反规定向他人贷款或者提供担保；</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4）买卖其他基金份额，但是中国证监会另有规定的除外；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6）从事内幕交易、操纵证券交易价格及其他不正当的证券交易活动；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7）法律、行政法规和中国证监会规定禁止的其他活动。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应当自基金合同生效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本基金投资银行存款应符合如下规定：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1）基金管理人负责控制信用风险。信用风险主要包括存款银行的信用等级、存款银行的支付能力等涉及到存款银行选择方面的风险。因选择存款银行不当造成基金财产损失的，由基金管理人承担责任。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3、基金投资银行存款协议的签订、账户开设与管理、投资指令与资金划付、账目核对、到期兑付、提前支取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（1）基金投资银行存款协议的签订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2）基金托管人依据相关法规对《总体合作协议》和《存款协议书》的内容进行复核，审查存款银行资格等。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由存款银行指定的存放存款的分支机构（以下简称“存款分支机构”）寄送或上门交付存款证实书或其他有效存款凭证的，基金托管人可向存款分支机构的上级行发出存款余额询证函，存款分支机构及其上级行应予配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5）基金管理人应在《存款协议书》中规定，基金存放到期或提前兑付的资金应全部划转到指定的基金托管账户，并在《存款协议书》写明账户名称和账号，未划入指定账户的，由存款银行承担一切责任。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应在《存款协议书》中规定，在存期内，如本基金银行账户、预留印鉴发生变更，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（2）基金投资银行存款时的账户开设与管理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1）基金投资于银行存款时，基金管理人应当依据基金管理人与存款银行签订的《总体合作协议》、《存款协议书》等，以基金的名义在存款银行总行或授权分行指定的分支机构开立银行账户。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2）基金投资于银行存款时的预留印鉴由基金托管人保管和使用。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（3）存款凭证传递、账目核对及到期兑付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1）存款证实书等存款凭证传递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款资金只能存放于存款银行总行或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2）存款凭证的遗失补办</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存款凭证在邮寄过程中遗失的，由基金管理人向存款银行提出补办申请，基金管理人应督促存款银行尽快补办存款凭证，并按以上1）的方式快递或上门交付至托管人，原存款凭证自动作废。</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3）账目核对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基金管理人应与基金托管人核对各项银行存款投资余额及应计利息。基金管理人应在《存款协议书》中规定，对于存期超过3个月的定期存款，存款银行应于每季末后5个工作日内向基金托管人指定人员寄送对账单。因存款银行未寄送对账单造成的资金被挪用、盗取的责任由存款银行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存款银行应配合基金托管人对存款凭证的询证，并在询证函上加盖存款银行公章寄送至基金托管人指定联系人。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4）到期兑付</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如果存款到期日为法定节假日，存款银行顺延至到期后第一个工作日支付，存款银行需按原协议约定利率和实际延期天数支付延期利息。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（4）提前支取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提前支取的具体事项按照基金管理人与存款银行签订的《存款协议书》执行。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（5）基金投资银行存款的监督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 个工作日内纠正。基金管理人对基金托管人通知的违规事项未能在10 个工作日内纠正的，基金托管人应报告中国证监会。基金托管人发现基金管理人有重大违规行为，应立即报告中国证监会，同时通知基金管理人在10 个工作日内纠正或拒绝结算，若因基金管理人拒不执行造成基金财产损失的，相关损失由基金管理人承担，基金托管人不承担任何责任。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5、本基金投资流通受限证券，应遵守《关于基金投资非公开发行股票等流通受限证券有关问题的通知》等有关监管规定。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本基金不得投资未经中国证监会批准的非公开发行证券。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本基金不得投资有锁定期但锁定期不明确的证券。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由于基金管理人未及时提供有关证券的具体的必要的信息，致使托管人无法审核认购指令而影响认购款项划拨的，基金托管人免于承担责任。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 基金管理人应在基金投资非公开发行股票后两个交易日内,在中国证监会指定媒介披露所投资非公开发行股票的名称、数量、总成本、账面价值,以及总成本和账面价值占基金资产净值的比例、锁定期等信息。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6、基金管理人应当对投资中期票据业务进行研究，认真评估中期票据投资业务的风险，本着审慎、勤勉尽责的原则进行中期票据的投资业务，并应符合法律法规及监管机构的相关规定。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根据有关法律法规的规定及《基金合同》的约定，对基金资产净值计算及基金份额净值计算、基金费用开支及收入确定、基金收益分配、相关信息披露、基金宣传推介材料中登载基金业绩表现数据等进行监督和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若基金托管人发现基金管理人依据交易程序已经生效的指令违反法律、行政法规和其他有关规定，或者违反基金合同约定的，应当立即通知基金管理人及时纠正，由此造成的损失由基金管理人承担，托管人在履行其通知义务后，予以免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11、基金托管人发现基金管理人有重大违规行为，应及时报告中国证监会，同时通知基金管理人限期纠正。</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（三）基金管理人对基金托管人的业务核查</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期货结算账户等投资所需账户、复核基金管理人计算的基金资产净值和基金份额净值、根据基金管理人指令办理清算交收、相关信息披露和监督基金投资运作等行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（四）基金财产保管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（3）基金托管人按照规定开设基金财产的资金账户、证券账户和期货结算账户等投资所需的相关账户。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（4）基金托管人对所托管的不同基金财产分别设置账户，确保基金财产的完整与独立。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对因为基金管理人投资产生的存放或存管在基金托管人以外机构的基金资产，或交由证券公司负责清算交收的基金资产及其收益，由于该等机构或该机构会员单位等本协议当事人外第三方的欺诈、疏忽、过失或破产等原因给基金资产造成的损失等不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（8）除依据法律法规和基金合同的规定外，基金托管人不得委托第三人托管基金财产。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具有从事证券相关业务资格的会计师事务所进行验资，出具验资报告。出具的验资报告由参加验资的2名或2名以上中国注册会计师签字方为有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（3）若基金募集期限届满，未能达到基金备案的条件，由基金管理人按规定办理退款等事宜。</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3、基金资金账户的开立和管理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以本基金的名义在其营业机构开立基金的资金账户（也可称为“托管账户”），保管基金的银行存款，并根据基金管理人的指令办理资金收付。托管账户名称应为“交银施罗德创新领航混合型证券投资基金”，预留印鉴为基金托管人印章。</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（2）基金资金账户的开立和使用，限于满足开展本基金业务的需要。基金托管人和基金管理人不得假借本基金的名义开立任何其他银行账户；亦不得使用基金的任何账户进行本基金业务以外的活动。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（3）基金资金账户的开立和管理应符合法律法规及银行业监督管理机构的有关规定。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4、基金证券账户和结算备付金账户的开立和管理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5、债券托管账户的开设和管理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根据投资需要按照规定开立期货保证金账户及期货交易编码等，基金托管人按照规定开立期货结算账户等投资所需账户。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基金托管人和基金管理人应当在开户过程中相互配合，并提供所需资料。基金管理人保证所提供的账户开户材料的真实性和有效性，且在相关资料变更后及时将变更的资料提供给基金托管人。</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（2）因业务发展需要而开立的其他账户，可以根据法律法规和基金合同的规定，由基金管理人协助基金托管人按照有关法律法规和本协议的约定协商后开立。新账户按有关规定使用并管理。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（3）法律法规等有关规定对相关账户的开立和管理另有规定的，从其规定办理。</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7、基金财产投资的有关有价凭证等的保管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为基金合同终止后不少于15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（五）基金资产净值计算、估值和会计核算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1、基金资产净值的计算、复核与完成的时间及程序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净值是指估值日基金资产净值除以估值日基金份额的余额数量，基金份额净值的计算，精确到0.0001元，小数点后第五位四舍五入。基金管理人可以设立大额赎回情形下的净值精度应急调整机制，具体可参见相关公告。国家另有规定的，从其规定。</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基金管理人于每个工作日计算基金资产净值、基金份额净值，经基金托管人复核，按规定公告，但基金管理人根据法律法规或基金合同的规定暂停估值时除外。</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（2）复核程序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基金管理人每个工作日对基金资产进行估值后，将基金资产净值、基金份额净值发送基金托管人，经基金托管人复核无误后，由基金管理人依据基金合同和相关法律法规的规定对外公布。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2、基金资产的估值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基金管理人及基金托管人应当按照《基金合同》的约定进行估值。</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3、基金份额净值错误的处理方式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基金管理人及基金托管人应当按照《基金合同》的约定处理份额净值错误。</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4、基金会计制度</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按国家有关部门规定的会计制度执行。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5、基金账册的建立</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6、基金财务报表与报告的编制和复核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（1）财务报表的编制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基金财务报表由基金管理人编制，基金托管人复核。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（2）报表复核</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（3）财务报表的编制与复核时间安排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每月结束后5个工作日内完成月度报表的编制及复核；在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中的财务会计报告应当经过具有证券、期货相关业务资格的会计师事务所审计。基金合同生效不足两个月的，基金管理人可以不编制当期季度报告、中期报告或者年度报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7、在有需要时，基金管理人应每季度向基金托管人提供基金业绩比较基准的基础数据和编制结果。</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（六）基金份额持有人名册的保管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少于15年。如不能妥善保管，则按相关法律法规承担责任。</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托管人要求或编制中期报告及年度报告前，基金管理人应将有关资料送交基金托管人，不得无故拒绝或延误提供，并保证其真实性、准确性和完整性。基金管理人和托管人不得将所保管的基金份额持有人名册用于基金托管业务以外的其他用途，并应遵守保密义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（七）争议解决方式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深圳国际仲裁院，按照深圳国际仲裁院届时有效的仲裁规则进行仲裁。仲裁地点为深圳市。仲裁裁决是终局的，对双方当事人均有约束力，除非仲裁裁决另有规定，仲裁费用由败诉方承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本协议受中华人民共和国法律（不含港澳台地区法律）管辖。</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（八）托管协议的变更、终止与基金财产的清算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2、基金托管协议终止的情形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（3）基金管理人因解散、破产、撤销等事由，不能继续担任基金管理人的职务，而在6个月内无其他适当的基金管理机构承接其原有权利义务；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（4）发生法律法规或《基金合同》规定的其他终止事项。</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基金管理人与基金托管人按照《基金合同》的约定处理基金财产的清算。</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4" w:name="_Toc233879615"/>
      <w:r>
        <w:rPr>
          <w:rFonts w:ascii="Times New Roman" w:hAnsi="Times New Roman"/>
          <w:sz w:val="30"/>
        </w:rPr>
        <w:t>二十二、对基金份额持有人的服务</w:t>
      </w:r>
      <w:bookmarkEnd w:id="24"/>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（一）持有人交易资料的寄送服务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每次交易结束后，可在T+2个工作日后通过销售机构的网点查询和打印确认单。</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（二）网上直销服务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转换、定期定额投资等业务。通过网上直销交易平台办理本基金申购和定期定额投资业务的个人投资者将享受申购费率的优惠，其他费率标准不变。具体优惠费率请参见公司网站列示的网上直销交易平台申购、定期定额投资费率表或相关公告。基金网上直销交易平台已开通的银行卡及各银行卡交易金额限额请参阅本基金管理人网站。</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（三）信息咨询、查询服务</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（四）基金红利再投资</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默认的收益分配方式是现金分红。再投资红利按红利再投日（即除息日）除息后的基金份额净值自动转为基金份额，并免收申购费用。</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（五）定期定额投资计划</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本基金已开通定期定额投资计划，具体实施方法请参见相关公告。</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投资者也可登录本基金管理人网站，直接提出有关本基金的问题和建议。</w:t>
      </w:r>
    </w:p>
    <w:p>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5" w:name="_Toc233879616"/>
      <w:r>
        <w:rPr>
          <w:rFonts w:ascii="Times New Roman" w:hAnsi="Times New Roman"/>
          <w:sz w:val="30"/>
        </w:rPr>
        <w:t>二十三、其他应披露事项</w:t>
      </w:r>
      <w:bookmarkEnd w:id="25"/>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基金合同如有未尽事宜，由基金合同当事人各方按有关法律法规协商解决。</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交银施罗德创新领航混合型证券投资基金2025年第2季度报告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交银施罗德创新领航混合型证券投资基金2025年中期报告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交银施罗德创新领航混合型证券投资基金2025年第3季度报告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交银施罗德基金管理有限公司关于旗下基金所持停牌股票估值调整的公告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2025-12-02</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交银施罗德创新领航混合型证券投资基金基金产品资料概要更新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交银施罗德创新领航混合型证券投资基金招募说明书更新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交银施罗德创新领航混合型证券投资基金2025年第4季度报告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交银施罗德创新领航混合型证券投资基金2025年年度报告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交银施罗德基金管理有限公司旗下公募基金通过证券公司证券交易及佣金支付情况（2025年）</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交银施罗德创新领航混合型证券投资基金2026年第1季度报告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6" w:name="_Toc233879617"/>
      <w:r>
        <w:rPr>
          <w:rFonts w:ascii="Times New Roman" w:hAnsi="Times New Roman"/>
          <w:sz w:val="30"/>
        </w:rPr>
        <w:t>二十四、招募说明书的存放及查阅方式</w:t>
      </w:r>
      <w:bookmarkEnd w:id="26"/>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pPr>
        <w:pStyle w:val="2"/>
        <w:snapToGrid w:val="0"/>
        <w:spacing w:before="240" w:beforeLines="0" w:after="240"/>
        <w:rPr>
          <w:rFonts w:ascii="宋体" w:hAnsi="宋体"/>
          <w:szCs w:val="30"/>
        </w:rPr>
      </w:pPr>
      <w:bookmarkStart w:id="27" w:name="_Toc233879618"/>
      <w:r>
        <w:rPr>
          <w:rFonts w:ascii="Times New Roman" w:hAnsi="Times New Roman"/>
          <w:sz w:val="30"/>
        </w:rPr>
        <w:t>二十五、备查文件</w:t>
      </w:r>
      <w:bookmarkEnd w:id="27"/>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（一）中国证监会准予交银施罗德创新领航混合型证券投资基金募集注册的文件</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（二）《交银施罗德创新领航混合型证券投资基金基金合同》</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（三）《交银施罗德创新领航混合型证券投资基金托管协议》</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（六）关于申请募集注册交银施罗德创新领航混合型证券投资基金的法律意见书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4</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68" o:spid="_x0000_s2068"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152</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ascii="宋体" w:hAnsi="宋体"/>
      </w:rPr>
    </w:pPr>
    <w:r>
      <w:rPr>
        <w:rFonts w:hint="eastAsia" w:ascii="宋体" w:hAnsi="宋体"/>
      </w:rPr>
      <w:t>交银施罗德创新领航混合型证券投资基金招募说明书更新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p>
  <w:p>
    <w:pPr>
      <w:pStyle w:val="10"/>
      <w:jc w:val="right"/>
    </w:pPr>
  </w:p>
  <w:p>
    <w:pPr>
      <w:pStyle w:val="9"/>
      <w:jc w:val="right"/>
    </w:pPr>
  </w:p>
  <w:p>
    <w:pPr>
      <w:pStyle w:val="9"/>
      <w:jc w:val="right"/>
      <w:rPr>
        <w:rFonts w:ascii="宋体" w:hAnsi="宋体"/>
      </w:rPr>
    </w:pPr>
    <w:r>
      <w:rPr>
        <w:rFonts w:hint="eastAsia" w:ascii="宋体" w:hAnsi="宋体"/>
      </w:rPr>
      <w:t>交银施罗德创新领航混合型证券投资基金招募说明书更新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p>
    <w:pPr>
      <w:pStyle w:val="9"/>
      <w:jc w:val="right"/>
    </w:pPr>
  </w:p>
  <w:p>
    <w:pPr>
      <w:pStyle w:val="9"/>
      <w:jc w:val="right"/>
    </w:pPr>
  </w:p>
  <w:p>
    <w:pPr>
      <w:pStyle w:val="9"/>
      <w:jc w:val="right"/>
      <w:rPr>
        <w:rFonts w:ascii="宋体" w:hAnsi="宋体"/>
      </w:rPr>
    </w:pPr>
    <w:r>
      <w:rPr>
        <w:rFonts w:hint="eastAsia" w:ascii="宋体" w:hAnsi="宋体"/>
      </w:rPr>
      <w:t>交银施罗德创新领航混合型证券投资基金招募说明书更新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0B72"/>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65DF3"/>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425"/>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0297"/>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 w:val="701B26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0"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5">
    <w:name w:val="Document Map"/>
    <w:basedOn w:val="1"/>
    <w:link w:val="35"/>
    <w:unhideWhenUsed/>
    <w:uiPriority w:val="99"/>
    <w:rPr>
      <w:rFonts w:ascii="宋体"/>
      <w:sz w:val="18"/>
      <w:szCs w:val="18"/>
    </w:rPr>
  </w:style>
  <w:style w:type="paragraph" w:styleId="6">
    <w:name w:val="annotation text"/>
    <w:basedOn w:val="1"/>
    <w:link w:val="31"/>
    <w:unhideWhenUsed/>
    <w:uiPriority w:val="0"/>
    <w:pPr>
      <w:jc w:val="left"/>
    </w:pPr>
  </w:style>
  <w:style w:type="paragraph" w:styleId="7">
    <w:name w:val="Balloon Text"/>
    <w:basedOn w:val="1"/>
    <w:semiHidden/>
    <w:uiPriority w:val="0"/>
    <w:rPr>
      <w:sz w:val="18"/>
      <w:szCs w:val="18"/>
    </w:rPr>
  </w:style>
  <w:style w:type="paragraph" w:styleId="8">
    <w:name w:val="footer"/>
    <w:basedOn w:val="1"/>
    <w:link w:val="36"/>
    <w:unhideWhenUsed/>
    <w:uiPriority w:val="99"/>
    <w:pPr>
      <w:tabs>
        <w:tab w:val="center" w:pos="4153"/>
        <w:tab w:val="right" w:pos="8306"/>
      </w:tabs>
      <w:snapToGrid w:val="0"/>
      <w:jc w:val="left"/>
    </w:pPr>
    <w:rPr>
      <w:kern w:val="0"/>
      <w:sz w:val="18"/>
      <w:szCs w:val="18"/>
    </w:rPr>
  </w:style>
  <w:style w:type="paragraph" w:styleId="9">
    <w:name w:val="header"/>
    <w:basedOn w:val="1"/>
    <w:link w:val="33"/>
    <w:unhideWhenUsed/>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uiPriority w:val="39"/>
    <w:pPr>
      <w:ind w:left="480" w:leftChars="200"/>
    </w:pPr>
  </w:style>
  <w:style w:type="paragraph" w:styleId="13">
    <w:name w:val="annotation subject"/>
    <w:basedOn w:val="6"/>
    <w:next w:val="6"/>
    <w:link w:val="32"/>
    <w:unhideWhenUsed/>
    <w:uiPriority w:val="99"/>
    <w:rPr>
      <w:b/>
      <w:bCs/>
    </w:rPr>
  </w:style>
  <w:style w:type="table" w:styleId="15">
    <w:name w:val="Table Grid"/>
    <w:basedOn w:val="1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uiPriority w:val="99"/>
    <w:rPr>
      <w:color w:val="0000FF"/>
      <w:u w:val="single"/>
    </w:rPr>
  </w:style>
  <w:style w:type="character" w:styleId="19">
    <w:name w:val="annotation reference"/>
    <w:unhideWhenUsed/>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uiPriority w:val="99"/>
    <w:rPr>
      <w:rFonts w:ascii="Calibri" w:hAnsi="Calibri" w:eastAsia="宋体" w:cs="Times New Roman"/>
      <w:kern w:val="2"/>
      <w:sz w:val="21"/>
      <w:szCs w:val="22"/>
      <w:lang w:val="en-US" w:eastAsia="zh-CN" w:bidi="ar-SA"/>
    </w:rPr>
  </w:style>
  <w:style w:type="paragraph" w:customStyle="1" w:styleId="23">
    <w:name w:val="Defaul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uiPriority w:val="0"/>
    <w:rPr>
      <w:rFonts w:ascii="Cambria" w:hAnsi="Cambria"/>
      <w:b/>
      <w:kern w:val="28"/>
      <w:sz w:val="24"/>
      <w:szCs w:val="32"/>
    </w:rPr>
  </w:style>
  <w:style w:type="character" w:customStyle="1" w:styleId="30">
    <w:name w:val="txtcontent11"/>
    <w:uiPriority w:val="0"/>
    <w:rPr>
      <w:rFonts w:hint="default" w:ascii="ˎ̥" w:hAnsi="ˎ̥"/>
      <w:color w:val="000000"/>
      <w:sz w:val="21"/>
      <w:szCs w:val="21"/>
    </w:rPr>
  </w:style>
  <w:style w:type="character" w:customStyle="1" w:styleId="31">
    <w:name w:val="批注文字 Char"/>
    <w:link w:val="6"/>
    <w:uiPriority w:val="0"/>
    <w:rPr>
      <w:kern w:val="2"/>
      <w:sz w:val="21"/>
      <w:szCs w:val="22"/>
    </w:rPr>
  </w:style>
  <w:style w:type="character" w:customStyle="1" w:styleId="32">
    <w:name w:val="批注主题 Char"/>
    <w:link w:val="13"/>
    <w:semiHidden/>
    <w:qFormat/>
    <w:uiPriority w:val="99"/>
    <w:rPr>
      <w:b/>
      <w:bCs/>
      <w:kern w:val="2"/>
      <w:sz w:val="21"/>
      <w:szCs w:val="22"/>
    </w:rPr>
  </w:style>
  <w:style w:type="character" w:customStyle="1" w:styleId="33">
    <w:name w:val="页眉 Char"/>
    <w:link w:val="9"/>
    <w:uiPriority w:val="99"/>
    <w:rPr>
      <w:sz w:val="18"/>
      <w:szCs w:val="18"/>
    </w:rPr>
  </w:style>
  <w:style w:type="character" w:customStyle="1" w:styleId="34">
    <w:name w:val="副标题 Char"/>
    <w:link w:val="11"/>
    <w:uiPriority w:val="0"/>
    <w:rPr>
      <w:rFonts w:ascii="Cambria" w:hAnsi="Cambria" w:cs="Times New Roman"/>
      <w:b/>
      <w:bCs/>
      <w:kern w:val="28"/>
      <w:sz w:val="32"/>
      <w:szCs w:val="32"/>
    </w:rPr>
  </w:style>
  <w:style w:type="character" w:customStyle="1" w:styleId="35">
    <w:name w:val="文档结构图 Char"/>
    <w:link w:val="5"/>
    <w:semiHidden/>
    <w:uiPriority w:val="99"/>
    <w:rPr>
      <w:rFonts w:ascii="宋体"/>
      <w:kern w:val="2"/>
      <w:sz w:val="18"/>
      <w:szCs w:val="18"/>
    </w:rPr>
  </w:style>
  <w:style w:type="character" w:customStyle="1" w:styleId="36">
    <w:name w:val="页脚 Char"/>
    <w:link w:val="8"/>
    <w:uiPriority w:val="99"/>
    <w:rPr>
      <w:sz w:val="18"/>
      <w:szCs w:val="18"/>
    </w:rPr>
  </w:style>
  <w:style w:type="character" w:customStyle="1" w:styleId="37">
    <w:name w:val="标题 2 Char"/>
    <w:link w:val="3"/>
    <w:semiHidden/>
    <w:uiPriority w:val="9"/>
    <w:rPr>
      <w:rFonts w:ascii="Cambria" w:hAnsi="Cambria" w:eastAsia="宋体" w:cs="Times New Roman"/>
      <w:b/>
      <w:bCs/>
      <w:kern w:val="2"/>
      <w:sz w:val="32"/>
      <w:szCs w:val="32"/>
    </w:rPr>
  </w:style>
  <w:style w:type="character" w:customStyle="1" w:styleId="38">
    <w:name w:val="标题 4 Char"/>
    <w:link w:val="4"/>
    <w:semiHidden/>
    <w:uiPriority w:val="9"/>
    <w:rPr>
      <w:rFonts w:ascii="Cambria" w:hAnsi="Cambria" w:eastAsia="宋体" w:cs="Times New Roman"/>
      <w:b/>
      <w:bCs/>
      <w:kern w:val="2"/>
      <w:sz w:val="28"/>
      <w:szCs w:val="28"/>
    </w:rPr>
  </w:style>
  <w:style w:type="character" w:customStyle="1" w:styleId="39">
    <w:name w:val="标题 1 Char"/>
    <w:link w:val="2"/>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153</Pages>
  <Words>16127</Words>
  <Characters>91930</Characters>
  <Lines>766</Lines>
  <Paragraphs>215</Paragraphs>
  <TotalTime>0</TotalTime>
  <ScaleCrop>false</ScaleCrop>
  <LinksUpToDate>false</LinksUpToDate>
  <CharactersWithSpaces>107842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2026-07-02T02:12:00Z</dcterms:created>
  <dc:creator>系统用户</dc:creator>
  <cp:lastModifiedBy>haotingting</cp:lastModifiedBy>
  <cp:lastPrinted>2013-02-18T03:10:00Z</cp:lastPrinted>
  <dcterms:modified xsi:type="dcterms:W3CDTF">2026-07-06T06:06:58Z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C55CB727B6EC49999F3412A33BBBD00C</vt:lpwstr>
  </property>
</Properties>
</file>