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交银施罗德瑞思混合型证券投资基金（LOF）</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2026-06-17</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2026-07-10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3"/>
        <w:gridCol w:w="1562"/>
        <w:gridCol w:w="3279"/>
        <w:gridCol w:w="1928"/>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交银瑞思混合（LOF）</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501092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2020-02-21</w:t>
            </w:r>
          </w:p>
        </w:tc>
        <w:tc>
          <w:tcPr>
            <w:tcW w:w="3649" w:type="dxa"/>
            <w:vAlign w:val="center"/>
          </w:tcPr>
          <w:p>
            <w:pPr>
              <w:rPr>
                <w:rFonts w:ascii="仿宋_GB2312" w:hAnsi="宋体" w:eastAsia="仿宋_GB2312" w:cs="宋体"/>
                <w:szCs w:val="21"/>
              </w:rPr>
            </w:pPr>
            <w:r>
              <w:rPr>
                <w:rFonts w:hint="eastAsia" w:ascii="仿宋_GB2312" w:eastAsia="仿宋_GB2312"/>
                <w:szCs w:val="21"/>
              </w:rPr>
              <w:t>上市交易所及上市日期</w:t>
            </w:r>
          </w:p>
        </w:tc>
        <w:tc>
          <w:tcPr>
            <w:tcW w:w="1275" w:type="dxa"/>
            <w:vAlign w:val="center"/>
          </w:tcPr>
          <w:p>
            <w:pPr>
              <w:rPr>
                <w:rFonts w:ascii="仿宋_GB2312" w:eastAsia="仿宋_GB2312"/>
                <w:szCs w:val="21"/>
              </w:rPr>
            </w:pPr>
            <w:r>
              <w:rPr>
                <w:rFonts w:hint="eastAsia" w:ascii="仿宋_GB2312" w:eastAsia="仿宋_GB2312"/>
                <w:szCs w:val="21"/>
              </w:rPr>
              <w:t>上海证券交易所/2020-08-05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沈楠</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2020-02-21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2009-06-23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场内简称：交银瑞思；扩位简称：交银瑞思LOF；交易代码：501092。</w:t>
            </w:r>
          </w:p>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管理人提前终止《基金合同》，不需召开基金份额持有人大会。</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交银施罗德瑞思三年封闭运作混合型证券投资基金的封闭期自2020年2月21日起至2023年2月20日止。根据《基金合同》的约定，自2023年2月21日起，交银施罗德瑞思三年封闭运作混合型证券投资基金的基金名称变更为“交银施罗德瑞思混合型证券投资基金（LOF）”，基金简称变更为“交银瑞思混合（LOF）”，场内简称与基金代码不变，场内简称为“交银瑞思”，基金代码为“501092”，扩位简称为“交银瑞思LOF”，并适用《基金合同》中关于封闭期届满后运作的有关规定。</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本基金在严格控制风险的前提下，坚持价值投资的基本理念，充分发挥专业研究与管理能力，力争为投资者提供长期稳健的投资回报。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上市的股票、存托凭证),港股通标的股票,债券(含国债,央行票据,金融债券,政府支持债券,政府支持机构债券,地方政府债券,企业债券,公司债券,可转换债券(含可分离交易可转换债券的纯债部分),可交换公司债券,公开发行的次级债券,中期票据,短期融资券,超短期融资券等),资产支持证券,货币市场工具,债券回购,同业存单,银行存款(含协议存款,定期存款及其他银行存款),股指期货以及法律法规或中国证监会允许基金投资的其他金融工具.如法律法规或监管机构以后允许基金投资其他品种,基金管理人在履行适当程序后,可以将其纳入投资范围.基金的投资组合比例为:本基金封闭期结束,转为开放式运作后,股票投资（含存托凭证）占基金资产的比例为50%-95%(其中投资于港股通标的股票的比例占股票资产的0%-50%);封闭期内,股票投资（含存托凭证）占基金资产的比例为50%-100%(其中投资于港股通标的股票的比例占股票资产的0%-50%);但本基金封闭期结束前三个月至转开放式运作后三个月内,基金投资不受前述下限比例限制.本基金封闭期结束,转为开放式运作后,每个交易日日终,在扣除股指期货合约需缴纳的交易保证金后,本基金保留的现金或者投资于到期日在一年以内的政府债券的比例合计不低于基金资产净值的5%;在封闭期内,本基金不受前述5%的限制,但每个交易日日终在扣除股指期货合约需缴纳的交易保证金后,应当保持不低于交易保证金一倍的现金;其中现金不包括结算备付金,存出保证金,应收申购款等.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本基金的投资策略主要包括：</w:t>
            </w:r>
          </w:p>
          <w:p>
            <w:pPr>
              <w:ind w:firstLine="420"/>
              <w:jc w:val="left"/>
              <w:rPr>
                <w:rFonts w:ascii="仿宋_GB2312" w:eastAsia="仿宋_GB2312"/>
                <w:szCs w:val="21"/>
              </w:rPr>
            </w:pPr>
            <w:r>
              <w:rPr>
                <w:rFonts w:hint="eastAsia" w:ascii="仿宋_GB2312" w:eastAsia="仿宋_GB2312"/>
                <w:szCs w:val="21"/>
              </w:rPr>
              <w:t>1、大类资产配置；2、股票投资策略；3、债券投资策略；4、股指期货投资策略；5、资产支持证券投资策略。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沪深300指数收益率×70%+恒生指数收益率×5%+中证综合债券指数收益率×25%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本基金是一只混合型基金，其预期风险和预期收益高于债券型基金和货币市场基金，低于股票型基金。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详见《交银施罗德瑞思混合型证券投资基金(LOF)招募说明书》“基金的投资”。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2、基金合同于2020年2月21日生效，合同生效当年净值增长率按实际存续期计算。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0.75%</w:t>
            </w:r>
          </w:p>
        </w:tc>
        <w:tc>
          <w:tcPr>
            <w:tcW w:w="1843" w:type="dxa"/>
            <w:vAlign w:val="center"/>
          </w:tcPr>
          <w:p>
            <w:pPr>
              <w:rPr>
                <w:rFonts w:ascii="仿宋_GB2312" w:eastAsia="仿宋_GB2312"/>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30天≤N＜365天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365天≤N＜730天</w:t>
            </w:r>
          </w:p>
        </w:tc>
        <w:tc>
          <w:tcPr>
            <w:tcW w:w="1843" w:type="dxa"/>
            <w:vAlign w:val="center"/>
          </w:tcPr>
          <w:p>
            <w:pPr>
              <w:rPr>
                <w:rFonts w:ascii="仿宋_GB2312" w:eastAsia="仿宋_GB2312"/>
                <w:szCs w:val="21"/>
              </w:rPr>
            </w:pPr>
            <w:r>
              <w:rPr>
                <w:rFonts w:hint="eastAsia" w:ascii="仿宋_GB2312" w:eastAsia="仿宋_GB2312"/>
                <w:szCs w:val="21"/>
              </w:rPr>
              <w:t>0.25%</w:t>
            </w:r>
          </w:p>
        </w:tc>
        <w:tc>
          <w:tcPr>
            <w:tcW w:w="1843" w:type="dxa"/>
            <w:vAlign w:val="center"/>
          </w:tcPr>
          <w:p>
            <w:pPr>
              <w:rPr>
                <w:rFonts w:ascii="仿宋_GB2312" w:eastAsia="仿宋_GB2312"/>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r>
              <w:rPr>
                <w:rFonts w:hint="eastAsia" w:ascii="仿宋_GB2312" w:eastAsia="仿宋_GB2312"/>
                <w:szCs w:val="21"/>
              </w:rPr>
              <w:t>场外份额</w:t>
            </w: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3、本基金的场内申购费率、场内赎回费率由场内销售机构参照上表场外申购费率、场外赎回费率设定。4、场内交易费用以证券公司实际收取为准。</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1.42%</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（3）本基金可投资港股通标的股票，会面临港股通机制下因投资环境、投资标的、市场制度以及交易规则等差异带来的特有风险。具体如下：</w:t>
      </w:r>
    </w:p>
    <w:p>
      <w:pPr>
        <w:ind w:firstLine="420"/>
        <w:jc w:val="left"/>
        <w:rPr>
          <w:rFonts w:ascii="仿宋_GB2312" w:eastAsia="仿宋_GB2312"/>
          <w:szCs w:val="21"/>
        </w:rPr>
      </w:pPr>
      <w:r>
        <w:rPr>
          <w:rFonts w:hint="eastAsia" w:ascii="仿宋_GB2312" w:eastAsia="仿宋_GB2312"/>
          <w:szCs w:val="21"/>
        </w:rPr>
        <w:t>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以上所述因素可能会给本基金投资带来特殊交易风险。</w:t>
      </w:r>
    </w:p>
    <w:p>
      <w:pPr>
        <w:ind w:firstLine="420"/>
        <w:jc w:val="left"/>
        <w:rPr>
          <w:rFonts w:ascii="仿宋_GB2312" w:eastAsia="仿宋_GB2312"/>
          <w:szCs w:val="21"/>
        </w:rPr>
      </w:pPr>
      <w:r>
        <w:rPr>
          <w:rFonts w:hint="eastAsia" w:ascii="仿宋_GB2312" w:eastAsia="仿宋_GB2312"/>
          <w:szCs w:val="21"/>
        </w:rPr>
        <w:t>（4）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（5）基金合同提前终止风险。连续50个工作日出现基金份额持有人数量不满200人或者基金资产净值低于5000万元情形的，基金管理人提前终止基金合同，不需召开基金份额持有人大会。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（6）本基金可投资创业板股票，创业板个股上市后的前五个交易日不设价格涨跌幅限制，第六个交易日开始涨跌幅限制比例为20%。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8、投资存托凭证的特定风险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9、本基金法律文件风险收益特征表述与销售机构基金风险评价可能不一致的风险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10、其他风险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●《交银施罗德瑞思混合型证券投资基金（LOF）基金合同》、</w:t>
      </w:r>
    </w:p>
    <w:p>
      <w:pPr>
        <w:ind w:firstLine="420"/>
        <w:jc w:val="left"/>
        <w:rPr>
          <w:rFonts w:ascii="仿宋_GB2312" w:eastAsia="仿宋_GB2312"/>
          <w:szCs w:val="21"/>
        </w:rPr>
      </w:pPr>
      <w:r>
        <w:rPr>
          <w:rFonts w:hint="eastAsia" w:ascii="仿宋_GB2312" w:eastAsia="仿宋_GB2312"/>
          <w:szCs w:val="21"/>
        </w:rPr>
        <w:t>《交银施罗德瑞思混合型证券投资基金（LOF）托管协议》、</w:t>
      </w:r>
    </w:p>
    <w:p>
      <w:pPr>
        <w:ind w:firstLine="420"/>
        <w:jc w:val="left"/>
        <w:rPr>
          <w:rFonts w:ascii="仿宋_GB2312" w:eastAsia="仿宋_GB2312"/>
          <w:szCs w:val="21"/>
        </w:rPr>
      </w:pPr>
      <w:r>
        <w:rPr>
          <w:rFonts w:hint="eastAsia" w:ascii="仿宋_GB2312" w:eastAsia="仿宋_GB2312"/>
          <w:szCs w:val="21"/>
        </w:rPr>
        <w:t>《交银施罗德瑞思混合型证券投资基金（LOF）招募说明书》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50854"/>
    <w:rsid w:val="00DB319C"/>
    <w:rsid w:val="00E51B6D"/>
    <w:rsid w:val="00F75715"/>
    <w:rsid w:val="00F811C4"/>
    <w:rsid w:val="00FC2918"/>
    <w:rsid w:val="27A11D0E"/>
    <w:rsid w:val="2C897F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839</Words>
  <Characters>4786</Characters>
  <Lines>39</Lines>
  <Paragraphs>11</Paragraphs>
  <TotalTime>1</TotalTime>
  <ScaleCrop>false</ScaleCrop>
  <LinksUpToDate>false</LinksUpToDate>
  <CharactersWithSpaces>5614</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2026-06-23T08:20:00Z</dcterms:created>
  <dc:creator>Cc</dc:creator>
  <cp:lastModifiedBy>haotingting</cp:lastModifiedBy>
  <dcterms:modified xsi:type="dcterms:W3CDTF">2026-06-30T06:24:38Z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2A4FEDFCD7914319AC78E4E712B31152</vt:lpwstr>
  </property>
</Properties>
</file>