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交银施罗德中高等级信用债债券型证券投资基金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交银中高等级信用债债券</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2020-07-28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连端清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2022-07-06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中高等级信用债债券型证券投资基金由交银施罗德理财21天债券型证券投资基金转型而来，上述基金转型于2020年7月28日正式实施，自基金转型实施日起，《交银施罗德理财21天债券型证券投资基金基金合同》失效且《交银施罗德中高等级信用债债券型证券投资基金基金合同》同时生效，交银施罗德理财21天债券型证券投资基金正式变更为交银施罗德中高等级信用债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本基金主要投资于中高等级信用债，力争持续稳定地实现超越业绩比较基准的投资回报。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中高等级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判断结果为准。</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中债高信用等级债券财富指数收益率×95%＋人民币银行活期存款利率（税后）×5%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详见《交银施罗德中高等级信用债债券型证券投资基金招募说明书》“基金的投资”。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2、本基金于2020年7月28日转型，转型当年净值增长率按实际存续期计算。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其中投资于中高等级信用债的比例不低于非现金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（4）基金合同提前终止风险。连续五十个工作日出现基金份额持有人数量不满200人或者基金资产净值低于5000万元情形的，基金管理人提前终止基金合同，不需召开基金份额持有人大会。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●《交银施罗德中高等级信用债债券型证券投资基金基金合同》、</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《交银施罗德中高等级信用债债券型证券投资基金托管协议》、</w:t>
      </w:r>
    </w:p>
    <w:p>
      <w:pPr>
        <w:ind w:firstLine="420"/>
        <w:jc w:val="left"/>
        <w:rPr>
          <w:rFonts w:ascii="仿宋_GB2312" w:eastAsia="仿宋_GB2312"/>
          <w:szCs w:val="21"/>
        </w:rPr>
      </w:pPr>
      <w:r>
        <w:rPr>
          <w:rFonts w:hint="eastAsia" w:ascii="仿宋_GB2312" w:eastAsia="仿宋_GB2312"/>
          <w:szCs w:val="21"/>
        </w:rPr>
        <w:t>《交银施罗德中高等级信用债债券型证券投资基金招募说明书》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518A0"/>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A0A7FF2"/>
    <w:rsid w:val="67DF3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685</Words>
  <Characters>3911</Characters>
  <Lines>32</Lines>
  <Paragraphs>9</Paragraphs>
  <TotalTime>7</TotalTime>
  <ScaleCrop>false</ScaleCrop>
  <LinksUpToDate>false</LinksUpToDate>
  <CharactersWithSpaces>4587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2026-07-01T07:50:20Z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4168B853DB4F45C08C5CB2F6AFFD7961</vt:lpwstr>
  </property>
</Properties>
</file>