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2"/>
        <w:gridCol w:w="1575"/>
        <w:gridCol w:w="3279"/>
        <w:gridCol w:w="191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013787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C类基金份额的基金简称变更为“交银智选星光混合（FOF-LOF）C”，基金代码仍为“013787”。</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合同生效后一年之内（含一年）为封闭期，在此期间投资者不能申购、赎回基金份额。本基金封闭期结束转为开放式运作后，投资人方可进行C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D0046"/>
    <w:rsid w:val="00F75715"/>
    <w:rsid w:val="00F811C4"/>
    <w:rsid w:val="00FC2918"/>
    <w:rsid w:val="43051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951</Words>
  <Characters>5427</Characters>
  <Lines>45</Lines>
  <Paragraphs>12</Paragraphs>
  <TotalTime>0</TotalTime>
  <ScaleCrop>false</ScaleCrop>
  <LinksUpToDate>false</LinksUpToDate>
  <CharactersWithSpaces>6366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2026-06-26T02:23:00Z</dcterms:created>
  <dc:creator>Cc</dc:creator>
  <cp:lastModifiedBy>haotingting</cp:lastModifiedBy>
  <dcterms:modified xsi:type="dcterms:W3CDTF">2026-06-30T08:59:37Z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A87580FA0CC14A3DA15A43962F472082</vt:lpwstr>
  </property>
</Properties>
</file>