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交银施罗德荣鑫灵活配置混合型证券投资基金（A类份额）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交银荣鑫灵活配置混合A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519766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中国民生银行股份有限公司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2019-03-29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刘庆祥</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2026-02-13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2016-04-01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荣鑫灵活配置混合型证券投资基金由交银施罗德荣鑫保本混合型证券投资基金转型而来，上述基金转型于2019年3月29日正式实施，自基金转型实施日起，《交银施罗德荣鑫保本混合型证券投资基金基金合同》失效且《交银施罗德荣鑫灵活配置混合型证券投资基金基金合同》同时生效，交银施罗德荣鑫保本混合型证券投资基金正式变更为交银施罗德荣鑫灵活配置混合型证券投资基金。</w:t>
            </w:r>
          </w:p>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在严格控制投资风险和保持资产流动性的基础上，力争实现基金资产的长期稳定增值。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股票资产按照基金所持有的股票市值以及买入、卖出股指期货合约价值合计（轧差计算)；权证的投资比例不超过基金资产净值的3%；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将结合宏观经济环境、政策形势、证券市场走势的综合分析，自上而下灵活配置大类资产，精选投资标的，合理确定基金在股票、债券等各类资产类别上的投资比例，同时进行高效的流动性管理，获得稳健投资收益。</w:t>
            </w:r>
          </w:p>
          <w:p>
            <w:pPr>
              <w:ind w:firstLine="420"/>
              <w:jc w:val="left"/>
              <w:rPr>
                <w:rFonts w:ascii="仿宋_GB2312" w:eastAsia="仿宋_GB2312"/>
                <w:szCs w:val="21"/>
              </w:rPr>
            </w:pPr>
            <w:r>
              <w:rPr>
                <w:rFonts w:hint="eastAsia" w:ascii="仿宋_GB2312" w:eastAsia="仿宋_GB2312"/>
                <w:szCs w:val="21"/>
              </w:rPr>
              <w:t>1、资产配置策略；2、股票投资策略；3、债券投资策略；4、权证投资策略；5、资产支持证券投资；6、股指期货投资。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沪深300指数收益率×50%+中债综合全价指数收益率×50%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详见《交银施罗德荣鑫灵活配置混合型证券投资基金招募说明书》“基金的投资”。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2、本基金于2019年3月28日转型，转型当年净值增长率按实际存续期计算。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3、本基金业绩比较基准自2019年3月28日起，由“三年期银行定期存款税后收益率”变更为“沪深300指数收益率×50%+中债综合全价指数收益率×50%”。</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●《交银施罗德荣鑫灵活配置混合型证券投资基金基金合同》、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《交银施罗德荣鑫灵活配置混合型证券投资基金托管协议》、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《交银施罗德荣鑫灵活配置混合型证券投资基金招募说明书》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DC4930"/>
    <w:rsid w:val="00E51B6D"/>
    <w:rsid w:val="00F75715"/>
    <w:rsid w:val="00F811C4"/>
    <w:rsid w:val="00FC2918"/>
    <w:rsid w:val="043D53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764</Words>
  <Characters>4360</Characters>
  <Lines>36</Lines>
  <Paragraphs>10</Paragraphs>
  <TotalTime>22</TotalTime>
  <ScaleCrop>false</ScaleCrop>
  <LinksUpToDate>false</LinksUpToDate>
  <CharactersWithSpaces>5114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2026-06-23T08:20:00Z</dcterms:created>
  <dc:creator>Cc</dc:creator>
  <cp:lastModifiedBy>haotingting</cp:lastModifiedBy>
  <dcterms:modified xsi:type="dcterms:W3CDTF">2026-06-30T05:55:38Z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B65A842EB9864F67B7E0DFE1A6FC0F75</vt:lpwstr>
  </property>
</Properties>
</file>