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954C21">
      <w:pPr>
        <w:spacing w:line="360" w:lineRule="auto"/>
        <w:rPr>
          <w:sz w:val="32"/>
        </w:rPr>
      </w:pPr>
    </w:p>
    <w:p w14:paraId="3C5D0F96">
      <w:pPr>
        <w:spacing w:line="360" w:lineRule="auto"/>
        <w:rPr>
          <w:sz w:val="32"/>
        </w:rPr>
      </w:pPr>
    </w:p>
    <w:p w14:paraId="7F3EBFFE">
      <w:pPr>
        <w:spacing w:line="360" w:lineRule="auto"/>
        <w:rPr>
          <w:sz w:val="32"/>
        </w:rPr>
      </w:pPr>
    </w:p>
    <w:p w14:paraId="4FC3F5F7">
      <w:pPr>
        <w:spacing w:line="360" w:lineRule="auto"/>
        <w:jc w:val="center"/>
      </w:pPr>
    </w:p>
    <w:p w14:paraId="6EAFFAEE">
      <w:pPr>
        <w:spacing w:line="360" w:lineRule="auto"/>
        <w:jc w:val="center"/>
        <w:rPr>
          <w:sz w:val="32"/>
        </w:rPr>
      </w:pPr>
    </w:p>
    <w:p w14:paraId="223FE889">
      <w:pPr>
        <w:spacing w:line="360" w:lineRule="auto"/>
        <w:jc w:val="center"/>
        <w:rPr>
          <w:b/>
          <w:sz w:val="32"/>
        </w:rPr>
      </w:pPr>
    </w:p>
    <w:p w14:paraId="637174C8">
      <w:pPr>
        <w:spacing w:line="360" w:lineRule="auto"/>
        <w:jc w:val="center"/>
        <w:rPr>
          <w:b/>
          <w:sz w:val="32"/>
        </w:rPr>
      </w:pPr>
    </w:p>
    <w:p w14:paraId="4AD2FB1A">
      <w:pPr>
        <w:spacing w:line="360" w:lineRule="auto"/>
        <w:rPr>
          <w:b/>
          <w:sz w:val="44"/>
        </w:rPr>
      </w:pPr>
    </w:p>
    <w:p w14:paraId="0A8A8BB1">
      <w:pPr>
        <w:adjustRightInd w:val="0"/>
        <w:snapToGrid w:val="0"/>
        <w:spacing w:line="360" w:lineRule="auto"/>
        <w:jc w:val="center"/>
        <w:rPr>
          <w:rFonts w:hAnsi="宋体"/>
          <w:b/>
          <w:sz w:val="44"/>
        </w:rPr>
      </w:pPr>
      <w:r>
        <w:rPr>
          <w:rFonts w:hAnsi="宋体"/>
          <w:b/>
          <w:sz w:val="44"/>
        </w:rPr>
        <w:t>交银施罗德佳宁债券型证券投资基金</w:t>
      </w:r>
    </w:p>
    <w:p w14:paraId="2410AC02">
      <w:pPr>
        <w:adjustRightInd w:val="0"/>
        <w:snapToGrid w:val="0"/>
        <w:spacing w:line="360" w:lineRule="auto"/>
        <w:jc w:val="center"/>
        <w:rPr>
          <w:sz w:val="24"/>
        </w:rPr>
      </w:pPr>
      <w:r>
        <w:rPr>
          <w:rFonts w:hAnsi="宋体"/>
          <w:b/>
          <w:sz w:val="44"/>
        </w:rPr>
        <w:t>招募说明书</w:t>
      </w:r>
    </w:p>
    <w:p w14:paraId="020A3056">
      <w:pPr>
        <w:spacing w:line="360" w:lineRule="auto"/>
        <w:rPr>
          <w:b/>
          <w:sz w:val="28"/>
        </w:rPr>
      </w:pPr>
    </w:p>
    <w:p w14:paraId="16372221">
      <w:pPr>
        <w:spacing w:line="360" w:lineRule="auto"/>
        <w:jc w:val="center"/>
        <w:rPr>
          <w:b/>
          <w:sz w:val="28"/>
        </w:rPr>
      </w:pPr>
    </w:p>
    <w:p w14:paraId="2F0F61FB">
      <w:pPr>
        <w:spacing w:line="360" w:lineRule="auto"/>
        <w:rPr>
          <w:b/>
          <w:sz w:val="28"/>
        </w:rPr>
      </w:pPr>
    </w:p>
    <w:p w14:paraId="2494C18D">
      <w:pPr>
        <w:spacing w:line="360" w:lineRule="auto"/>
        <w:rPr>
          <w:b/>
          <w:sz w:val="28"/>
        </w:rPr>
      </w:pPr>
    </w:p>
    <w:p w14:paraId="152E8011">
      <w:pPr>
        <w:spacing w:line="360" w:lineRule="auto"/>
        <w:rPr>
          <w:b/>
          <w:sz w:val="28"/>
        </w:rPr>
      </w:pPr>
    </w:p>
    <w:p w14:paraId="1B25E4D3">
      <w:pPr>
        <w:spacing w:line="360" w:lineRule="auto"/>
        <w:rPr>
          <w:b/>
          <w:sz w:val="28"/>
        </w:rPr>
      </w:pPr>
    </w:p>
    <w:p w14:paraId="6031B03B">
      <w:pPr>
        <w:spacing w:line="360" w:lineRule="auto"/>
        <w:ind w:left="1978" w:leftChars="942"/>
        <w:rPr>
          <w:b/>
          <w:sz w:val="28"/>
        </w:rPr>
      </w:pPr>
      <w:r>
        <w:rPr>
          <w:rFonts w:hAnsi="宋体"/>
          <w:b/>
          <w:sz w:val="28"/>
        </w:rPr>
        <w:t>基金管理人：交银施罗德基金管理有限公司</w:t>
      </w:r>
    </w:p>
    <w:p w14:paraId="72D82F1D">
      <w:pPr>
        <w:spacing w:line="360" w:lineRule="auto"/>
        <w:ind w:left="1978" w:leftChars="942"/>
        <w:rPr>
          <w:b/>
          <w:sz w:val="28"/>
        </w:rPr>
      </w:pPr>
      <w:r>
        <w:rPr>
          <w:rFonts w:hAnsi="宋体"/>
          <w:b/>
          <w:sz w:val="28"/>
        </w:rPr>
        <w:t>基金托管人：</w:t>
      </w:r>
      <w:r>
        <w:rPr>
          <w:rFonts w:hint="eastAsia" w:hAnsi="宋体"/>
          <w:b/>
          <w:sz w:val="28"/>
        </w:rPr>
        <w:t>中信银行股份有限公司</w:t>
      </w:r>
    </w:p>
    <w:p w14:paraId="697B964C">
      <w:pPr>
        <w:widowControl/>
        <w:spacing w:line="360" w:lineRule="auto"/>
        <w:ind w:firstLine="420" w:firstLineChars="200"/>
        <w:rPr>
          <w:rFonts w:ascii="宋体" w:hAnsi="宋体"/>
          <w:kern w:val="0"/>
        </w:rPr>
      </w:pPr>
    </w:p>
    <w:p w14:paraId="4E639063">
      <w:pPr>
        <w:widowControl/>
        <w:spacing w:line="360" w:lineRule="auto"/>
        <w:ind w:firstLine="420" w:firstLineChars="200"/>
        <w:rPr>
          <w:rFonts w:ascii="宋体" w:hAnsi="宋体"/>
          <w:kern w:val="0"/>
        </w:rPr>
      </w:pPr>
    </w:p>
    <w:p w14:paraId="6E801243">
      <w:pPr>
        <w:autoSpaceDE w:val="0"/>
        <w:autoSpaceDN w:val="0"/>
        <w:spacing w:line="360" w:lineRule="auto"/>
        <w:ind w:left="2996" w:hanging="2996"/>
        <w:jc w:val="center"/>
        <w:textAlignment w:val="bottom"/>
        <w:rPr>
          <w:rFonts w:hAnsi="宋体"/>
          <w:b/>
          <w:sz w:val="28"/>
        </w:rPr>
      </w:pPr>
      <w:r>
        <w:rPr>
          <w:rFonts w:hAnsi="宋体"/>
          <w:b/>
          <w:sz w:val="28"/>
        </w:rPr>
        <w:t>二〇二</w:t>
      </w:r>
      <w:r>
        <w:rPr>
          <w:rFonts w:hint="eastAsia" w:hAnsi="宋体"/>
          <w:b/>
          <w:sz w:val="28"/>
          <w:lang w:val="en-US" w:eastAsia="zh-CN"/>
        </w:rPr>
        <w:t>六</w:t>
      </w:r>
      <w:r>
        <w:rPr>
          <w:rFonts w:hAnsi="宋体"/>
          <w:b/>
          <w:sz w:val="28"/>
        </w:rPr>
        <w:t>年</w:t>
      </w:r>
      <w:r>
        <w:rPr>
          <w:rFonts w:hint="eastAsia" w:hAnsi="宋体"/>
          <w:b/>
          <w:sz w:val="28"/>
          <w:lang w:val="en-US" w:eastAsia="zh-CN"/>
        </w:rPr>
        <w:t>六</w:t>
      </w:r>
      <w:r>
        <w:rPr>
          <w:rFonts w:hAnsi="宋体"/>
          <w:b/>
          <w:sz w:val="28"/>
        </w:rPr>
        <w:t>月</w:t>
      </w:r>
    </w:p>
    <w:p w14:paraId="4FFAC44B">
      <w:pPr>
        <w:autoSpaceDE w:val="0"/>
        <w:autoSpaceDN w:val="0"/>
        <w:spacing w:line="360" w:lineRule="auto"/>
        <w:ind w:left="2996" w:hanging="2996"/>
        <w:jc w:val="center"/>
        <w:textAlignment w:val="bottom"/>
        <w:rPr>
          <w:rFonts w:hAnsi="宋体"/>
          <w:b/>
          <w:sz w:val="28"/>
        </w:rPr>
      </w:pPr>
    </w:p>
    <w:p w14:paraId="310CA1D1">
      <w:pPr>
        <w:widowControl/>
        <w:spacing w:line="360" w:lineRule="auto"/>
        <w:jc w:val="center"/>
        <w:rPr>
          <w:rFonts w:ascii="宋体" w:hAnsi="宋体"/>
          <w:b/>
          <w:kern w:val="0"/>
          <w:sz w:val="30"/>
        </w:rPr>
      </w:pPr>
      <w:r>
        <w:rPr>
          <w:rFonts w:hint="eastAsia" w:ascii="宋体" w:hAnsi="宋体"/>
          <w:b/>
          <w:kern w:val="0"/>
          <w:sz w:val="30"/>
        </w:rPr>
        <w:t>【</w:t>
      </w:r>
      <w:r>
        <w:rPr>
          <w:rFonts w:ascii="宋体" w:hAnsi="宋体"/>
          <w:b/>
          <w:kern w:val="0"/>
          <w:sz w:val="30"/>
        </w:rPr>
        <w:t>重要提示】</w:t>
      </w:r>
    </w:p>
    <w:p w14:paraId="605ED6C1">
      <w:pPr>
        <w:widowControl/>
        <w:adjustRightInd w:val="0"/>
        <w:snapToGrid w:val="0"/>
        <w:spacing w:line="360" w:lineRule="auto"/>
        <w:ind w:firstLine="480" w:firstLineChars="200"/>
        <w:rPr>
          <w:kern w:val="0"/>
          <w:sz w:val="24"/>
        </w:rPr>
      </w:pPr>
      <w:r>
        <w:rPr>
          <w:kern w:val="0"/>
          <w:sz w:val="24"/>
        </w:rPr>
        <w:t>交银施罗德佳宁债券型证券投资基金（以下简称</w:t>
      </w:r>
      <w:r>
        <w:rPr>
          <w:rFonts w:ascii="宋体" w:hAnsi="宋体"/>
          <w:kern w:val="0"/>
          <w:sz w:val="24"/>
        </w:rPr>
        <w:t>“本基金”</w:t>
      </w:r>
      <w:r>
        <w:rPr>
          <w:rFonts w:hAnsi="宋体"/>
          <w:kern w:val="0"/>
          <w:sz w:val="24"/>
        </w:rPr>
        <w:t>）经</w:t>
      </w:r>
      <w:r>
        <w:rPr>
          <w:kern w:val="0"/>
          <w:sz w:val="24"/>
        </w:rPr>
        <w:t>202</w:t>
      </w:r>
      <w:r>
        <w:rPr>
          <w:rFonts w:hint="eastAsia"/>
          <w:kern w:val="0"/>
          <w:sz w:val="24"/>
          <w:lang w:val="en-US" w:eastAsia="zh-CN"/>
        </w:rPr>
        <w:t>6</w:t>
      </w:r>
      <w:r>
        <w:rPr>
          <w:rFonts w:hAnsi="宋体"/>
          <w:kern w:val="0"/>
          <w:sz w:val="24"/>
        </w:rPr>
        <w:t>年</w:t>
      </w:r>
      <w:r>
        <w:rPr>
          <w:rFonts w:hint="eastAsia" w:hAnsi="宋体"/>
          <w:kern w:val="0"/>
          <w:sz w:val="24"/>
          <w:lang w:val="en-US" w:eastAsia="zh-CN"/>
        </w:rPr>
        <w:t>4</w:t>
      </w:r>
      <w:r>
        <w:rPr>
          <w:rFonts w:hint="eastAsia" w:hAnsi="宋体"/>
          <w:kern w:val="0"/>
          <w:sz w:val="24"/>
        </w:rPr>
        <w:t>月</w:t>
      </w:r>
      <w:r>
        <w:rPr>
          <w:rFonts w:hint="eastAsia" w:hAnsi="宋体"/>
          <w:kern w:val="0"/>
          <w:sz w:val="24"/>
          <w:lang w:val="en-US" w:eastAsia="zh-CN"/>
        </w:rPr>
        <w:t>22</w:t>
      </w:r>
      <w:r>
        <w:rPr>
          <w:rFonts w:hAnsi="宋体"/>
          <w:kern w:val="0"/>
          <w:sz w:val="24"/>
        </w:rPr>
        <w:t>日中国证券监督管理委员会（以下简称</w:t>
      </w:r>
      <w:r>
        <w:rPr>
          <w:rFonts w:ascii="宋体" w:hAnsi="宋体"/>
          <w:kern w:val="0"/>
          <w:sz w:val="24"/>
        </w:rPr>
        <w:t>“中国证监会”</w:t>
      </w:r>
      <w:r>
        <w:rPr>
          <w:rFonts w:hAnsi="宋体"/>
          <w:kern w:val="0"/>
          <w:sz w:val="24"/>
        </w:rPr>
        <w:t>）证监许可【</w:t>
      </w:r>
      <w:r>
        <w:rPr>
          <w:kern w:val="0"/>
          <w:sz w:val="24"/>
        </w:rPr>
        <w:t>202</w:t>
      </w:r>
      <w:r>
        <w:rPr>
          <w:rFonts w:hint="eastAsia"/>
          <w:kern w:val="0"/>
          <w:sz w:val="24"/>
          <w:lang w:val="en-US" w:eastAsia="zh-CN"/>
        </w:rPr>
        <w:t>6</w:t>
      </w:r>
      <w:r>
        <w:rPr>
          <w:rFonts w:hAnsi="宋体"/>
          <w:kern w:val="0"/>
          <w:sz w:val="24"/>
        </w:rPr>
        <w:t>】</w:t>
      </w:r>
      <w:r>
        <w:rPr>
          <w:rFonts w:hint="eastAsia" w:hAnsi="宋体"/>
          <w:kern w:val="0"/>
          <w:sz w:val="24"/>
          <w:lang w:val="en-US" w:eastAsia="zh-CN"/>
        </w:rPr>
        <w:t>963</w:t>
      </w:r>
      <w:r>
        <w:rPr>
          <w:rFonts w:hAnsi="宋体"/>
          <w:kern w:val="0"/>
          <w:sz w:val="24"/>
        </w:rPr>
        <w:t>号文</w:t>
      </w:r>
      <w:r>
        <w:rPr>
          <w:rFonts w:hint="eastAsia" w:hAnsi="宋体"/>
          <w:kern w:val="0"/>
          <w:sz w:val="24"/>
        </w:rPr>
        <w:t>准予</w:t>
      </w:r>
      <w:r>
        <w:rPr>
          <w:rFonts w:hAnsi="宋体"/>
          <w:kern w:val="0"/>
          <w:sz w:val="24"/>
        </w:rPr>
        <w:t>募集</w:t>
      </w:r>
      <w:r>
        <w:rPr>
          <w:rFonts w:hint="eastAsia" w:hAnsi="宋体"/>
          <w:kern w:val="0"/>
          <w:sz w:val="24"/>
        </w:rPr>
        <w:t>注册</w:t>
      </w:r>
      <w:r>
        <w:rPr>
          <w:rFonts w:hAnsi="宋体"/>
          <w:kern w:val="0"/>
          <w:sz w:val="24"/>
        </w:rPr>
        <w:t>。</w:t>
      </w:r>
    </w:p>
    <w:p w14:paraId="5A89CB1A">
      <w:pPr>
        <w:widowControl/>
        <w:adjustRightInd w:val="0"/>
        <w:snapToGrid w:val="0"/>
        <w:spacing w:line="360" w:lineRule="auto"/>
        <w:ind w:firstLine="480" w:firstLineChars="20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14:paraId="3E6B7AC7">
      <w:pPr>
        <w:widowControl/>
        <w:adjustRightInd w:val="0"/>
        <w:snapToGrid w:val="0"/>
        <w:spacing w:line="360" w:lineRule="auto"/>
        <w:ind w:firstLine="480" w:firstLineChars="200"/>
        <w:rPr>
          <w:kern w:val="0"/>
          <w:sz w:val="24"/>
        </w:rPr>
      </w:pPr>
      <w:r>
        <w:rPr>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14:paraId="78417AA8">
      <w:pPr>
        <w:widowControl/>
        <w:adjustRightInd w:val="0"/>
        <w:snapToGrid w:val="0"/>
        <w:spacing w:line="360" w:lineRule="auto"/>
        <w:ind w:firstLine="480" w:firstLineChars="200"/>
        <w:rPr>
          <w:rFonts w:hAnsi="宋体"/>
          <w:sz w:val="24"/>
        </w:rPr>
      </w:pPr>
      <w:r>
        <w:rPr>
          <w:kern w:val="0"/>
          <w:sz w:val="24"/>
        </w:rPr>
        <w:t>本基金投资于证券市场，</w:t>
      </w:r>
      <w:r>
        <w:rPr>
          <w:rFonts w:hint="eastAsia"/>
          <w:kern w:val="0"/>
          <w:sz w:val="24"/>
        </w:rPr>
        <w:t>基金净值会因为证券市场波动等因素产生波动。</w:t>
      </w:r>
      <w:r>
        <w:rPr>
          <w:kern w:val="0"/>
          <w:sz w:val="24"/>
        </w:rPr>
        <w:t>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kern w:val="0"/>
          <w:sz w:val="24"/>
        </w:rPr>
        <w:t>基金</w:t>
      </w:r>
      <w:r>
        <w:rPr>
          <w:kern w:val="0"/>
          <w:sz w:val="24"/>
        </w:rPr>
        <w:t>份额享受基金的收益，但同时也需承担相应的投资风险。投资本基金可能遇到的风险包括：</w:t>
      </w:r>
      <w:r>
        <w:rPr>
          <w:rFonts w:ascii="宋体" w:hAnsi="宋体"/>
          <w:kern w:val="0"/>
          <w:sz w:val="24"/>
        </w:rPr>
        <w:t>因受到经济因素、政治因素、投资心理和交易制度等各种因素的影响而引起的</w:t>
      </w:r>
      <w:r>
        <w:rPr>
          <w:rFonts w:hint="eastAsia" w:ascii="宋体" w:hAnsi="宋体"/>
          <w:kern w:val="0"/>
          <w:sz w:val="24"/>
        </w:rPr>
        <w:t>市场风险；基金管理人在基金管理运作过程中产生的基金管理风险；流动性风险（包括</w:t>
      </w:r>
      <w:r>
        <w:rPr>
          <w:rFonts w:ascii="宋体" w:hAnsi="宋体"/>
          <w:kern w:val="0"/>
          <w:sz w:val="24"/>
        </w:rPr>
        <w:t>实施侧袋机制时的特定风险</w:t>
      </w:r>
      <w:r>
        <w:rPr>
          <w:rFonts w:hint="eastAsia" w:ascii="宋体" w:hAnsi="宋体"/>
          <w:kern w:val="0"/>
          <w:sz w:val="24"/>
        </w:rPr>
        <w:t>）；信用风险；本基金的特有风险；本基金法律文件风险收益特征表述与销售机构基金风险评价可能不一致的风险；投资本基金的其他风险等等</w:t>
      </w:r>
      <w:r>
        <w:rPr>
          <w:kern w:val="0"/>
          <w:sz w:val="24"/>
        </w:rPr>
        <w:t>。</w:t>
      </w:r>
    </w:p>
    <w:p w14:paraId="0B333694">
      <w:pPr>
        <w:widowControl/>
        <w:adjustRightInd w:val="0"/>
        <w:snapToGrid w:val="0"/>
        <w:spacing w:line="360" w:lineRule="auto"/>
        <w:ind w:firstLine="480" w:firstLineChars="200"/>
        <w:rPr>
          <w:rFonts w:hAnsi="宋体"/>
          <w:sz w:val="24"/>
        </w:rPr>
      </w:pPr>
      <w:r>
        <w:rPr>
          <w:rFonts w:hint="eastAsia" w:hAnsi="宋体"/>
          <w:sz w:val="24"/>
        </w:rPr>
        <w:t>本基金是一只债券型基金，其预期风险与预期收益理论上高于货币市场基金，低于混合型基金和股票型基金。</w:t>
      </w:r>
    </w:p>
    <w:p w14:paraId="75C1E63B">
      <w:pPr>
        <w:widowControl/>
        <w:adjustRightInd w:val="0"/>
        <w:snapToGrid w:val="0"/>
        <w:spacing w:line="360" w:lineRule="auto"/>
        <w:ind w:firstLine="480" w:firstLineChars="200"/>
        <w:rPr>
          <w:rFonts w:hAnsi="宋体"/>
          <w:sz w:val="24"/>
        </w:rPr>
      </w:pPr>
      <w:r>
        <w:rPr>
          <w:rFonts w:hint="eastAsia"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16366630">
      <w:pPr>
        <w:widowControl/>
        <w:adjustRightInd w:val="0"/>
        <w:snapToGrid w:val="0"/>
        <w:spacing w:line="360" w:lineRule="auto"/>
        <w:ind w:firstLine="480" w:firstLineChars="200"/>
        <w:rPr>
          <w:rFonts w:hAnsi="宋体"/>
          <w:sz w:val="24"/>
        </w:rPr>
      </w:pPr>
      <w:r>
        <w:rPr>
          <w:rFonts w:hint="eastAsia" w:hAnsi="宋体"/>
          <w:sz w:val="24"/>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710253DA">
      <w:pPr>
        <w:widowControl/>
        <w:adjustRightInd w:val="0"/>
        <w:snapToGrid w:val="0"/>
        <w:spacing w:line="360" w:lineRule="auto"/>
        <w:ind w:firstLine="480" w:firstLineChars="200"/>
        <w:rPr>
          <w:rFonts w:hAnsi="宋体"/>
          <w:sz w:val="24"/>
        </w:rPr>
      </w:pPr>
      <w:r>
        <w:rPr>
          <w:rFonts w:hint="eastAsia" w:hAnsi="宋体"/>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w:t>
      </w:r>
      <w:r>
        <w:rPr>
          <w:rFonts w:hAnsi="宋体"/>
          <w:sz w:val="24"/>
        </w:rPr>
        <w:t>风险</w:t>
      </w:r>
      <w:r>
        <w:rPr>
          <w:rFonts w:hint="eastAsia" w:hAnsi="宋体"/>
          <w:sz w:val="24"/>
        </w:rPr>
        <w:t>烦</w:t>
      </w:r>
      <w:r>
        <w:rPr>
          <w:rFonts w:hAnsi="宋体"/>
          <w:sz w:val="24"/>
        </w:rPr>
        <w:t>请</w:t>
      </w:r>
      <w:r>
        <w:rPr>
          <w:rFonts w:hint="eastAsia" w:hAnsi="宋体"/>
          <w:sz w:val="24"/>
        </w:rPr>
        <w:t>查阅</w:t>
      </w:r>
      <w:r>
        <w:rPr>
          <w:rFonts w:hAnsi="宋体"/>
          <w:sz w:val="24"/>
        </w:rPr>
        <w:t>本基金招募说明书</w:t>
      </w:r>
      <w:r>
        <w:rPr>
          <w:rFonts w:hint="eastAsia" w:hAnsi="宋体"/>
          <w:sz w:val="24"/>
        </w:rPr>
        <w:t>的</w:t>
      </w:r>
      <w:r>
        <w:rPr>
          <w:rFonts w:hAnsi="宋体"/>
          <w:sz w:val="24"/>
        </w:rPr>
        <w:t>“风险揭示”章节的具体内容。</w:t>
      </w:r>
    </w:p>
    <w:p w14:paraId="093F3FD5">
      <w:pPr>
        <w:widowControl/>
        <w:adjustRightInd w:val="0"/>
        <w:snapToGrid w:val="0"/>
        <w:spacing w:line="360" w:lineRule="auto"/>
        <w:ind w:firstLine="480" w:firstLineChars="200"/>
        <w:rPr>
          <w:rFonts w:hAnsi="宋体"/>
          <w:sz w:val="24"/>
        </w:rPr>
      </w:pPr>
      <w:r>
        <w:rPr>
          <w:rFonts w:hint="eastAsia" w:hAnsi="宋体"/>
          <w:sz w:val="24"/>
          <w:lang w:val="en-US" w:eastAsia="zh-CN"/>
        </w:rPr>
        <w:t>本</w:t>
      </w:r>
      <w:r>
        <w:rPr>
          <w:rFonts w:hint="eastAsia" w:hAnsi="宋体"/>
          <w:sz w:val="24"/>
        </w:rPr>
        <w:t>基金可根据投资策略需要或不同配置地市场环境的变化，选择将部分基金资产投资于港股</w:t>
      </w:r>
      <w:r>
        <w:rPr>
          <w:rFonts w:hint="eastAsia"/>
          <w:bCs/>
          <w:sz w:val="24"/>
        </w:rPr>
        <w:t>通标的股票</w:t>
      </w:r>
      <w:r>
        <w:rPr>
          <w:rFonts w:hint="eastAsia" w:hAnsi="宋体"/>
          <w:sz w:val="24"/>
        </w:rPr>
        <w:t>或选择不将基金资产投资于港股</w:t>
      </w:r>
      <w:r>
        <w:rPr>
          <w:rFonts w:hint="eastAsia"/>
          <w:bCs/>
          <w:sz w:val="24"/>
        </w:rPr>
        <w:t>通标的股票</w:t>
      </w:r>
      <w:r>
        <w:rPr>
          <w:rFonts w:hint="eastAsia" w:hAnsi="宋体"/>
          <w:sz w:val="24"/>
        </w:rPr>
        <w:t>，基金资产并非必然投资港股</w:t>
      </w:r>
      <w:r>
        <w:rPr>
          <w:rFonts w:hint="eastAsia"/>
          <w:bCs/>
          <w:sz w:val="24"/>
        </w:rPr>
        <w:t>通标的股票</w:t>
      </w:r>
      <w:r>
        <w:rPr>
          <w:rFonts w:hint="eastAsia" w:hAnsi="宋体"/>
          <w:sz w:val="24"/>
        </w:rPr>
        <w:t>。</w:t>
      </w:r>
    </w:p>
    <w:p w14:paraId="78081070">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14:paraId="7EE7DA46">
      <w:pPr>
        <w:widowControl/>
        <w:adjustRightInd w:val="0"/>
        <w:snapToGrid w:val="0"/>
        <w:spacing w:line="360" w:lineRule="auto"/>
        <w:ind w:firstLine="480" w:firstLineChars="200"/>
        <w:rPr>
          <w:rFonts w:hAnsi="宋体"/>
          <w:bCs/>
          <w:sz w:val="24"/>
        </w:rPr>
      </w:pPr>
      <w:r>
        <w:rPr>
          <w:rFonts w:hint="eastAsia" w:hAnsi="宋体"/>
          <w:bCs/>
          <w:sz w:val="24"/>
          <w:lang w:val="en-US" w:eastAsia="zh-CN"/>
        </w:rPr>
        <w:t>本</w:t>
      </w:r>
      <w:r>
        <w:rPr>
          <w:rFonts w:hint="eastAsia" w:hAnsi="宋体"/>
          <w:bCs/>
          <w:sz w:val="24"/>
        </w:rPr>
        <w:t>基金可根据投资策略需要或市场环境的变化，选择将部分基金资产投资于科创板股票或选择不将基金资产投资于科创板股票，基金资产并非必然投资于科创板股票。</w:t>
      </w:r>
    </w:p>
    <w:p w14:paraId="07EDAEF5">
      <w:pPr>
        <w:widowControl/>
        <w:adjustRightInd w:val="0"/>
        <w:snapToGrid w:val="0"/>
        <w:spacing w:line="360" w:lineRule="auto"/>
        <w:ind w:firstLine="480" w:firstLineChars="200"/>
        <w:rPr>
          <w:rFonts w:hint="eastAsia" w:ascii="宋体" w:hAnsi="宋体"/>
          <w:kern w:val="0"/>
          <w:sz w:val="24"/>
        </w:rPr>
      </w:pPr>
      <w:r>
        <w:rPr>
          <w:rFonts w:hint="eastAsia" w:hAnsi="宋体"/>
          <w:kern w:val="0"/>
          <w:sz w:val="24"/>
          <w:szCs w:val="24"/>
        </w:rPr>
        <w:t>本基金可以投资</w:t>
      </w:r>
      <w:r>
        <w:rPr>
          <w:rFonts w:hint="eastAsia" w:ascii="宋体" w:hAnsi="宋体"/>
          <w:bCs/>
          <w:sz w:val="24"/>
          <w:szCs w:val="24"/>
        </w:rPr>
        <w:t>经中国证监会依法核准或注册的公开募集证券投资基金（</w:t>
      </w:r>
      <w:r>
        <w:rPr>
          <w:rFonts w:hint="eastAsia" w:ascii="宋体" w:hAnsi="宋体"/>
          <w:bCs/>
          <w:sz w:val="24"/>
          <w:szCs w:val="24"/>
          <w:lang w:val="en-US" w:eastAsia="zh-CN"/>
        </w:rPr>
        <w:t>仅</w:t>
      </w:r>
      <w:r>
        <w:rPr>
          <w:rFonts w:hint="eastAsia" w:ascii="宋体" w:hAnsi="宋体"/>
          <w:bCs/>
          <w:sz w:val="24"/>
          <w:szCs w:val="24"/>
        </w:rPr>
        <w:t>包含全市场的股票型ETF</w:t>
      </w:r>
      <w:r>
        <w:rPr>
          <w:rFonts w:hint="eastAsia"/>
          <w:bCs/>
          <w:sz w:val="24"/>
          <w:lang w:eastAsia="zh-CN"/>
        </w:rPr>
        <w:t>（</w:t>
      </w:r>
      <w:r>
        <w:rPr>
          <w:rFonts w:hint="eastAsia"/>
          <w:bCs/>
          <w:sz w:val="24"/>
          <w:lang w:val="en-US" w:eastAsia="zh-CN"/>
        </w:rPr>
        <w:t>含可投资境外市场的ETF</w:t>
      </w:r>
      <w:r>
        <w:rPr>
          <w:rFonts w:hint="eastAsia"/>
          <w:bCs/>
          <w:sz w:val="24"/>
          <w:lang w:eastAsia="zh-CN"/>
        </w:rPr>
        <w:t>）、</w:t>
      </w:r>
      <w:r>
        <w:rPr>
          <w:rFonts w:hint="eastAsia"/>
          <w:bCs/>
          <w:sz w:val="24"/>
        </w:rPr>
        <w:t>公开募集不动产投资信托基金（以下简称“公募REITs”）</w:t>
      </w:r>
      <w:r>
        <w:rPr>
          <w:rFonts w:hint="eastAsia" w:ascii="宋体" w:hAnsi="宋体"/>
          <w:bCs/>
          <w:sz w:val="24"/>
          <w:szCs w:val="24"/>
        </w:rPr>
        <w:t>及本基金管理人管理的股票型基金、计入权益类资产的混合型基金，不含香港互认基金、QDII基金</w:t>
      </w:r>
      <w:r>
        <w:rPr>
          <w:rFonts w:hint="eastAsia"/>
          <w:bCs/>
          <w:sz w:val="24"/>
          <w:lang w:eastAsia="zh-CN"/>
        </w:rPr>
        <w:t>（</w:t>
      </w:r>
      <w:r>
        <w:rPr>
          <w:rFonts w:hint="eastAsia"/>
          <w:bCs/>
          <w:sz w:val="24"/>
          <w:lang w:val="en-US" w:eastAsia="zh-CN"/>
        </w:rPr>
        <w:t>可投资境外市场的股票型ETF除外</w:t>
      </w:r>
      <w:r>
        <w:rPr>
          <w:rFonts w:hint="eastAsia"/>
          <w:bCs/>
          <w:sz w:val="24"/>
          <w:lang w:eastAsia="zh-CN"/>
        </w:rPr>
        <w:t>）</w:t>
      </w:r>
      <w:r>
        <w:rPr>
          <w:rFonts w:hint="eastAsia" w:ascii="宋体" w:hAnsi="宋体"/>
          <w:bCs/>
          <w:sz w:val="24"/>
          <w:szCs w:val="24"/>
        </w:rPr>
        <w:t>、基金中基金</w:t>
      </w:r>
      <w:r>
        <w:rPr>
          <w:rFonts w:hint="eastAsia" w:ascii="宋体" w:hAnsi="宋体"/>
          <w:bCs/>
          <w:sz w:val="24"/>
          <w:szCs w:val="24"/>
          <w:lang w:val="en-US" w:eastAsia="zh-CN"/>
        </w:rPr>
        <w:t>和</w:t>
      </w:r>
      <w:r>
        <w:rPr>
          <w:rFonts w:hint="eastAsia" w:ascii="宋体" w:hAnsi="宋体"/>
          <w:bCs/>
          <w:sz w:val="24"/>
          <w:szCs w:val="24"/>
        </w:rPr>
        <w:t>其他投资范围包含基金的基金、货币市场基金）</w:t>
      </w:r>
      <w:r>
        <w:rPr>
          <w:rFonts w:hint="eastAsia" w:ascii="宋体" w:hAnsi="宋体"/>
          <w:bCs/>
          <w:sz w:val="24"/>
          <w:szCs w:val="24"/>
          <w:lang w:eastAsia="zh-CN"/>
        </w:rPr>
        <w:t>，</w:t>
      </w:r>
      <w:r>
        <w:rPr>
          <w:rFonts w:hint="eastAsia" w:hAnsi="宋体"/>
          <w:kern w:val="0"/>
          <w:sz w:val="24"/>
          <w:szCs w:val="24"/>
        </w:rPr>
        <w:t>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14:paraId="166EE01B">
      <w:pPr>
        <w:widowControl/>
        <w:adjustRightInd w:val="0"/>
        <w:snapToGrid w:val="0"/>
        <w:spacing w:line="360" w:lineRule="auto"/>
        <w:ind w:firstLine="480" w:firstLineChars="200"/>
        <w:rPr>
          <w:rFonts w:hint="eastAsia" w:hAnsi="宋体"/>
          <w:bCs/>
          <w:sz w:val="24"/>
        </w:rPr>
      </w:pPr>
      <w:r>
        <w:rPr>
          <w:rFonts w:hint="eastAsia" w:hAnsi="宋体"/>
          <w:bCs/>
          <w:sz w:val="24"/>
        </w:rPr>
        <w:t>本基金可投资于公募REITs，可能面临基金价格波动风险、</w:t>
      </w:r>
      <w:r>
        <w:rPr>
          <w:rFonts w:hint="eastAsia" w:hAnsi="宋体"/>
          <w:bCs/>
          <w:sz w:val="24"/>
          <w:lang w:val="en-US" w:eastAsia="zh-CN"/>
        </w:rPr>
        <w:t>不动产</w:t>
      </w:r>
      <w:r>
        <w:rPr>
          <w:rFonts w:hint="eastAsia" w:hAnsi="宋体"/>
          <w:bCs/>
          <w:sz w:val="24"/>
        </w:rPr>
        <w:t>项目运营风险、基金份额交易价格折溢价风险、流动性风险、终止上市风险、政策调整风险、利益冲突风险、估值风险、市场风险等，具体参见本基金招募说明书“风险揭示”章节。本基金根据投资策略需要或市场环境变化，可选择将部分基金资产投资于公募REITs，也可以选择不投资公募REITs。</w:t>
      </w:r>
    </w:p>
    <w:p w14:paraId="693FA928">
      <w:pPr>
        <w:widowControl/>
        <w:adjustRightInd w:val="0"/>
        <w:snapToGrid w:val="0"/>
        <w:spacing w:line="360" w:lineRule="auto"/>
        <w:ind w:firstLine="480" w:firstLineChars="200"/>
        <w:rPr>
          <w:rFonts w:hAnsi="宋体"/>
          <w:bCs/>
          <w:sz w:val="24"/>
        </w:rPr>
      </w:pPr>
      <w:r>
        <w:rPr>
          <w:rFonts w:hint="eastAsia" w:hAnsi="宋体"/>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14:paraId="26C23BF5">
      <w:pPr>
        <w:widowControl/>
        <w:adjustRightInd w:val="0"/>
        <w:snapToGrid w:val="0"/>
        <w:spacing w:line="360" w:lineRule="auto"/>
        <w:ind w:firstLine="480" w:firstLineChars="200"/>
        <w:rPr>
          <w:rFonts w:hAnsi="宋体"/>
          <w:bCs/>
          <w:sz w:val="24"/>
        </w:rPr>
      </w:pPr>
      <w:r>
        <w:rPr>
          <w:rFonts w:hint="eastAsia" w:hAnsi="宋体"/>
          <w:bCs/>
          <w:sz w:val="24"/>
        </w:rPr>
        <w:t>本基金可根据投资策略需要或市场环境的变化，选择将部分基金资产投资于存托凭证或选择不将基金资产投资于存托凭证，基金资产并非必然投资存托凭证。</w:t>
      </w:r>
    </w:p>
    <w:p w14:paraId="0C585176">
      <w:pPr>
        <w:widowControl/>
        <w:adjustRightInd w:val="0"/>
        <w:snapToGrid w:val="0"/>
        <w:spacing w:line="360" w:lineRule="auto"/>
        <w:ind w:firstLine="480" w:firstLineChars="200"/>
        <w:rPr>
          <w:rFonts w:hAnsi="宋体"/>
          <w:sz w:val="24"/>
        </w:rPr>
      </w:pPr>
      <w:r>
        <w:rPr>
          <w:rFonts w:hint="eastAsia" w:hAnsi="宋体"/>
          <w:sz w:val="24"/>
        </w:rPr>
        <w:t>本基金可投资国债期货，国债期货的投资可能给本基金带来额外风险。国债期货的投资可能面临市场风险、基差风险、流动性风险。</w:t>
      </w:r>
    </w:p>
    <w:p w14:paraId="4AD1D22D">
      <w:pPr>
        <w:widowControl/>
        <w:adjustRightInd w:val="0"/>
        <w:snapToGrid w:val="0"/>
        <w:spacing w:line="360" w:lineRule="auto"/>
        <w:ind w:firstLine="480" w:firstLineChars="200"/>
        <w:rPr>
          <w:kern w:val="0"/>
          <w:sz w:val="24"/>
        </w:rPr>
      </w:pPr>
      <w:r>
        <w:rPr>
          <w:rFonts w:hint="eastAsia"/>
          <w:kern w:val="0"/>
          <w:sz w:val="24"/>
        </w:rPr>
        <w:t>为对冲信用风险，本基金可能投资信用衍生品，信用衍生品的投资可能面临流动性风险、偿付风险和价格波动风险。</w:t>
      </w:r>
    </w:p>
    <w:p w14:paraId="45397782">
      <w:pPr>
        <w:widowControl/>
        <w:adjustRightInd w:val="0"/>
        <w:snapToGrid w:val="0"/>
        <w:spacing w:line="360" w:lineRule="auto"/>
        <w:ind w:firstLine="480" w:firstLineChars="200"/>
        <w:rPr>
          <w:kern w:val="0"/>
          <w:sz w:val="24"/>
        </w:rPr>
      </w:pPr>
      <w:r>
        <w:rPr>
          <w:kern w:val="0"/>
          <w:sz w:val="24"/>
        </w:rPr>
        <w:t>投资有风险，投资人在投资本基金前应认真阅读本基金的招募说明书、基金合同</w:t>
      </w:r>
      <w:r>
        <w:rPr>
          <w:rFonts w:hint="eastAsia"/>
          <w:kern w:val="0"/>
          <w:sz w:val="24"/>
        </w:rPr>
        <w:t>、基金产品资料概要</w:t>
      </w:r>
      <w:r>
        <w:rPr>
          <w:kern w:val="0"/>
          <w:sz w:val="24"/>
        </w:rPr>
        <w:t>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14:paraId="2F189019">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本基金单一投资者持有基金份额数不得超过基金份额总数的50%，但在基金运作过程中因基金份额赎回等情形导致被动超过前述50%比例的除外。</w:t>
      </w:r>
    </w:p>
    <w:p w14:paraId="38AB178C">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81B700F">
      <w:pPr>
        <w:widowControl/>
        <w:adjustRightInd w:val="0"/>
        <w:snapToGrid w:val="0"/>
        <w:spacing w:line="360" w:lineRule="auto"/>
        <w:ind w:firstLine="480" w:firstLineChars="200"/>
        <w:rPr>
          <w:rFonts w:ascii="宋体" w:hAnsi="宋体"/>
          <w:kern w:val="0"/>
          <w:sz w:val="24"/>
        </w:rPr>
      </w:pPr>
    </w:p>
    <w:p w14:paraId="255CB507">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t>目  录</w:t>
      </w:r>
    </w:p>
    <w:p w14:paraId="7F6754DA">
      <w:pPr>
        <w:pStyle w:val="22"/>
        <w:rPr>
          <w:rFonts w:asciiTheme="minorHAnsi" w:hAnsiTheme="minorHAnsi" w:eastAsiaTheme="minorEastAsia" w:cstheme="minorBidi"/>
          <w:sz w:val="21"/>
          <w:szCs w:val="22"/>
        </w:rPr>
      </w:pPr>
      <w:bookmarkStart w:id="0" w:name="_Toc109537379"/>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r>
        <w:fldChar w:fldCharType="begin"/>
      </w:r>
      <w:r>
        <w:instrText xml:space="preserve"> HYPERLINK \l "_Toc50983769" </w:instrText>
      </w:r>
      <w:r>
        <w:fldChar w:fldCharType="separate"/>
      </w:r>
      <w:r>
        <w:rPr>
          <w:rStyle w:val="31"/>
          <w:rFonts w:ascii="宋体"/>
          <w:b/>
          <w:kern w:val="0"/>
        </w:rPr>
        <w:t>一、绪言</w:t>
      </w:r>
      <w:r>
        <w:tab/>
      </w:r>
      <w:r>
        <w:fldChar w:fldCharType="begin"/>
      </w:r>
      <w:r>
        <w:instrText xml:space="preserve"> PAGEREF _Toc50983769 \h </w:instrText>
      </w:r>
      <w:r>
        <w:fldChar w:fldCharType="separate"/>
      </w:r>
      <w:r>
        <w:t>8</w:t>
      </w:r>
      <w:r>
        <w:fldChar w:fldCharType="end"/>
      </w:r>
      <w:r>
        <w:fldChar w:fldCharType="end"/>
      </w:r>
    </w:p>
    <w:p w14:paraId="2CDB46F2">
      <w:pPr>
        <w:pStyle w:val="22"/>
        <w:rPr>
          <w:rFonts w:asciiTheme="minorHAnsi" w:hAnsiTheme="minorHAnsi" w:eastAsiaTheme="minorEastAsia" w:cstheme="minorBidi"/>
          <w:sz w:val="21"/>
          <w:szCs w:val="22"/>
        </w:rPr>
      </w:pPr>
      <w:r>
        <w:fldChar w:fldCharType="begin"/>
      </w:r>
      <w:r>
        <w:instrText xml:space="preserve"> HYPERLINK \l "_Toc50983770" </w:instrText>
      </w:r>
      <w:r>
        <w:fldChar w:fldCharType="separate"/>
      </w:r>
      <w:r>
        <w:rPr>
          <w:rStyle w:val="31"/>
          <w:rFonts w:ascii="宋体"/>
          <w:b/>
          <w:kern w:val="0"/>
        </w:rPr>
        <w:t>二、释义</w:t>
      </w:r>
      <w:r>
        <w:tab/>
      </w:r>
      <w:r>
        <w:fldChar w:fldCharType="begin"/>
      </w:r>
      <w:r>
        <w:instrText xml:space="preserve"> PAGEREF _Toc50983770 \h </w:instrText>
      </w:r>
      <w:r>
        <w:fldChar w:fldCharType="separate"/>
      </w:r>
      <w:r>
        <w:t>9</w:t>
      </w:r>
      <w:r>
        <w:fldChar w:fldCharType="end"/>
      </w:r>
      <w:r>
        <w:fldChar w:fldCharType="end"/>
      </w:r>
    </w:p>
    <w:p w14:paraId="53278E98">
      <w:pPr>
        <w:pStyle w:val="22"/>
        <w:rPr>
          <w:rFonts w:asciiTheme="minorHAnsi" w:hAnsiTheme="minorHAnsi" w:eastAsiaTheme="minorEastAsia" w:cstheme="minorBidi"/>
          <w:sz w:val="21"/>
          <w:szCs w:val="22"/>
        </w:rPr>
      </w:pPr>
      <w:r>
        <w:fldChar w:fldCharType="begin"/>
      </w:r>
      <w:r>
        <w:instrText xml:space="preserve"> HYPERLINK \l "_Toc50983771" </w:instrText>
      </w:r>
      <w:r>
        <w:fldChar w:fldCharType="separate"/>
      </w:r>
      <w:r>
        <w:rPr>
          <w:rStyle w:val="31"/>
          <w:rFonts w:ascii="宋体"/>
          <w:b/>
          <w:kern w:val="0"/>
        </w:rPr>
        <w:t>三、基金管理人</w:t>
      </w:r>
      <w:r>
        <w:tab/>
      </w:r>
      <w:r>
        <w:fldChar w:fldCharType="begin"/>
      </w:r>
      <w:r>
        <w:instrText xml:space="preserve"> PAGEREF _Toc50983771 \h </w:instrText>
      </w:r>
      <w:r>
        <w:fldChar w:fldCharType="separate"/>
      </w:r>
      <w:r>
        <w:t>15</w:t>
      </w:r>
      <w:r>
        <w:fldChar w:fldCharType="end"/>
      </w:r>
      <w:r>
        <w:fldChar w:fldCharType="end"/>
      </w:r>
    </w:p>
    <w:p w14:paraId="006277CF">
      <w:pPr>
        <w:pStyle w:val="22"/>
        <w:rPr>
          <w:rFonts w:asciiTheme="minorHAnsi" w:hAnsiTheme="minorHAnsi" w:eastAsiaTheme="minorEastAsia" w:cstheme="minorBidi"/>
          <w:sz w:val="21"/>
          <w:szCs w:val="22"/>
        </w:rPr>
      </w:pPr>
      <w:r>
        <w:fldChar w:fldCharType="begin"/>
      </w:r>
      <w:r>
        <w:instrText xml:space="preserve"> HYPERLINK \l "_Toc50983772" </w:instrText>
      </w:r>
      <w:r>
        <w:fldChar w:fldCharType="separate"/>
      </w:r>
      <w:r>
        <w:rPr>
          <w:rStyle w:val="31"/>
          <w:rFonts w:ascii="宋体"/>
          <w:b/>
          <w:kern w:val="0"/>
        </w:rPr>
        <w:t>四、基金托管人</w:t>
      </w:r>
      <w:r>
        <w:tab/>
      </w:r>
      <w:r>
        <w:fldChar w:fldCharType="begin"/>
      </w:r>
      <w:r>
        <w:instrText xml:space="preserve"> PAGEREF _Toc50983772 \h </w:instrText>
      </w:r>
      <w:r>
        <w:fldChar w:fldCharType="separate"/>
      </w:r>
      <w:r>
        <w:t>24</w:t>
      </w:r>
      <w:r>
        <w:fldChar w:fldCharType="end"/>
      </w:r>
      <w:r>
        <w:fldChar w:fldCharType="end"/>
      </w:r>
    </w:p>
    <w:p w14:paraId="4034CAA4">
      <w:pPr>
        <w:pStyle w:val="22"/>
        <w:rPr>
          <w:rFonts w:asciiTheme="minorHAnsi" w:hAnsiTheme="minorHAnsi" w:eastAsiaTheme="minorEastAsia" w:cstheme="minorBidi"/>
          <w:sz w:val="21"/>
          <w:szCs w:val="22"/>
        </w:rPr>
      </w:pPr>
      <w:r>
        <w:fldChar w:fldCharType="begin"/>
      </w:r>
      <w:r>
        <w:instrText xml:space="preserve"> HYPERLINK \l "_Toc50983773" </w:instrText>
      </w:r>
      <w:r>
        <w:fldChar w:fldCharType="separate"/>
      </w:r>
      <w:r>
        <w:rPr>
          <w:rStyle w:val="31"/>
          <w:rFonts w:ascii="宋体"/>
          <w:b/>
          <w:kern w:val="0"/>
        </w:rPr>
        <w:t>五、相关服务机构</w:t>
      </w:r>
      <w:r>
        <w:tab/>
      </w:r>
      <w:r>
        <w:fldChar w:fldCharType="begin"/>
      </w:r>
      <w:r>
        <w:instrText xml:space="preserve"> PAGEREF _Toc50983773 \h </w:instrText>
      </w:r>
      <w:r>
        <w:fldChar w:fldCharType="separate"/>
      </w:r>
      <w:r>
        <w:t>29</w:t>
      </w:r>
      <w:r>
        <w:fldChar w:fldCharType="end"/>
      </w:r>
      <w:r>
        <w:fldChar w:fldCharType="end"/>
      </w:r>
    </w:p>
    <w:p w14:paraId="028C182C">
      <w:pPr>
        <w:pStyle w:val="22"/>
        <w:rPr>
          <w:rFonts w:asciiTheme="minorHAnsi" w:hAnsiTheme="minorHAnsi" w:eastAsiaTheme="minorEastAsia" w:cstheme="minorBidi"/>
          <w:sz w:val="21"/>
          <w:szCs w:val="22"/>
        </w:rPr>
      </w:pPr>
      <w:r>
        <w:fldChar w:fldCharType="begin"/>
      </w:r>
      <w:r>
        <w:instrText xml:space="preserve"> HYPERLINK \l "_Toc50983774" </w:instrText>
      </w:r>
      <w:r>
        <w:fldChar w:fldCharType="separate"/>
      </w:r>
      <w:r>
        <w:rPr>
          <w:rStyle w:val="31"/>
          <w:rFonts w:ascii="宋体"/>
          <w:b/>
          <w:kern w:val="0"/>
        </w:rPr>
        <w:t>六、基金的募集</w:t>
      </w:r>
      <w:r>
        <w:tab/>
      </w:r>
      <w:r>
        <w:fldChar w:fldCharType="begin"/>
      </w:r>
      <w:r>
        <w:instrText xml:space="preserve"> PAGEREF _Toc50983774 \h </w:instrText>
      </w:r>
      <w:r>
        <w:fldChar w:fldCharType="separate"/>
      </w:r>
      <w:r>
        <w:t>32</w:t>
      </w:r>
      <w:r>
        <w:fldChar w:fldCharType="end"/>
      </w:r>
      <w:r>
        <w:fldChar w:fldCharType="end"/>
      </w:r>
    </w:p>
    <w:p w14:paraId="3FD1BA11">
      <w:pPr>
        <w:pStyle w:val="22"/>
        <w:rPr>
          <w:rFonts w:asciiTheme="minorHAnsi" w:hAnsiTheme="minorHAnsi" w:eastAsiaTheme="minorEastAsia" w:cstheme="minorBidi"/>
          <w:sz w:val="21"/>
          <w:szCs w:val="22"/>
        </w:rPr>
      </w:pPr>
      <w:r>
        <w:fldChar w:fldCharType="begin"/>
      </w:r>
      <w:r>
        <w:instrText xml:space="preserve"> HYPERLINK \l "_Toc50983775" </w:instrText>
      </w:r>
      <w:r>
        <w:fldChar w:fldCharType="separate"/>
      </w:r>
      <w:r>
        <w:rPr>
          <w:rStyle w:val="31"/>
          <w:rFonts w:ascii="宋体"/>
          <w:b/>
          <w:kern w:val="0"/>
        </w:rPr>
        <w:t>七、基金合同的生效</w:t>
      </w:r>
      <w:r>
        <w:tab/>
      </w:r>
      <w:r>
        <w:fldChar w:fldCharType="begin"/>
      </w:r>
      <w:r>
        <w:instrText xml:space="preserve"> PAGEREF _Toc50983775 \h </w:instrText>
      </w:r>
      <w:r>
        <w:fldChar w:fldCharType="separate"/>
      </w:r>
      <w:r>
        <w:t>38</w:t>
      </w:r>
      <w:r>
        <w:fldChar w:fldCharType="end"/>
      </w:r>
      <w:r>
        <w:fldChar w:fldCharType="end"/>
      </w:r>
    </w:p>
    <w:p w14:paraId="202DD096">
      <w:pPr>
        <w:pStyle w:val="22"/>
        <w:rPr>
          <w:rFonts w:asciiTheme="minorHAnsi" w:hAnsiTheme="minorHAnsi" w:eastAsiaTheme="minorEastAsia" w:cstheme="minorBidi"/>
          <w:sz w:val="21"/>
          <w:szCs w:val="22"/>
        </w:rPr>
      </w:pPr>
      <w:r>
        <w:fldChar w:fldCharType="begin"/>
      </w:r>
      <w:r>
        <w:instrText xml:space="preserve"> HYPERLINK \l "_Toc50983776" </w:instrText>
      </w:r>
      <w:r>
        <w:fldChar w:fldCharType="separate"/>
      </w:r>
      <w:r>
        <w:rPr>
          <w:rStyle w:val="31"/>
          <w:rFonts w:ascii="宋体"/>
          <w:b/>
          <w:kern w:val="0"/>
        </w:rPr>
        <w:t>八、基金份额的申购与赎回</w:t>
      </w:r>
      <w:r>
        <w:tab/>
      </w:r>
      <w:r>
        <w:fldChar w:fldCharType="begin"/>
      </w:r>
      <w:r>
        <w:instrText xml:space="preserve"> PAGEREF _Toc50983776 \h </w:instrText>
      </w:r>
      <w:r>
        <w:fldChar w:fldCharType="separate"/>
      </w:r>
      <w:r>
        <w:t>39</w:t>
      </w:r>
      <w:r>
        <w:fldChar w:fldCharType="end"/>
      </w:r>
      <w:r>
        <w:fldChar w:fldCharType="end"/>
      </w:r>
    </w:p>
    <w:p w14:paraId="3A378164">
      <w:pPr>
        <w:pStyle w:val="22"/>
        <w:rPr>
          <w:rFonts w:asciiTheme="minorHAnsi" w:hAnsiTheme="minorHAnsi" w:eastAsiaTheme="minorEastAsia" w:cstheme="minorBidi"/>
          <w:sz w:val="21"/>
          <w:szCs w:val="22"/>
        </w:rPr>
      </w:pPr>
      <w:r>
        <w:fldChar w:fldCharType="begin"/>
      </w:r>
      <w:r>
        <w:instrText xml:space="preserve"> HYPERLINK \l "_Toc50983777" </w:instrText>
      </w:r>
      <w:r>
        <w:fldChar w:fldCharType="separate"/>
      </w:r>
      <w:r>
        <w:rPr>
          <w:rStyle w:val="31"/>
          <w:rFonts w:ascii="宋体"/>
          <w:b/>
          <w:kern w:val="0"/>
        </w:rPr>
        <w:t>九、基金的投资</w:t>
      </w:r>
      <w:r>
        <w:tab/>
      </w:r>
      <w:r>
        <w:fldChar w:fldCharType="begin"/>
      </w:r>
      <w:r>
        <w:instrText xml:space="preserve"> PAGEREF _Toc50983777 \h </w:instrText>
      </w:r>
      <w:r>
        <w:fldChar w:fldCharType="separate"/>
      </w:r>
      <w:r>
        <w:t>54</w:t>
      </w:r>
      <w:r>
        <w:fldChar w:fldCharType="end"/>
      </w:r>
      <w:r>
        <w:fldChar w:fldCharType="end"/>
      </w:r>
    </w:p>
    <w:p w14:paraId="01F783C8">
      <w:pPr>
        <w:pStyle w:val="22"/>
        <w:rPr>
          <w:rFonts w:asciiTheme="minorHAnsi" w:hAnsiTheme="minorHAnsi" w:eastAsiaTheme="minorEastAsia" w:cstheme="minorBidi"/>
          <w:sz w:val="21"/>
          <w:szCs w:val="22"/>
        </w:rPr>
      </w:pPr>
      <w:r>
        <w:fldChar w:fldCharType="begin"/>
      </w:r>
      <w:r>
        <w:instrText xml:space="preserve"> HYPERLINK \l "_Toc50983778" </w:instrText>
      </w:r>
      <w:r>
        <w:fldChar w:fldCharType="separate"/>
      </w:r>
      <w:r>
        <w:rPr>
          <w:rStyle w:val="31"/>
          <w:rFonts w:ascii="宋体"/>
          <w:b/>
          <w:kern w:val="0"/>
        </w:rPr>
        <w:t>十、基金的财产</w:t>
      </w:r>
      <w:r>
        <w:tab/>
      </w:r>
      <w:r>
        <w:fldChar w:fldCharType="begin"/>
      </w:r>
      <w:r>
        <w:instrText xml:space="preserve"> PAGEREF _Toc50983778 \h </w:instrText>
      </w:r>
      <w:r>
        <w:fldChar w:fldCharType="separate"/>
      </w:r>
      <w:r>
        <w:t>67</w:t>
      </w:r>
      <w:r>
        <w:fldChar w:fldCharType="end"/>
      </w:r>
      <w:r>
        <w:fldChar w:fldCharType="end"/>
      </w:r>
    </w:p>
    <w:p w14:paraId="2C084F51">
      <w:pPr>
        <w:pStyle w:val="22"/>
        <w:rPr>
          <w:rFonts w:asciiTheme="minorHAnsi" w:hAnsiTheme="minorHAnsi" w:eastAsiaTheme="minorEastAsia" w:cstheme="minorBidi"/>
          <w:sz w:val="21"/>
          <w:szCs w:val="22"/>
        </w:rPr>
      </w:pPr>
      <w:r>
        <w:fldChar w:fldCharType="begin"/>
      </w:r>
      <w:r>
        <w:instrText xml:space="preserve"> HYPERLINK \l "_Toc50983779" </w:instrText>
      </w:r>
      <w:r>
        <w:fldChar w:fldCharType="separate"/>
      </w:r>
      <w:r>
        <w:rPr>
          <w:rStyle w:val="31"/>
          <w:rFonts w:ascii="宋体"/>
          <w:b/>
          <w:kern w:val="0"/>
        </w:rPr>
        <w:t>十一、基金资产的估值</w:t>
      </w:r>
      <w:r>
        <w:tab/>
      </w:r>
      <w:r>
        <w:fldChar w:fldCharType="begin"/>
      </w:r>
      <w:r>
        <w:instrText xml:space="preserve"> PAGEREF _Toc50983779 \h </w:instrText>
      </w:r>
      <w:r>
        <w:fldChar w:fldCharType="separate"/>
      </w:r>
      <w:r>
        <w:t>68</w:t>
      </w:r>
      <w:r>
        <w:fldChar w:fldCharType="end"/>
      </w:r>
      <w:r>
        <w:fldChar w:fldCharType="end"/>
      </w:r>
    </w:p>
    <w:p w14:paraId="47CF50F4">
      <w:pPr>
        <w:pStyle w:val="22"/>
        <w:rPr>
          <w:rFonts w:asciiTheme="minorHAnsi" w:hAnsiTheme="minorHAnsi" w:eastAsiaTheme="minorEastAsia" w:cstheme="minorBidi"/>
          <w:sz w:val="21"/>
          <w:szCs w:val="22"/>
        </w:rPr>
      </w:pPr>
      <w:r>
        <w:fldChar w:fldCharType="begin"/>
      </w:r>
      <w:r>
        <w:instrText xml:space="preserve"> HYPERLINK \l "_Toc50983780" </w:instrText>
      </w:r>
      <w:r>
        <w:fldChar w:fldCharType="separate"/>
      </w:r>
      <w:r>
        <w:rPr>
          <w:rStyle w:val="31"/>
          <w:rFonts w:ascii="宋体"/>
          <w:b/>
          <w:kern w:val="0"/>
        </w:rPr>
        <w:t>十二、基金收益与分配</w:t>
      </w:r>
      <w:r>
        <w:tab/>
      </w:r>
      <w:r>
        <w:fldChar w:fldCharType="begin"/>
      </w:r>
      <w:r>
        <w:instrText xml:space="preserve"> PAGEREF _Toc50983780 \h </w:instrText>
      </w:r>
      <w:r>
        <w:fldChar w:fldCharType="separate"/>
      </w:r>
      <w:r>
        <w:t>75</w:t>
      </w:r>
      <w:r>
        <w:fldChar w:fldCharType="end"/>
      </w:r>
      <w:r>
        <w:fldChar w:fldCharType="end"/>
      </w:r>
    </w:p>
    <w:p w14:paraId="66E68308">
      <w:pPr>
        <w:pStyle w:val="22"/>
        <w:rPr>
          <w:rFonts w:asciiTheme="minorHAnsi" w:hAnsiTheme="minorHAnsi" w:eastAsiaTheme="minorEastAsia" w:cstheme="minorBidi"/>
          <w:sz w:val="21"/>
          <w:szCs w:val="22"/>
        </w:rPr>
      </w:pPr>
      <w:r>
        <w:fldChar w:fldCharType="begin"/>
      </w:r>
      <w:r>
        <w:instrText xml:space="preserve"> HYPERLINK \l "_Toc50983781" </w:instrText>
      </w:r>
      <w:r>
        <w:fldChar w:fldCharType="separate"/>
      </w:r>
      <w:r>
        <w:rPr>
          <w:rStyle w:val="31"/>
          <w:rFonts w:ascii="宋体"/>
          <w:b/>
          <w:kern w:val="0"/>
        </w:rPr>
        <w:t>十三、基金的费用与税收</w:t>
      </w:r>
      <w:r>
        <w:tab/>
      </w:r>
      <w:r>
        <w:fldChar w:fldCharType="begin"/>
      </w:r>
      <w:r>
        <w:instrText xml:space="preserve"> PAGEREF _Toc50983781 \h </w:instrText>
      </w:r>
      <w:r>
        <w:fldChar w:fldCharType="separate"/>
      </w:r>
      <w:r>
        <w:t>77</w:t>
      </w:r>
      <w:r>
        <w:fldChar w:fldCharType="end"/>
      </w:r>
      <w:r>
        <w:fldChar w:fldCharType="end"/>
      </w:r>
    </w:p>
    <w:p w14:paraId="61C08081">
      <w:pPr>
        <w:pStyle w:val="22"/>
        <w:rPr>
          <w:rFonts w:asciiTheme="minorHAnsi" w:hAnsiTheme="minorHAnsi" w:eastAsiaTheme="minorEastAsia" w:cstheme="minorBidi"/>
          <w:sz w:val="21"/>
          <w:szCs w:val="22"/>
        </w:rPr>
      </w:pPr>
      <w:r>
        <w:fldChar w:fldCharType="begin"/>
      </w:r>
      <w:r>
        <w:instrText xml:space="preserve"> HYPERLINK \l "_Toc50983782" </w:instrText>
      </w:r>
      <w:r>
        <w:fldChar w:fldCharType="separate"/>
      </w:r>
      <w:r>
        <w:rPr>
          <w:rStyle w:val="31"/>
          <w:rFonts w:ascii="宋体"/>
          <w:b/>
          <w:kern w:val="0"/>
        </w:rPr>
        <w:t>十四、基金的会计与审计</w:t>
      </w:r>
      <w:r>
        <w:tab/>
      </w:r>
      <w:r>
        <w:fldChar w:fldCharType="begin"/>
      </w:r>
      <w:r>
        <w:instrText xml:space="preserve"> PAGEREF _Toc50983782 \h </w:instrText>
      </w:r>
      <w:r>
        <w:fldChar w:fldCharType="separate"/>
      </w:r>
      <w:r>
        <w:t>81</w:t>
      </w:r>
      <w:r>
        <w:fldChar w:fldCharType="end"/>
      </w:r>
      <w:r>
        <w:fldChar w:fldCharType="end"/>
      </w:r>
    </w:p>
    <w:p w14:paraId="11BF368F">
      <w:pPr>
        <w:pStyle w:val="22"/>
        <w:rPr>
          <w:rFonts w:asciiTheme="minorHAnsi" w:hAnsiTheme="minorHAnsi" w:eastAsiaTheme="minorEastAsia" w:cstheme="minorBidi"/>
          <w:sz w:val="21"/>
          <w:szCs w:val="22"/>
        </w:rPr>
      </w:pPr>
      <w:r>
        <w:fldChar w:fldCharType="begin"/>
      </w:r>
      <w:r>
        <w:instrText xml:space="preserve"> HYPERLINK \l "_Toc50983783" </w:instrText>
      </w:r>
      <w:r>
        <w:fldChar w:fldCharType="separate"/>
      </w:r>
      <w:r>
        <w:rPr>
          <w:rStyle w:val="31"/>
          <w:rFonts w:ascii="宋体"/>
          <w:b/>
          <w:kern w:val="0"/>
        </w:rPr>
        <w:t>十五、基金的信息披露</w:t>
      </w:r>
      <w:r>
        <w:tab/>
      </w:r>
      <w:r>
        <w:fldChar w:fldCharType="begin"/>
      </w:r>
      <w:r>
        <w:instrText xml:space="preserve"> PAGEREF _Toc50983783 \h </w:instrText>
      </w:r>
      <w:r>
        <w:fldChar w:fldCharType="separate"/>
      </w:r>
      <w:r>
        <w:t>82</w:t>
      </w:r>
      <w:r>
        <w:fldChar w:fldCharType="end"/>
      </w:r>
      <w:r>
        <w:fldChar w:fldCharType="end"/>
      </w:r>
    </w:p>
    <w:p w14:paraId="624D11A0">
      <w:pPr>
        <w:pStyle w:val="22"/>
        <w:rPr>
          <w:rFonts w:asciiTheme="minorHAnsi" w:hAnsiTheme="minorHAnsi" w:eastAsiaTheme="minorEastAsia" w:cstheme="minorBidi"/>
          <w:sz w:val="21"/>
          <w:szCs w:val="22"/>
        </w:rPr>
      </w:pPr>
      <w:r>
        <w:fldChar w:fldCharType="begin"/>
      </w:r>
      <w:r>
        <w:instrText xml:space="preserve"> HYPERLINK \l "_Toc50983784" </w:instrText>
      </w:r>
      <w:r>
        <w:fldChar w:fldCharType="separate"/>
      </w:r>
      <w:r>
        <w:rPr>
          <w:rStyle w:val="31"/>
          <w:rFonts w:ascii="宋体"/>
          <w:b/>
          <w:kern w:val="0"/>
        </w:rPr>
        <w:t>十六、侧袋机制</w:t>
      </w:r>
      <w:r>
        <w:tab/>
      </w:r>
      <w:r>
        <w:fldChar w:fldCharType="begin"/>
      </w:r>
      <w:r>
        <w:instrText xml:space="preserve"> PAGEREF _Toc50983784 \h </w:instrText>
      </w:r>
      <w:r>
        <w:fldChar w:fldCharType="separate"/>
      </w:r>
      <w:r>
        <w:t>90</w:t>
      </w:r>
      <w:r>
        <w:fldChar w:fldCharType="end"/>
      </w:r>
      <w:r>
        <w:fldChar w:fldCharType="end"/>
      </w:r>
    </w:p>
    <w:p w14:paraId="757CDE8F">
      <w:pPr>
        <w:pStyle w:val="22"/>
        <w:rPr>
          <w:rFonts w:asciiTheme="minorHAnsi" w:hAnsiTheme="minorHAnsi" w:eastAsiaTheme="minorEastAsia" w:cstheme="minorBidi"/>
          <w:sz w:val="21"/>
          <w:szCs w:val="22"/>
        </w:rPr>
      </w:pPr>
      <w:r>
        <w:fldChar w:fldCharType="begin"/>
      </w:r>
      <w:r>
        <w:instrText xml:space="preserve"> HYPERLINK \l "_Toc50983785" </w:instrText>
      </w:r>
      <w:r>
        <w:fldChar w:fldCharType="separate"/>
      </w:r>
      <w:r>
        <w:rPr>
          <w:rStyle w:val="31"/>
          <w:rFonts w:ascii="宋体"/>
          <w:b/>
          <w:kern w:val="0"/>
        </w:rPr>
        <w:t>十七、风险揭示</w:t>
      </w:r>
      <w:r>
        <w:tab/>
      </w:r>
      <w:r>
        <w:fldChar w:fldCharType="begin"/>
      </w:r>
      <w:r>
        <w:instrText xml:space="preserve"> PAGEREF _Toc50983785 \h </w:instrText>
      </w:r>
      <w:r>
        <w:fldChar w:fldCharType="separate"/>
      </w:r>
      <w:r>
        <w:t>93</w:t>
      </w:r>
      <w:r>
        <w:fldChar w:fldCharType="end"/>
      </w:r>
      <w:r>
        <w:fldChar w:fldCharType="end"/>
      </w:r>
    </w:p>
    <w:p w14:paraId="3D8D1614">
      <w:pPr>
        <w:pStyle w:val="22"/>
        <w:rPr>
          <w:rFonts w:asciiTheme="minorHAnsi" w:hAnsiTheme="minorHAnsi" w:eastAsiaTheme="minorEastAsia" w:cstheme="minorBidi"/>
          <w:sz w:val="21"/>
          <w:szCs w:val="22"/>
        </w:rPr>
      </w:pPr>
      <w:r>
        <w:fldChar w:fldCharType="begin"/>
      </w:r>
      <w:r>
        <w:instrText xml:space="preserve"> HYPERLINK \l "_Toc50983786" </w:instrText>
      </w:r>
      <w:r>
        <w:fldChar w:fldCharType="separate"/>
      </w:r>
      <w:r>
        <w:rPr>
          <w:rStyle w:val="31"/>
          <w:b/>
          <w:kern w:val="0"/>
        </w:rPr>
        <w:t>十八、基金合同的变更、终止与基金财产的清算</w:t>
      </w:r>
      <w:r>
        <w:tab/>
      </w:r>
      <w:r>
        <w:fldChar w:fldCharType="begin"/>
      </w:r>
      <w:r>
        <w:instrText xml:space="preserve"> PAGEREF _Toc50983786 \h </w:instrText>
      </w:r>
      <w:r>
        <w:fldChar w:fldCharType="separate"/>
      </w:r>
      <w:r>
        <w:t>106</w:t>
      </w:r>
      <w:r>
        <w:fldChar w:fldCharType="end"/>
      </w:r>
      <w:r>
        <w:fldChar w:fldCharType="end"/>
      </w:r>
    </w:p>
    <w:p w14:paraId="73A093D3">
      <w:pPr>
        <w:pStyle w:val="22"/>
        <w:rPr>
          <w:rFonts w:asciiTheme="minorHAnsi" w:hAnsiTheme="minorHAnsi" w:eastAsiaTheme="minorEastAsia" w:cstheme="minorBidi"/>
          <w:sz w:val="21"/>
          <w:szCs w:val="22"/>
        </w:rPr>
      </w:pPr>
      <w:r>
        <w:fldChar w:fldCharType="begin"/>
      </w:r>
      <w:r>
        <w:instrText xml:space="preserve"> HYPERLINK \l "_Toc50983787" </w:instrText>
      </w:r>
      <w:r>
        <w:fldChar w:fldCharType="separate"/>
      </w:r>
      <w:r>
        <w:rPr>
          <w:rStyle w:val="31"/>
          <w:rFonts w:ascii="宋体"/>
          <w:b/>
          <w:kern w:val="0"/>
        </w:rPr>
        <w:t>十九、基金合同内容摘要</w:t>
      </w:r>
      <w:r>
        <w:tab/>
      </w:r>
      <w:r>
        <w:fldChar w:fldCharType="begin"/>
      </w:r>
      <w:r>
        <w:instrText xml:space="preserve"> PAGEREF _Toc50983787 \h </w:instrText>
      </w:r>
      <w:r>
        <w:fldChar w:fldCharType="separate"/>
      </w:r>
      <w:r>
        <w:t>108</w:t>
      </w:r>
      <w:r>
        <w:fldChar w:fldCharType="end"/>
      </w:r>
      <w:r>
        <w:fldChar w:fldCharType="end"/>
      </w:r>
    </w:p>
    <w:p w14:paraId="48119CC2">
      <w:pPr>
        <w:pStyle w:val="22"/>
        <w:rPr>
          <w:rFonts w:asciiTheme="minorHAnsi" w:hAnsiTheme="minorHAnsi" w:eastAsiaTheme="minorEastAsia" w:cstheme="minorBidi"/>
          <w:sz w:val="21"/>
          <w:szCs w:val="22"/>
        </w:rPr>
      </w:pPr>
      <w:r>
        <w:fldChar w:fldCharType="begin"/>
      </w:r>
      <w:r>
        <w:instrText xml:space="preserve"> HYPERLINK \l "_Toc50983788" </w:instrText>
      </w:r>
      <w:r>
        <w:fldChar w:fldCharType="separate"/>
      </w:r>
      <w:r>
        <w:rPr>
          <w:rStyle w:val="31"/>
          <w:rFonts w:ascii="宋体"/>
          <w:b/>
          <w:kern w:val="0"/>
        </w:rPr>
        <w:t>二十、托管协议的内容摘要</w:t>
      </w:r>
      <w:r>
        <w:tab/>
      </w:r>
      <w:r>
        <w:fldChar w:fldCharType="begin"/>
      </w:r>
      <w:r>
        <w:instrText xml:space="preserve"> PAGEREF _Toc50983788 \h </w:instrText>
      </w:r>
      <w:r>
        <w:fldChar w:fldCharType="separate"/>
      </w:r>
      <w:r>
        <w:t>126</w:t>
      </w:r>
      <w:r>
        <w:fldChar w:fldCharType="end"/>
      </w:r>
      <w:r>
        <w:fldChar w:fldCharType="end"/>
      </w:r>
    </w:p>
    <w:p w14:paraId="4CEC83DD">
      <w:pPr>
        <w:pStyle w:val="22"/>
        <w:rPr>
          <w:rFonts w:asciiTheme="minorHAnsi" w:hAnsiTheme="minorHAnsi" w:eastAsiaTheme="minorEastAsia" w:cstheme="minorBidi"/>
          <w:sz w:val="21"/>
          <w:szCs w:val="22"/>
        </w:rPr>
      </w:pPr>
      <w:r>
        <w:fldChar w:fldCharType="begin"/>
      </w:r>
      <w:r>
        <w:instrText xml:space="preserve"> HYPERLINK \l "_Toc50983789" </w:instrText>
      </w:r>
      <w:r>
        <w:fldChar w:fldCharType="separate"/>
      </w:r>
      <w:r>
        <w:rPr>
          <w:rStyle w:val="31"/>
          <w:rFonts w:ascii="宋体"/>
          <w:b/>
          <w:kern w:val="0"/>
        </w:rPr>
        <w:t>二十一、对基金份额持有人的服务</w:t>
      </w:r>
      <w:r>
        <w:tab/>
      </w:r>
      <w:r>
        <w:fldChar w:fldCharType="begin"/>
      </w:r>
      <w:r>
        <w:instrText xml:space="preserve"> PAGEREF _Toc50983789 \h </w:instrText>
      </w:r>
      <w:r>
        <w:fldChar w:fldCharType="separate"/>
      </w:r>
      <w:r>
        <w:t>149</w:t>
      </w:r>
      <w:r>
        <w:fldChar w:fldCharType="end"/>
      </w:r>
      <w:r>
        <w:fldChar w:fldCharType="end"/>
      </w:r>
    </w:p>
    <w:p w14:paraId="648F783C">
      <w:pPr>
        <w:pStyle w:val="22"/>
        <w:rPr>
          <w:rFonts w:asciiTheme="minorHAnsi" w:hAnsiTheme="minorHAnsi" w:eastAsiaTheme="minorEastAsia" w:cstheme="minorBidi"/>
          <w:sz w:val="21"/>
          <w:szCs w:val="22"/>
        </w:rPr>
      </w:pPr>
      <w:r>
        <w:fldChar w:fldCharType="begin"/>
      </w:r>
      <w:r>
        <w:instrText xml:space="preserve"> HYPERLINK \l "_Toc50983790" </w:instrText>
      </w:r>
      <w:r>
        <w:fldChar w:fldCharType="separate"/>
      </w:r>
      <w:r>
        <w:rPr>
          <w:rStyle w:val="31"/>
          <w:rFonts w:ascii="宋体"/>
          <w:b/>
          <w:kern w:val="0"/>
        </w:rPr>
        <w:t>二十二、其他应披露事项</w:t>
      </w:r>
      <w:r>
        <w:tab/>
      </w:r>
      <w:r>
        <w:fldChar w:fldCharType="begin"/>
      </w:r>
      <w:r>
        <w:instrText xml:space="preserve"> PAGEREF _Toc50983790 \h </w:instrText>
      </w:r>
      <w:r>
        <w:fldChar w:fldCharType="separate"/>
      </w:r>
      <w:r>
        <w:t>151</w:t>
      </w:r>
      <w:r>
        <w:fldChar w:fldCharType="end"/>
      </w:r>
      <w:r>
        <w:fldChar w:fldCharType="end"/>
      </w:r>
    </w:p>
    <w:p w14:paraId="68D6117E">
      <w:pPr>
        <w:pStyle w:val="22"/>
        <w:rPr>
          <w:rFonts w:asciiTheme="minorHAnsi" w:hAnsiTheme="minorHAnsi" w:eastAsiaTheme="minorEastAsia" w:cstheme="minorBidi"/>
          <w:sz w:val="21"/>
          <w:szCs w:val="22"/>
        </w:rPr>
      </w:pPr>
      <w:r>
        <w:fldChar w:fldCharType="begin"/>
      </w:r>
      <w:r>
        <w:instrText xml:space="preserve"> HYPERLINK \l "_Toc50983791" </w:instrText>
      </w:r>
      <w:r>
        <w:fldChar w:fldCharType="separate"/>
      </w:r>
      <w:r>
        <w:rPr>
          <w:rStyle w:val="31"/>
          <w:rFonts w:ascii="宋体"/>
          <w:b/>
          <w:kern w:val="0"/>
        </w:rPr>
        <w:t>二十三、招募说明书的存放及查阅方式</w:t>
      </w:r>
      <w:r>
        <w:tab/>
      </w:r>
      <w:r>
        <w:fldChar w:fldCharType="begin"/>
      </w:r>
      <w:r>
        <w:instrText xml:space="preserve"> PAGEREF _Toc50983791 \h </w:instrText>
      </w:r>
      <w:r>
        <w:fldChar w:fldCharType="separate"/>
      </w:r>
      <w:r>
        <w:t>152</w:t>
      </w:r>
      <w:r>
        <w:fldChar w:fldCharType="end"/>
      </w:r>
      <w:r>
        <w:fldChar w:fldCharType="end"/>
      </w:r>
    </w:p>
    <w:p w14:paraId="1C385F9F">
      <w:pPr>
        <w:pStyle w:val="22"/>
        <w:rPr>
          <w:rFonts w:asciiTheme="minorHAnsi" w:hAnsiTheme="minorHAnsi" w:eastAsiaTheme="minorEastAsia" w:cstheme="minorBidi"/>
          <w:sz w:val="21"/>
          <w:szCs w:val="22"/>
        </w:rPr>
      </w:pPr>
      <w:r>
        <w:fldChar w:fldCharType="begin"/>
      </w:r>
      <w:r>
        <w:instrText xml:space="preserve"> HYPERLINK \l "_Toc50983792" </w:instrText>
      </w:r>
      <w:r>
        <w:fldChar w:fldCharType="separate"/>
      </w:r>
      <w:r>
        <w:rPr>
          <w:rStyle w:val="31"/>
          <w:rFonts w:ascii="宋体"/>
          <w:b/>
          <w:kern w:val="0"/>
        </w:rPr>
        <w:t>二十四、备查文件</w:t>
      </w:r>
      <w:r>
        <w:tab/>
      </w:r>
      <w:r>
        <w:fldChar w:fldCharType="begin"/>
      </w:r>
      <w:r>
        <w:instrText xml:space="preserve"> PAGEREF _Toc50983792 \h </w:instrText>
      </w:r>
      <w:r>
        <w:fldChar w:fldCharType="separate"/>
      </w:r>
      <w:r>
        <w:t>153</w:t>
      </w:r>
      <w:r>
        <w:fldChar w:fldCharType="end"/>
      </w:r>
      <w:r>
        <w:fldChar w:fldCharType="end"/>
      </w:r>
    </w:p>
    <w:p w14:paraId="06B1035E">
      <w:r>
        <w:fldChar w:fldCharType="end"/>
      </w:r>
    </w:p>
    <w:p w14:paraId="1E1444C4">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kern w:val="0"/>
          <w:sz w:val="24"/>
        </w:rPr>
        <w:br w:type="page"/>
      </w:r>
      <w:bookmarkStart w:id="1" w:name="_Toc50983769"/>
      <w:r>
        <w:rPr>
          <w:rFonts w:hint="eastAsia" w:ascii="宋体" w:hAnsi="宋体"/>
          <w:b/>
          <w:kern w:val="0"/>
          <w:sz w:val="30"/>
        </w:rPr>
        <w:t>一、绪言</w:t>
      </w:r>
      <w:bookmarkEnd w:id="0"/>
      <w:bookmarkEnd w:id="1"/>
    </w:p>
    <w:p w14:paraId="2AC27402">
      <w:pPr>
        <w:widowControl/>
        <w:adjustRightInd w:val="0"/>
        <w:snapToGrid w:val="0"/>
        <w:spacing w:line="360" w:lineRule="auto"/>
        <w:ind w:firstLine="480" w:firstLineChars="200"/>
        <w:rPr>
          <w:kern w:val="0"/>
          <w:sz w:val="24"/>
        </w:rPr>
      </w:pPr>
      <w:r>
        <w:rPr>
          <w:rFonts w:ascii="宋体" w:hAnsi="宋体"/>
          <w:kern w:val="0"/>
          <w:sz w:val="24"/>
        </w:rPr>
        <w:t>《交银施罗德佳宁债券型证券投资基金招募说明书》（以下简称“本招募说明书”）依据《中华人民共和国证券投资基金法》</w:t>
      </w:r>
      <w:r>
        <w:rPr>
          <w:rFonts w:hint="eastAsia" w:ascii="宋体" w:hAnsi="宋体"/>
          <w:kern w:val="0"/>
          <w:sz w:val="24"/>
        </w:rPr>
        <w:t>（以下简称“《基金法》”）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证券投资基金运作管理办法》</w:t>
      </w:r>
      <w:r>
        <w:rPr>
          <w:rFonts w:hint="eastAsia" w:ascii="宋体" w:hAnsi="宋体"/>
          <w:kern w:val="0"/>
          <w:sz w:val="24"/>
        </w:rPr>
        <w:t>（以下简称“《运作办法》”）</w:t>
      </w:r>
      <w:r>
        <w:rPr>
          <w:rFonts w:ascii="宋体" w:hAnsi="宋体"/>
          <w:kern w:val="0"/>
          <w:sz w:val="24"/>
        </w:rPr>
        <w:t>、《</w:t>
      </w:r>
      <w:r>
        <w:rPr>
          <w:rFonts w:hint="eastAsia"/>
          <w:bCs/>
          <w:sz w:val="24"/>
        </w:rPr>
        <w:t>公开募集证券投资基金销售机构监督管理办法</w:t>
      </w:r>
      <w:r>
        <w:rPr>
          <w:rFonts w:ascii="宋体" w:hAnsi="宋体"/>
          <w:kern w:val="0"/>
          <w:sz w:val="24"/>
        </w:rPr>
        <w:t>》</w:t>
      </w:r>
      <w:r>
        <w:rPr>
          <w:rFonts w:hint="eastAsia" w:ascii="宋体" w:hAnsi="宋体"/>
          <w:kern w:val="0"/>
          <w:sz w:val="24"/>
        </w:rPr>
        <w:t>（以下简称“《销售办法》”）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证券投资基金信息披露管理办法》</w:t>
      </w:r>
      <w:r>
        <w:rPr>
          <w:rFonts w:hint="eastAsia" w:ascii="宋体" w:hAnsi="宋体"/>
          <w:kern w:val="0"/>
          <w:sz w:val="24"/>
        </w:rPr>
        <w:t>（以下简称“《信息披露办法》”）、《公开募集开放式证券投资基金流动性风险管理规定》（以下简称“《流动性</w:t>
      </w:r>
      <w:r>
        <w:rPr>
          <w:rFonts w:hint="eastAsia" w:hAnsi="宋体"/>
          <w:kern w:val="0"/>
          <w:sz w:val="24"/>
        </w:rPr>
        <w:t>风险管理</w:t>
      </w:r>
      <w:r>
        <w:rPr>
          <w:rFonts w:hint="eastAsia" w:ascii="宋体" w:hAnsi="宋体"/>
          <w:kern w:val="0"/>
          <w:sz w:val="24"/>
        </w:rPr>
        <w:t>规定》”）</w:t>
      </w:r>
      <w:r>
        <w:rPr>
          <w:rFonts w:ascii="宋体" w:hAnsi="宋体"/>
          <w:kern w:val="0"/>
          <w:sz w:val="24"/>
        </w:rPr>
        <w:t>和其他相关法律法规的规定以及《交银施罗德佳宁债券型证券投资基金基金合同》（以下简称“基金合同”</w:t>
      </w:r>
      <w:r>
        <w:rPr>
          <w:rFonts w:hint="eastAsia" w:ascii="宋体" w:hAnsi="宋体"/>
          <w:kern w:val="0"/>
          <w:sz w:val="24"/>
        </w:rPr>
        <w:t>或“《基金合同》”</w:t>
      </w:r>
      <w:r>
        <w:rPr>
          <w:rFonts w:ascii="宋体" w:hAnsi="宋体"/>
          <w:kern w:val="0"/>
          <w:sz w:val="24"/>
        </w:rPr>
        <w:t>）</w:t>
      </w:r>
      <w:r>
        <w:rPr>
          <w:rFonts w:hAnsi="宋体"/>
          <w:kern w:val="0"/>
          <w:sz w:val="24"/>
        </w:rPr>
        <w:t>编写。</w:t>
      </w:r>
    </w:p>
    <w:p w14:paraId="6FD5D6F4">
      <w:pPr>
        <w:widowControl/>
        <w:adjustRightInd w:val="0"/>
        <w:snapToGrid w:val="0"/>
        <w:spacing w:line="360" w:lineRule="auto"/>
        <w:ind w:firstLine="480" w:firstLineChars="20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int="eastAsia" w:ascii="宋体" w:hAnsi="宋体"/>
          <w:kern w:val="0"/>
          <w:sz w:val="24"/>
        </w:rPr>
        <w:t>，</w:t>
      </w:r>
      <w:r>
        <w:rPr>
          <w:rFonts w:hAnsi="宋体"/>
          <w:kern w:val="0"/>
          <w:sz w:val="24"/>
        </w:rPr>
        <w:t>或对本招募说明书作任何解释或者说明。</w:t>
      </w:r>
    </w:p>
    <w:p w14:paraId="08809AEB">
      <w:pPr>
        <w:widowControl/>
        <w:adjustRightInd w:val="0"/>
        <w:snapToGrid w:val="0"/>
        <w:spacing w:line="360" w:lineRule="auto"/>
        <w:ind w:firstLine="480" w:firstLineChars="200"/>
        <w:rPr>
          <w:kern w:val="0"/>
          <w:sz w:val="24"/>
        </w:rPr>
      </w:pPr>
      <w:r>
        <w:rPr>
          <w:rFonts w:hAnsi="宋体"/>
          <w:kern w:val="0"/>
          <w:sz w:val="24"/>
        </w:rPr>
        <w:t>本招募说明书根据本基金的基金合同编写，并经中国证监会</w:t>
      </w:r>
      <w:r>
        <w:rPr>
          <w:rFonts w:hint="eastAsia" w:hAnsi="宋体"/>
          <w:kern w:val="0"/>
          <w:sz w:val="24"/>
        </w:rPr>
        <w:t>注册</w:t>
      </w:r>
      <w:r>
        <w:rPr>
          <w:rFonts w:hAnsi="宋体"/>
          <w:kern w:val="0"/>
          <w:sz w:val="24"/>
        </w:rPr>
        <w:t>。基金合同是约定基金</w:t>
      </w:r>
      <w:r>
        <w:rPr>
          <w:rFonts w:hint="eastAsia" w:hAnsi="宋体"/>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60B161C6">
      <w:pPr>
        <w:widowControl/>
        <w:spacing w:line="360" w:lineRule="auto"/>
        <w:ind w:firstLine="482" w:firstLineChars="200"/>
        <w:rPr>
          <w:rFonts w:ascii="宋体" w:hAnsi="宋体"/>
          <w:b/>
          <w:kern w:val="0"/>
          <w:sz w:val="24"/>
        </w:rPr>
      </w:pPr>
    </w:p>
    <w:p w14:paraId="66524E6E">
      <w:pPr>
        <w:widowControl/>
        <w:adjustRightInd w:val="0"/>
        <w:snapToGrid w:val="0"/>
        <w:spacing w:before="143" w:beforeLines="50" w:after="143" w:afterLines="50" w:line="360" w:lineRule="auto"/>
        <w:jc w:val="center"/>
        <w:outlineLvl w:val="0"/>
        <w:rPr>
          <w:rFonts w:ascii="宋体" w:hAnsi="宋体"/>
          <w:b/>
          <w:kern w:val="0"/>
          <w:sz w:val="30"/>
        </w:rPr>
      </w:pPr>
      <w:bookmarkStart w:id="2" w:name="_Toc109537380"/>
      <w:r>
        <w:rPr>
          <w:rFonts w:ascii="宋体" w:hAnsi="宋体"/>
          <w:b/>
          <w:kern w:val="0"/>
          <w:sz w:val="30"/>
        </w:rPr>
        <w:br w:type="page"/>
      </w:r>
      <w:bookmarkStart w:id="3" w:name="_Toc50983770"/>
      <w:bookmarkStart w:id="4" w:name="_Hlk120786358"/>
      <w:r>
        <w:rPr>
          <w:rFonts w:hint="eastAsia" w:ascii="宋体" w:hAnsi="宋体"/>
          <w:b/>
          <w:kern w:val="0"/>
          <w:sz w:val="30"/>
        </w:rPr>
        <w:t>二、释义</w:t>
      </w:r>
      <w:bookmarkEnd w:id="2"/>
      <w:bookmarkEnd w:id="3"/>
    </w:p>
    <w:p w14:paraId="7985B5AD">
      <w:pPr>
        <w:adjustRightInd w:val="0"/>
        <w:snapToGrid w:val="0"/>
        <w:spacing w:line="360" w:lineRule="auto"/>
        <w:ind w:firstLine="480" w:firstLineChars="200"/>
        <w:rPr>
          <w:spacing w:val="8"/>
          <w:sz w:val="24"/>
        </w:rPr>
      </w:pPr>
      <w:r>
        <w:rPr>
          <w:rFonts w:hAnsi="宋体"/>
          <w:sz w:val="24"/>
        </w:rPr>
        <w:t>在本招募说明书中，除非文意另有所指，下列词语或简称具有如下含义：</w:t>
      </w:r>
    </w:p>
    <w:p w14:paraId="4F9E5D87">
      <w:pPr>
        <w:adjustRightInd w:val="0"/>
        <w:snapToGrid w:val="0"/>
        <w:spacing w:line="360" w:lineRule="auto"/>
        <w:ind w:firstLine="480" w:firstLineChars="200"/>
        <w:rPr>
          <w:bCs/>
          <w:sz w:val="24"/>
        </w:rPr>
      </w:pPr>
      <w:r>
        <w:rPr>
          <w:rFonts w:hint="eastAsia"/>
          <w:bCs/>
          <w:sz w:val="24"/>
        </w:rPr>
        <w:t>1、基金或本基金：指交银施罗德佳宁债券型证券投资基金</w:t>
      </w:r>
    </w:p>
    <w:p w14:paraId="78AC18B8">
      <w:pPr>
        <w:adjustRightInd w:val="0"/>
        <w:snapToGrid w:val="0"/>
        <w:spacing w:line="360" w:lineRule="auto"/>
        <w:ind w:firstLine="480" w:firstLineChars="200"/>
        <w:rPr>
          <w:bCs/>
          <w:sz w:val="24"/>
        </w:rPr>
      </w:pPr>
      <w:r>
        <w:rPr>
          <w:rFonts w:hint="eastAsia"/>
          <w:bCs/>
          <w:sz w:val="24"/>
        </w:rPr>
        <w:t>2、基金管理人：指交银施罗德基金管理有限公司</w:t>
      </w:r>
    </w:p>
    <w:p w14:paraId="63F222C3">
      <w:pPr>
        <w:adjustRightInd w:val="0"/>
        <w:snapToGrid w:val="0"/>
        <w:spacing w:line="360" w:lineRule="auto"/>
        <w:ind w:firstLine="480" w:firstLineChars="200"/>
        <w:rPr>
          <w:bCs/>
          <w:sz w:val="24"/>
        </w:rPr>
      </w:pPr>
      <w:r>
        <w:rPr>
          <w:rFonts w:hint="eastAsia"/>
          <w:bCs/>
          <w:sz w:val="24"/>
        </w:rPr>
        <w:t>3、基金托管人：指中信银行股份有限公司</w:t>
      </w:r>
    </w:p>
    <w:p w14:paraId="248CAC50">
      <w:pPr>
        <w:adjustRightInd w:val="0"/>
        <w:snapToGrid w:val="0"/>
        <w:spacing w:line="360" w:lineRule="auto"/>
        <w:ind w:firstLine="480" w:firstLineChars="200"/>
        <w:rPr>
          <w:bCs/>
          <w:sz w:val="24"/>
        </w:rPr>
      </w:pPr>
      <w:r>
        <w:rPr>
          <w:rFonts w:hint="eastAsia"/>
          <w:bCs/>
          <w:sz w:val="24"/>
        </w:rPr>
        <w:t>4、基金合同或《基金合同》：指《交银施罗德佳宁债券型证券投资基金基金合同》及对基金合同的任何有效修订和补充</w:t>
      </w:r>
    </w:p>
    <w:p w14:paraId="3E93FEBE">
      <w:pPr>
        <w:adjustRightInd w:val="0"/>
        <w:snapToGrid w:val="0"/>
        <w:spacing w:line="360" w:lineRule="auto"/>
        <w:ind w:firstLine="480" w:firstLineChars="200"/>
        <w:rPr>
          <w:bCs/>
          <w:sz w:val="24"/>
        </w:rPr>
      </w:pPr>
      <w:r>
        <w:rPr>
          <w:rFonts w:hint="eastAsia"/>
          <w:bCs/>
          <w:sz w:val="24"/>
        </w:rPr>
        <w:t>5、托管协议：指基金管理人与基金托管人就本基金签订之《交银施罗德佳宁债券型证券投资基金托管协议》及对该托管协议的任何有效修订和补充</w:t>
      </w:r>
    </w:p>
    <w:p w14:paraId="23D9E642">
      <w:pPr>
        <w:adjustRightInd w:val="0"/>
        <w:snapToGrid w:val="0"/>
        <w:spacing w:line="360" w:lineRule="auto"/>
        <w:ind w:firstLine="480" w:firstLineChars="200"/>
        <w:rPr>
          <w:bCs/>
          <w:sz w:val="24"/>
        </w:rPr>
      </w:pPr>
      <w:r>
        <w:rPr>
          <w:rFonts w:hint="eastAsia"/>
          <w:bCs/>
          <w:sz w:val="24"/>
        </w:rPr>
        <w:t>6、招募说明书、《招募说明书》或本招募说明书：指《交银施罗德佳宁债券型证券投资基金招募说明书》及其更新</w:t>
      </w:r>
    </w:p>
    <w:p w14:paraId="2D098803">
      <w:pPr>
        <w:adjustRightInd w:val="0"/>
        <w:snapToGrid w:val="0"/>
        <w:spacing w:line="360" w:lineRule="auto"/>
        <w:ind w:firstLine="480" w:firstLineChars="200"/>
        <w:rPr>
          <w:bCs/>
          <w:sz w:val="24"/>
        </w:rPr>
      </w:pPr>
      <w:r>
        <w:rPr>
          <w:rFonts w:hint="eastAsia"/>
          <w:bCs/>
          <w:sz w:val="24"/>
        </w:rPr>
        <w:t>7、基金产品资料概要：指《交银施罗德佳宁债券型证券投资基金基金产品资料概要》及其更新</w:t>
      </w:r>
    </w:p>
    <w:p w14:paraId="524E819D">
      <w:pPr>
        <w:adjustRightInd w:val="0"/>
        <w:snapToGrid w:val="0"/>
        <w:spacing w:line="360" w:lineRule="auto"/>
        <w:ind w:firstLine="480" w:firstLineChars="200"/>
        <w:rPr>
          <w:bCs/>
          <w:sz w:val="24"/>
        </w:rPr>
      </w:pPr>
      <w:r>
        <w:rPr>
          <w:rFonts w:hint="eastAsia"/>
          <w:bCs/>
          <w:sz w:val="24"/>
        </w:rPr>
        <w:t>8、基金份额发售公告：指《交银施罗德佳宁债券型证券投资基金基金份额发售公告》</w:t>
      </w:r>
    </w:p>
    <w:p w14:paraId="1284EC00">
      <w:pPr>
        <w:adjustRightInd w:val="0"/>
        <w:snapToGrid w:val="0"/>
        <w:spacing w:line="360" w:lineRule="auto"/>
        <w:ind w:firstLine="480" w:firstLineChars="20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0C4298B8">
      <w:pPr>
        <w:adjustRightInd w:val="0"/>
        <w:snapToGrid w:val="0"/>
        <w:spacing w:line="360" w:lineRule="auto"/>
        <w:ind w:firstLine="480" w:firstLineChars="200"/>
        <w:rPr>
          <w:bCs/>
          <w:sz w:val="24"/>
        </w:rPr>
      </w:pPr>
      <w:r>
        <w:rPr>
          <w:bCs/>
          <w:sz w:val="24"/>
        </w:rPr>
        <w:t>10</w:t>
      </w:r>
      <w:r>
        <w:rPr>
          <w:rFonts w:hint="eastAsia"/>
          <w:bCs/>
          <w:sz w:val="24"/>
        </w:rPr>
        <w:t>、《基金法》：指《中华人民共和国证券投资基金法》及颁布机关对其不时做出的修订</w:t>
      </w:r>
    </w:p>
    <w:p w14:paraId="5A884F5D">
      <w:pPr>
        <w:adjustRightInd w:val="0"/>
        <w:snapToGrid w:val="0"/>
        <w:spacing w:line="360" w:lineRule="auto"/>
        <w:ind w:firstLine="480" w:firstLineChars="200"/>
        <w:rPr>
          <w:bCs/>
          <w:sz w:val="24"/>
        </w:rPr>
      </w:pPr>
      <w:r>
        <w:rPr>
          <w:rFonts w:hint="eastAsia"/>
          <w:bCs/>
          <w:sz w:val="24"/>
        </w:rPr>
        <w:t>1</w:t>
      </w:r>
      <w:r>
        <w:rPr>
          <w:bCs/>
          <w:sz w:val="24"/>
        </w:rPr>
        <w:t>1</w:t>
      </w:r>
      <w:r>
        <w:rPr>
          <w:rFonts w:hint="eastAsia"/>
          <w:bCs/>
          <w:sz w:val="24"/>
        </w:rPr>
        <w:t>、《销售办法》：指《公开募集证券投资基金销售机构监督管理办法》及颁布机关对其不时做出的修订</w:t>
      </w:r>
    </w:p>
    <w:p w14:paraId="24768E8A">
      <w:pPr>
        <w:adjustRightInd w:val="0"/>
        <w:snapToGrid w:val="0"/>
        <w:spacing w:line="360" w:lineRule="auto"/>
        <w:ind w:firstLine="480" w:firstLineChars="200"/>
        <w:rPr>
          <w:bCs/>
          <w:sz w:val="24"/>
        </w:rPr>
      </w:pPr>
      <w:r>
        <w:rPr>
          <w:rFonts w:hint="eastAsia"/>
          <w:bCs/>
          <w:sz w:val="24"/>
        </w:rPr>
        <w:t>1</w:t>
      </w:r>
      <w:r>
        <w:rPr>
          <w:bCs/>
          <w:sz w:val="24"/>
        </w:rPr>
        <w:t>2</w:t>
      </w:r>
      <w:r>
        <w:rPr>
          <w:rFonts w:hint="eastAsia"/>
          <w:bCs/>
          <w:sz w:val="24"/>
        </w:rPr>
        <w:t>、《信息披露办法》：指《公开募集证券投资基金信息披露管理办法》及颁布机关对其不时做出的修订</w:t>
      </w:r>
    </w:p>
    <w:p w14:paraId="206F4FE9">
      <w:pPr>
        <w:adjustRightInd w:val="0"/>
        <w:snapToGrid w:val="0"/>
        <w:spacing w:line="360" w:lineRule="auto"/>
        <w:ind w:firstLine="480" w:firstLineChars="200"/>
        <w:rPr>
          <w:bCs/>
          <w:sz w:val="24"/>
        </w:rPr>
      </w:pPr>
      <w:r>
        <w:rPr>
          <w:rFonts w:hint="eastAsia"/>
          <w:bCs/>
          <w:sz w:val="24"/>
        </w:rPr>
        <w:t>1</w:t>
      </w:r>
      <w:r>
        <w:rPr>
          <w:bCs/>
          <w:sz w:val="24"/>
        </w:rPr>
        <w:t>3</w:t>
      </w:r>
      <w:r>
        <w:rPr>
          <w:rFonts w:hint="eastAsia"/>
          <w:bCs/>
          <w:sz w:val="24"/>
        </w:rPr>
        <w:t>、《运作办法》：指《公开募集证券投资基金运作管理办法》及颁布机关对其不时做出的修订</w:t>
      </w:r>
    </w:p>
    <w:p w14:paraId="77ED115B">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、《流动性风险管理规定》：指《公开募集开放式证券投资基金流动性风险管理规定》及颁布机关对其不时做出的修订</w:t>
      </w:r>
    </w:p>
    <w:p w14:paraId="3E5DA804">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、中国证监会：指中国证券监督管理委员会</w:t>
      </w:r>
    </w:p>
    <w:p w14:paraId="3D904444">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、银行业监督管理机构：指中国人民银行和/或国家金融监督管理总局</w:t>
      </w:r>
    </w:p>
    <w:p w14:paraId="19622FAF">
      <w:pPr>
        <w:adjustRightInd w:val="0"/>
        <w:snapToGrid w:val="0"/>
        <w:spacing w:line="360" w:lineRule="auto"/>
        <w:ind w:firstLine="480" w:firstLineChars="200"/>
        <w:rPr>
          <w:bCs/>
          <w:sz w:val="24"/>
        </w:rPr>
      </w:pPr>
      <w:r>
        <w:rPr>
          <w:rFonts w:hint="eastAsia"/>
          <w:bCs/>
          <w:sz w:val="24"/>
        </w:rPr>
        <w:t>1</w:t>
      </w:r>
      <w:r>
        <w:rPr>
          <w:bCs/>
          <w:sz w:val="24"/>
        </w:rPr>
        <w:t>7</w:t>
      </w:r>
      <w:r>
        <w:rPr>
          <w:rFonts w:hint="eastAsia"/>
          <w:bCs/>
          <w:sz w:val="24"/>
        </w:rPr>
        <w:t>、基金合同当事人：指受基金合同约束，根据基金合同享有权利并承担义务的法律主体，包括基金管理人、基金托管人和基金份额持有人</w:t>
      </w:r>
    </w:p>
    <w:p w14:paraId="70806B53">
      <w:pPr>
        <w:adjustRightInd w:val="0"/>
        <w:snapToGrid w:val="0"/>
        <w:spacing w:line="360" w:lineRule="auto"/>
        <w:ind w:firstLine="480" w:firstLineChars="200"/>
        <w:rPr>
          <w:bCs/>
          <w:sz w:val="24"/>
        </w:rPr>
      </w:pPr>
      <w:r>
        <w:rPr>
          <w:rFonts w:hint="eastAsia"/>
          <w:bCs/>
          <w:sz w:val="24"/>
        </w:rPr>
        <w:t>1</w:t>
      </w:r>
      <w:r>
        <w:rPr>
          <w:bCs/>
          <w:sz w:val="24"/>
        </w:rPr>
        <w:t>8</w:t>
      </w:r>
      <w:r>
        <w:rPr>
          <w:rFonts w:hint="eastAsia"/>
          <w:bCs/>
          <w:sz w:val="24"/>
        </w:rPr>
        <w:t>、个人投资者：指依据有关法律法规规定可投资于证券投资基金的自然人</w:t>
      </w:r>
    </w:p>
    <w:p w14:paraId="6AA752A3">
      <w:pPr>
        <w:adjustRightInd w:val="0"/>
        <w:snapToGrid w:val="0"/>
        <w:spacing w:line="360" w:lineRule="auto"/>
        <w:ind w:firstLine="480" w:firstLineChars="200"/>
        <w:rPr>
          <w:bCs/>
          <w:sz w:val="24"/>
        </w:rPr>
      </w:pPr>
      <w:r>
        <w:rPr>
          <w:rFonts w:hint="eastAsia"/>
          <w:bCs/>
          <w:sz w:val="24"/>
        </w:rPr>
        <w:t>1</w:t>
      </w:r>
      <w:r>
        <w:rPr>
          <w:bCs/>
          <w:sz w:val="24"/>
        </w:rPr>
        <w:t>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711F95BB">
      <w:pPr>
        <w:adjustRightInd w:val="0"/>
        <w:snapToGrid w:val="0"/>
        <w:spacing w:line="360" w:lineRule="auto"/>
        <w:ind w:firstLine="480" w:firstLineChars="20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1D87E58">
      <w:pPr>
        <w:adjustRightInd w:val="0"/>
        <w:snapToGrid w:val="0"/>
        <w:spacing w:line="360" w:lineRule="auto"/>
        <w:ind w:firstLine="480" w:firstLineChars="200"/>
        <w:rPr>
          <w:bCs/>
          <w:sz w:val="24"/>
        </w:rPr>
      </w:pPr>
      <w:r>
        <w:rPr>
          <w:bCs/>
          <w:sz w:val="24"/>
        </w:rPr>
        <w:t>21</w:t>
      </w:r>
      <w:r>
        <w:rPr>
          <w:rFonts w:hint="eastAsia"/>
          <w:bCs/>
          <w:sz w:val="24"/>
        </w:rPr>
        <w:t>、投资人、投资者：指个人投资者、机构投资者、合格境外投资者以及法律法规或中国证监会允许购买证券投资基金的其他投资人的合称</w:t>
      </w:r>
    </w:p>
    <w:p w14:paraId="6845CF93">
      <w:pPr>
        <w:adjustRightInd w:val="0"/>
        <w:snapToGrid w:val="0"/>
        <w:spacing w:line="360" w:lineRule="auto"/>
        <w:ind w:firstLine="480" w:firstLineChars="200"/>
        <w:rPr>
          <w:bCs/>
          <w:sz w:val="24"/>
        </w:rPr>
      </w:pPr>
      <w:r>
        <w:rPr>
          <w:bCs/>
          <w:sz w:val="24"/>
        </w:rPr>
        <w:t>22</w:t>
      </w:r>
      <w:r>
        <w:rPr>
          <w:rFonts w:hint="eastAsia"/>
          <w:bCs/>
          <w:sz w:val="24"/>
        </w:rPr>
        <w:t>、基金份额持有人：指依基金合同和招募说明书合法取得基金份额的投资人</w:t>
      </w:r>
    </w:p>
    <w:p w14:paraId="537C69ED">
      <w:pPr>
        <w:adjustRightInd w:val="0"/>
        <w:snapToGrid w:val="0"/>
        <w:spacing w:line="360" w:lineRule="auto"/>
        <w:ind w:firstLine="480" w:firstLineChars="200"/>
        <w:rPr>
          <w:bCs/>
          <w:sz w:val="24"/>
        </w:rPr>
      </w:pPr>
      <w:r>
        <w:rPr>
          <w:bCs/>
          <w:sz w:val="24"/>
        </w:rPr>
        <w:t>23</w:t>
      </w:r>
      <w:r>
        <w:rPr>
          <w:rFonts w:hint="eastAsia"/>
          <w:bCs/>
          <w:sz w:val="24"/>
        </w:rPr>
        <w:t>、基金销售业务：指基金管理人或销售机构宣传推介基金，发售基金份额，办理基金份额的申购、赎回、转换、转托管及定期定额投资等业务</w:t>
      </w:r>
    </w:p>
    <w:p w14:paraId="18FE9F96">
      <w:pPr>
        <w:adjustRightInd w:val="0"/>
        <w:snapToGrid w:val="0"/>
        <w:spacing w:line="360" w:lineRule="auto"/>
        <w:ind w:firstLine="480" w:firstLineChars="200"/>
        <w:rPr>
          <w:bCs/>
          <w:sz w:val="24"/>
        </w:rPr>
      </w:pPr>
      <w:r>
        <w:rPr>
          <w:bCs/>
          <w:sz w:val="24"/>
        </w:rPr>
        <w:t>24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2269BC11">
      <w:pPr>
        <w:adjustRightInd w:val="0"/>
        <w:snapToGrid w:val="0"/>
        <w:spacing w:line="360" w:lineRule="auto"/>
        <w:ind w:firstLine="480" w:firstLineChars="200"/>
        <w:rPr>
          <w:bCs/>
          <w:sz w:val="24"/>
        </w:rPr>
      </w:pPr>
      <w:r>
        <w:rPr>
          <w:bCs/>
          <w:sz w:val="24"/>
        </w:rPr>
        <w:t>25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02C5AB12">
      <w:pPr>
        <w:adjustRightInd w:val="0"/>
        <w:snapToGrid w:val="0"/>
        <w:spacing w:line="360" w:lineRule="auto"/>
        <w:ind w:firstLine="480" w:firstLineChars="200"/>
        <w:rPr>
          <w:bCs/>
          <w:sz w:val="24"/>
        </w:rPr>
      </w:pPr>
      <w:r>
        <w:rPr>
          <w:bCs/>
          <w:sz w:val="24"/>
        </w:rPr>
        <w:t>26</w:t>
      </w:r>
      <w:r>
        <w:rPr>
          <w:rFonts w:hint="eastAsia"/>
          <w:bCs/>
          <w:sz w:val="24"/>
        </w:rPr>
        <w:t>、登记机构：指办理登记业务的机构。基金的登记机构为交银施罗德基金管理有限公司或接受交银施罗德基金管理有限公司委托代为办理登记业务的机构</w:t>
      </w:r>
    </w:p>
    <w:p w14:paraId="24FAF79B">
      <w:pPr>
        <w:adjustRightInd w:val="0"/>
        <w:snapToGrid w:val="0"/>
        <w:spacing w:line="360" w:lineRule="auto"/>
        <w:ind w:firstLine="480" w:firstLineChars="200"/>
        <w:rPr>
          <w:bCs/>
          <w:sz w:val="24"/>
        </w:rPr>
      </w:pPr>
      <w:r>
        <w:rPr>
          <w:bCs/>
          <w:sz w:val="24"/>
        </w:rPr>
        <w:t>27</w:t>
      </w:r>
      <w:r>
        <w:rPr>
          <w:rFonts w:hint="eastAsia"/>
          <w:bCs/>
          <w:sz w:val="24"/>
        </w:rPr>
        <w:t>、基金账户：指登记机构为投资人开立的、记录其持有的、基金管理人所管理的基金份额余额及其变动情况的账户</w:t>
      </w:r>
    </w:p>
    <w:p w14:paraId="11045392">
      <w:pPr>
        <w:adjustRightInd w:val="0"/>
        <w:snapToGrid w:val="0"/>
        <w:spacing w:line="360" w:lineRule="auto"/>
        <w:ind w:firstLine="480" w:firstLineChars="200"/>
        <w:rPr>
          <w:bCs/>
          <w:sz w:val="24"/>
        </w:rPr>
      </w:pPr>
      <w:r>
        <w:rPr>
          <w:bCs/>
          <w:sz w:val="24"/>
        </w:rPr>
        <w:t>28</w:t>
      </w:r>
      <w:r>
        <w:rPr>
          <w:rFonts w:hint="eastAsia"/>
          <w:bCs/>
          <w:sz w:val="24"/>
        </w:rPr>
        <w:t>、基金交易账户：指销售机构为投资人开立的、记录投资人通过该销售机构办理认购、申购、赎回、转换及转托管等业务而引起的基金份额变动及结余情况的账户</w:t>
      </w:r>
    </w:p>
    <w:p w14:paraId="454DEC50">
      <w:pPr>
        <w:adjustRightInd w:val="0"/>
        <w:snapToGrid w:val="0"/>
        <w:spacing w:line="360" w:lineRule="auto"/>
        <w:ind w:firstLine="480" w:firstLineChars="20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14:paraId="35C88290">
      <w:pPr>
        <w:adjustRightInd w:val="0"/>
        <w:snapToGrid w:val="0"/>
        <w:spacing w:line="360" w:lineRule="auto"/>
        <w:ind w:firstLine="480" w:firstLineChars="200"/>
        <w:rPr>
          <w:bCs/>
          <w:sz w:val="24"/>
        </w:rPr>
      </w:pPr>
      <w:r>
        <w:rPr>
          <w:bCs/>
          <w:sz w:val="24"/>
        </w:rPr>
        <w:t>30</w:t>
      </w:r>
      <w:r>
        <w:rPr>
          <w:rFonts w:hint="eastAsia"/>
          <w:bCs/>
          <w:sz w:val="24"/>
        </w:rPr>
        <w:t>、基金合同终止日：指基金合同规定的基金合同终止事由出现后，基金财产清算完毕，清算结果报中国证监会备案并予以公告的日期</w:t>
      </w:r>
    </w:p>
    <w:p w14:paraId="3AB57472">
      <w:pPr>
        <w:adjustRightInd w:val="0"/>
        <w:snapToGrid w:val="0"/>
        <w:spacing w:line="360" w:lineRule="auto"/>
        <w:ind w:firstLine="480" w:firstLineChars="200"/>
        <w:rPr>
          <w:bCs/>
          <w:sz w:val="24"/>
        </w:rPr>
      </w:pPr>
      <w:r>
        <w:rPr>
          <w:bCs/>
          <w:sz w:val="24"/>
        </w:rPr>
        <w:t>31</w:t>
      </w:r>
      <w:r>
        <w:rPr>
          <w:rFonts w:hint="eastAsia"/>
          <w:bCs/>
          <w:sz w:val="24"/>
        </w:rPr>
        <w:t>、基金募集期：指自基金份额发售之日起至发售结束之日止的期间，最长不得超过3个月</w:t>
      </w:r>
    </w:p>
    <w:p w14:paraId="40F03502">
      <w:pPr>
        <w:adjustRightInd w:val="0"/>
        <w:snapToGrid w:val="0"/>
        <w:spacing w:line="360" w:lineRule="auto"/>
        <w:ind w:firstLine="480" w:firstLineChars="200"/>
        <w:rPr>
          <w:bCs/>
          <w:sz w:val="24"/>
        </w:rPr>
      </w:pPr>
      <w:r>
        <w:rPr>
          <w:bCs/>
          <w:sz w:val="24"/>
        </w:rPr>
        <w:t>32</w:t>
      </w:r>
      <w:r>
        <w:rPr>
          <w:rFonts w:hint="eastAsia"/>
          <w:bCs/>
          <w:sz w:val="24"/>
        </w:rPr>
        <w:t>、存续期：指基金合同生效至终止之间的不定期期限</w:t>
      </w:r>
    </w:p>
    <w:p w14:paraId="06E932BB">
      <w:pPr>
        <w:adjustRightInd w:val="0"/>
        <w:snapToGrid w:val="0"/>
        <w:spacing w:line="360" w:lineRule="auto"/>
        <w:ind w:firstLine="480" w:firstLineChars="200"/>
        <w:rPr>
          <w:bCs/>
          <w:sz w:val="24"/>
        </w:rPr>
      </w:pPr>
      <w:r>
        <w:rPr>
          <w:bCs/>
          <w:sz w:val="24"/>
        </w:rPr>
        <w:t>33</w:t>
      </w:r>
      <w:r>
        <w:rPr>
          <w:rFonts w:hint="eastAsia"/>
          <w:bCs/>
          <w:sz w:val="24"/>
        </w:rPr>
        <w:t>、工作日：指上海证券交易所、深圳证券交易所的正常交易日</w:t>
      </w:r>
    </w:p>
    <w:p w14:paraId="7A3748FC">
      <w:pPr>
        <w:adjustRightInd w:val="0"/>
        <w:snapToGrid w:val="0"/>
        <w:spacing w:line="360" w:lineRule="auto"/>
        <w:ind w:firstLine="480" w:firstLineChars="200"/>
        <w:rPr>
          <w:bCs/>
          <w:sz w:val="24"/>
        </w:rPr>
      </w:pPr>
      <w:r>
        <w:rPr>
          <w:bCs/>
          <w:sz w:val="24"/>
        </w:rPr>
        <w:t>34</w:t>
      </w:r>
      <w:r>
        <w:rPr>
          <w:rFonts w:hint="eastAsia"/>
          <w:bCs/>
          <w:sz w:val="24"/>
        </w:rPr>
        <w:t>、T日：指销售机构在规定时间受理投资人申购、赎回或其他业务申请的开放日</w:t>
      </w:r>
    </w:p>
    <w:p w14:paraId="160C4186">
      <w:pPr>
        <w:adjustRightInd w:val="0"/>
        <w:snapToGrid w:val="0"/>
        <w:spacing w:line="360" w:lineRule="auto"/>
        <w:ind w:firstLine="480" w:firstLineChars="200"/>
        <w:rPr>
          <w:bCs/>
          <w:sz w:val="24"/>
        </w:rPr>
      </w:pPr>
      <w:r>
        <w:rPr>
          <w:bCs/>
          <w:sz w:val="24"/>
        </w:rPr>
        <w:t>35</w:t>
      </w:r>
      <w:r>
        <w:rPr>
          <w:rFonts w:hint="eastAsia"/>
          <w:bCs/>
          <w:sz w:val="24"/>
        </w:rPr>
        <w:t>、T+n日：指自T日起第n个工作日（不包含T日）</w:t>
      </w:r>
    </w:p>
    <w:p w14:paraId="3538E2EC">
      <w:pPr>
        <w:adjustRightInd w:val="0"/>
        <w:snapToGrid w:val="0"/>
        <w:spacing w:line="360" w:lineRule="auto"/>
        <w:ind w:firstLine="480" w:firstLineChars="200"/>
        <w:rPr>
          <w:bCs/>
          <w:sz w:val="24"/>
        </w:rPr>
      </w:pPr>
      <w:r>
        <w:rPr>
          <w:rFonts w:hint="eastAsia"/>
          <w:bCs/>
          <w:sz w:val="24"/>
        </w:rPr>
        <w:t>36、开放日：指为投资人办理基金份额申购、赎回或其他业务的工作日（若该工作日为非港股通交易日，则本基金可不开放）</w:t>
      </w:r>
    </w:p>
    <w:p w14:paraId="2B1FB18A">
      <w:pPr>
        <w:adjustRightInd w:val="0"/>
        <w:snapToGrid w:val="0"/>
        <w:spacing w:line="360" w:lineRule="auto"/>
        <w:ind w:firstLine="480" w:firstLineChars="200"/>
        <w:rPr>
          <w:bCs/>
          <w:sz w:val="24"/>
        </w:rPr>
      </w:pPr>
      <w:r>
        <w:rPr>
          <w:bCs/>
          <w:sz w:val="24"/>
        </w:rPr>
        <w:t>37</w:t>
      </w:r>
      <w:r>
        <w:rPr>
          <w:rFonts w:hint="eastAsia"/>
          <w:bCs/>
          <w:sz w:val="24"/>
        </w:rPr>
        <w:t>、开放时间：指开放日基金接受申购、赎回或其他交易的时间段</w:t>
      </w:r>
    </w:p>
    <w:p w14:paraId="69BE0F32">
      <w:pPr>
        <w:adjustRightInd w:val="0"/>
        <w:snapToGrid w:val="0"/>
        <w:spacing w:line="360" w:lineRule="auto"/>
        <w:ind w:firstLine="480" w:firstLineChars="200"/>
        <w:rPr>
          <w:bCs/>
          <w:sz w:val="24"/>
        </w:rPr>
      </w:pPr>
      <w:r>
        <w:rPr>
          <w:bCs/>
          <w:sz w:val="24"/>
        </w:rPr>
        <w:t>38</w:t>
      </w:r>
      <w:r>
        <w:rPr>
          <w:rFonts w:hint="eastAsia"/>
          <w:bCs/>
          <w:sz w:val="24"/>
        </w:rPr>
        <w:t>、《业务规则》：指《交银施罗德基金管理有限公司开放式基金业务规则》，是规范基金管理人所管理的开放式证券投资基金登记方面的业务规则，由基金管理人和投资人共同遵守</w:t>
      </w:r>
    </w:p>
    <w:p w14:paraId="7F4968A1">
      <w:pPr>
        <w:adjustRightInd w:val="0"/>
        <w:snapToGrid w:val="0"/>
        <w:spacing w:line="360" w:lineRule="auto"/>
        <w:ind w:firstLine="480" w:firstLineChars="200"/>
        <w:rPr>
          <w:bCs/>
          <w:sz w:val="24"/>
        </w:rPr>
      </w:pPr>
      <w:r>
        <w:rPr>
          <w:bCs/>
          <w:sz w:val="24"/>
        </w:rPr>
        <w:t>39</w:t>
      </w:r>
      <w:r>
        <w:rPr>
          <w:rFonts w:hint="eastAsia"/>
          <w:bCs/>
          <w:sz w:val="24"/>
        </w:rPr>
        <w:t>、认购：指在基金募集期内，投资人根据基金合同和招募说明书的规定申请购买基金份额的行为</w:t>
      </w:r>
    </w:p>
    <w:p w14:paraId="0CC73403">
      <w:pPr>
        <w:adjustRightInd w:val="0"/>
        <w:snapToGrid w:val="0"/>
        <w:spacing w:line="360" w:lineRule="auto"/>
        <w:ind w:firstLine="480" w:firstLineChars="200"/>
        <w:rPr>
          <w:bCs/>
          <w:sz w:val="24"/>
        </w:rPr>
      </w:pPr>
      <w:r>
        <w:rPr>
          <w:bCs/>
          <w:sz w:val="24"/>
        </w:rPr>
        <w:t>40</w:t>
      </w:r>
      <w:r>
        <w:rPr>
          <w:rFonts w:hint="eastAsia"/>
          <w:bCs/>
          <w:sz w:val="24"/>
        </w:rPr>
        <w:t>、申购：指基金合同生效后，投资人根据基金合同和招募说明书的规定申请购买基金份额的行为</w:t>
      </w:r>
    </w:p>
    <w:p w14:paraId="05F8400B">
      <w:pPr>
        <w:adjustRightInd w:val="0"/>
        <w:snapToGrid w:val="0"/>
        <w:spacing w:line="360" w:lineRule="auto"/>
        <w:ind w:firstLine="480" w:firstLineChars="200"/>
        <w:rPr>
          <w:bCs/>
          <w:sz w:val="24"/>
        </w:rPr>
      </w:pPr>
      <w:r>
        <w:rPr>
          <w:bCs/>
          <w:sz w:val="24"/>
        </w:rPr>
        <w:t>41</w:t>
      </w:r>
      <w:r>
        <w:rPr>
          <w:rFonts w:hint="eastAsia"/>
          <w:bCs/>
          <w:sz w:val="24"/>
        </w:rPr>
        <w:t>、赎回：指基金合同生效后，基金份额持有人按基金合同和招募说明书规定的条件要求将基金份额兑换为现金的行为</w:t>
      </w:r>
    </w:p>
    <w:p w14:paraId="5A354487">
      <w:pPr>
        <w:adjustRightInd w:val="0"/>
        <w:snapToGrid w:val="0"/>
        <w:spacing w:line="360" w:lineRule="auto"/>
        <w:ind w:firstLine="480" w:firstLineChars="200"/>
        <w:rPr>
          <w:bCs/>
          <w:sz w:val="24"/>
        </w:rPr>
      </w:pPr>
      <w:r>
        <w:rPr>
          <w:bCs/>
          <w:sz w:val="24"/>
        </w:rPr>
        <w:t>42</w:t>
      </w:r>
      <w:r>
        <w:rPr>
          <w:rFonts w:hint="eastAsia"/>
          <w:bCs/>
          <w:sz w:val="24"/>
        </w:rPr>
        <w:t>、基金转换：指基金份额持有人按照基金合同和基金管理人届时有效公告规定的条件，申请将其持有基金管理人管理的、某一基金的基金份额转换为该基金其他份额（如有）或基金管理人管理的其他基金基金份额的行为</w:t>
      </w:r>
    </w:p>
    <w:p w14:paraId="2ABC87E7">
      <w:pPr>
        <w:adjustRightInd w:val="0"/>
        <w:snapToGrid w:val="0"/>
        <w:spacing w:line="360" w:lineRule="auto"/>
        <w:ind w:firstLine="480" w:firstLineChars="200"/>
        <w:rPr>
          <w:bCs/>
          <w:sz w:val="24"/>
        </w:rPr>
      </w:pPr>
      <w:r>
        <w:rPr>
          <w:bCs/>
          <w:sz w:val="24"/>
        </w:rPr>
        <w:t>43</w:t>
      </w:r>
      <w:r>
        <w:rPr>
          <w:rFonts w:hint="eastAsia"/>
          <w:bCs/>
          <w:sz w:val="24"/>
        </w:rPr>
        <w:t>、转托管：指基金份额持有人在本基金的不同销售机构之间实施的变更所持基金份额销售机构的操作</w:t>
      </w:r>
    </w:p>
    <w:p w14:paraId="61F4C2D2">
      <w:pPr>
        <w:adjustRightInd w:val="0"/>
        <w:snapToGrid w:val="0"/>
        <w:spacing w:line="360" w:lineRule="auto"/>
        <w:ind w:firstLine="480" w:firstLineChars="200"/>
        <w:rPr>
          <w:bCs/>
          <w:sz w:val="24"/>
        </w:rPr>
      </w:pPr>
      <w:r>
        <w:rPr>
          <w:bCs/>
          <w:sz w:val="24"/>
        </w:rPr>
        <w:t>44</w:t>
      </w:r>
      <w:r>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4B00755C">
      <w:pPr>
        <w:adjustRightInd w:val="0"/>
        <w:snapToGrid w:val="0"/>
        <w:spacing w:line="360" w:lineRule="auto"/>
        <w:ind w:firstLine="480" w:firstLineChars="200"/>
        <w:rPr>
          <w:bCs/>
          <w:sz w:val="24"/>
        </w:rPr>
      </w:pPr>
      <w:r>
        <w:rPr>
          <w:bCs/>
          <w:sz w:val="24"/>
        </w:rPr>
        <w:t>45</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的情形</w:t>
      </w:r>
    </w:p>
    <w:p w14:paraId="4711D09B">
      <w:pPr>
        <w:adjustRightInd w:val="0"/>
        <w:snapToGrid w:val="0"/>
        <w:spacing w:line="360" w:lineRule="auto"/>
        <w:ind w:firstLine="480" w:firstLineChars="200"/>
        <w:rPr>
          <w:bCs/>
          <w:sz w:val="24"/>
        </w:rPr>
      </w:pPr>
      <w:r>
        <w:rPr>
          <w:bCs/>
          <w:sz w:val="24"/>
        </w:rPr>
        <w:t>46</w:t>
      </w:r>
      <w:r>
        <w:rPr>
          <w:rFonts w:hint="eastAsia"/>
          <w:bCs/>
          <w:sz w:val="24"/>
        </w:rPr>
        <w:t>、元：指人民币元</w:t>
      </w:r>
    </w:p>
    <w:p w14:paraId="31C0ECB7">
      <w:pPr>
        <w:adjustRightInd w:val="0"/>
        <w:snapToGrid w:val="0"/>
        <w:spacing w:line="360" w:lineRule="auto"/>
        <w:ind w:firstLine="480" w:firstLineChars="200"/>
        <w:rPr>
          <w:bCs/>
          <w:sz w:val="24"/>
        </w:rPr>
      </w:pPr>
      <w:r>
        <w:rPr>
          <w:bCs/>
          <w:sz w:val="24"/>
        </w:rPr>
        <w:t>47</w:t>
      </w:r>
      <w:r>
        <w:rPr>
          <w:rFonts w:hint="eastAsia"/>
          <w:bCs/>
          <w:sz w:val="24"/>
        </w:rPr>
        <w:t>、基金收益：指基金投资所得红利、股息、债券利息、买卖证券价差、银行存款利息、已实现的其他合法收入及因运用基金财产带来的成本和费用的节约</w:t>
      </w:r>
    </w:p>
    <w:p w14:paraId="58CBE7AA">
      <w:pPr>
        <w:adjustRightInd w:val="0"/>
        <w:snapToGrid w:val="0"/>
        <w:spacing w:line="360" w:lineRule="auto"/>
        <w:ind w:firstLine="480" w:firstLineChars="200"/>
        <w:rPr>
          <w:bCs/>
          <w:sz w:val="24"/>
        </w:rPr>
      </w:pPr>
      <w:r>
        <w:rPr>
          <w:bCs/>
          <w:sz w:val="24"/>
        </w:rPr>
        <w:t>48</w:t>
      </w:r>
      <w:r>
        <w:rPr>
          <w:rFonts w:hint="eastAsia"/>
          <w:bCs/>
          <w:sz w:val="24"/>
        </w:rPr>
        <w:t>、基金资产总值：指基金拥有的各类有价证券、证券投资基金份额、国债期货合约、银行存款本息、基金应收</w:t>
      </w:r>
      <w:r>
        <w:rPr>
          <w:bCs/>
          <w:sz w:val="24"/>
        </w:rPr>
        <w:t>款项</w:t>
      </w:r>
      <w:r>
        <w:rPr>
          <w:rFonts w:hint="eastAsia"/>
          <w:bCs/>
          <w:sz w:val="24"/>
        </w:rPr>
        <w:t>及其他资产的价值总和</w:t>
      </w:r>
    </w:p>
    <w:p w14:paraId="089A257C">
      <w:pPr>
        <w:adjustRightInd w:val="0"/>
        <w:snapToGrid w:val="0"/>
        <w:spacing w:line="360" w:lineRule="auto"/>
        <w:ind w:firstLine="480" w:firstLineChars="200"/>
        <w:rPr>
          <w:bCs/>
          <w:sz w:val="24"/>
        </w:rPr>
      </w:pPr>
      <w:r>
        <w:rPr>
          <w:bCs/>
          <w:sz w:val="24"/>
        </w:rPr>
        <w:t>49</w:t>
      </w:r>
      <w:r>
        <w:rPr>
          <w:rFonts w:hint="eastAsia"/>
          <w:bCs/>
          <w:sz w:val="24"/>
        </w:rPr>
        <w:t>、基金资产净值：指基金资产总值减去基金负债后的价值</w:t>
      </w:r>
    </w:p>
    <w:p w14:paraId="4C0DE2AB">
      <w:pPr>
        <w:adjustRightInd w:val="0"/>
        <w:snapToGrid w:val="0"/>
        <w:spacing w:line="360" w:lineRule="auto"/>
        <w:ind w:firstLine="480" w:firstLineChars="200"/>
        <w:rPr>
          <w:bCs/>
          <w:sz w:val="24"/>
        </w:rPr>
      </w:pPr>
      <w:r>
        <w:rPr>
          <w:bCs/>
          <w:sz w:val="24"/>
        </w:rPr>
        <w:t>50</w:t>
      </w:r>
      <w:r>
        <w:rPr>
          <w:rFonts w:hint="eastAsia"/>
          <w:bCs/>
          <w:sz w:val="24"/>
        </w:rPr>
        <w:t>、基金份额净值：指计算日基金资产净值除以计算日基金份额总数</w:t>
      </w:r>
    </w:p>
    <w:p w14:paraId="08981E24">
      <w:pPr>
        <w:adjustRightInd w:val="0"/>
        <w:snapToGrid w:val="0"/>
        <w:spacing w:line="360" w:lineRule="auto"/>
        <w:ind w:firstLine="480" w:firstLineChars="200"/>
        <w:rPr>
          <w:bCs/>
          <w:sz w:val="24"/>
        </w:rPr>
      </w:pPr>
      <w:r>
        <w:rPr>
          <w:bCs/>
          <w:sz w:val="24"/>
        </w:rPr>
        <w:t>51</w:t>
      </w:r>
      <w:r>
        <w:rPr>
          <w:rFonts w:hint="eastAsia"/>
          <w:bCs/>
          <w:sz w:val="24"/>
        </w:rPr>
        <w:t>、基金资产估值：指计算评估基金资产和负债的价值，以确定基金资产净值和基金份额净值的过程</w:t>
      </w:r>
    </w:p>
    <w:p w14:paraId="192299EC">
      <w:pPr>
        <w:adjustRightInd w:val="0"/>
        <w:snapToGrid w:val="0"/>
        <w:spacing w:line="360" w:lineRule="auto"/>
        <w:ind w:firstLine="480" w:firstLineChars="200"/>
        <w:rPr>
          <w:bCs/>
          <w:sz w:val="24"/>
        </w:rPr>
      </w:pPr>
      <w:r>
        <w:rPr>
          <w:bCs/>
          <w:sz w:val="24"/>
        </w:rPr>
        <w:t>52</w:t>
      </w:r>
      <w:r>
        <w:rPr>
          <w:rFonts w:hint="eastAsia"/>
          <w:bCs/>
          <w:sz w:val="24"/>
        </w:rPr>
        <w:t>、港股通标的股票：指内地投资者委托内地证券公司，经由内地证券交易所在香港设立的证券交易服务公司，向香港联合交易所进行申报，买卖规定范围内的香港联合交易所上市的股票</w:t>
      </w:r>
    </w:p>
    <w:p w14:paraId="00871B5D">
      <w:pPr>
        <w:adjustRightInd w:val="0"/>
        <w:snapToGrid w:val="0"/>
        <w:spacing w:line="360" w:lineRule="auto"/>
        <w:ind w:firstLine="480" w:firstLineChars="200"/>
        <w:rPr>
          <w:bCs/>
          <w:sz w:val="24"/>
        </w:rPr>
      </w:pPr>
      <w:r>
        <w:rPr>
          <w:bCs/>
          <w:sz w:val="24"/>
        </w:rPr>
        <w:t>53</w:t>
      </w:r>
      <w:r>
        <w:rPr>
          <w:rFonts w:hint="eastAsia"/>
          <w:bCs/>
          <w:sz w:val="24"/>
        </w:rPr>
        <w:t>、销售服务费：指从基金财产中计提的，用于本基金市场推广、销售以及基金份额持有人服务的费用</w:t>
      </w:r>
    </w:p>
    <w:p w14:paraId="64B6BA73">
      <w:pPr>
        <w:adjustRightInd w:val="0"/>
        <w:snapToGrid w:val="0"/>
        <w:spacing w:line="360" w:lineRule="auto"/>
        <w:ind w:firstLine="480" w:firstLineChars="200"/>
        <w:rPr>
          <w:bCs/>
          <w:sz w:val="24"/>
        </w:rPr>
      </w:pPr>
      <w:r>
        <w:rPr>
          <w:bCs/>
          <w:sz w:val="24"/>
        </w:rPr>
        <w:t>54</w:t>
      </w:r>
      <w:r>
        <w:rPr>
          <w:rFonts w:hint="eastAsia"/>
          <w:bCs/>
          <w:sz w:val="24"/>
        </w:rPr>
        <w:t>、A类基金份额：指在投资人认购/申购时收取认购/申购费用且不从本类别基金资产中计提销售服务费的基金份额（其中，对于投资人通过直销机构认购/申购的A类基金份额，不收取认购/申购费用）</w:t>
      </w:r>
    </w:p>
    <w:p w14:paraId="71BA50A5">
      <w:pPr>
        <w:adjustRightInd w:val="0"/>
        <w:snapToGrid w:val="0"/>
        <w:spacing w:line="360" w:lineRule="auto"/>
        <w:ind w:firstLine="480" w:firstLineChars="200"/>
        <w:rPr>
          <w:bCs/>
          <w:sz w:val="24"/>
        </w:rPr>
      </w:pPr>
      <w:r>
        <w:rPr>
          <w:bCs/>
          <w:sz w:val="24"/>
        </w:rPr>
        <w:t>55</w:t>
      </w:r>
      <w:r>
        <w:rPr>
          <w:rFonts w:hint="eastAsia"/>
          <w:bCs/>
          <w:sz w:val="24"/>
        </w:rPr>
        <w:t>、C类基金份额：指在投资人认购/申购时不收取认购/申购费用，并从本类别基金资产中计提销售服务费的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即365天，下同）后计提的销售服务费将在投资人赎回相应基金份额或基金合同终止时随赎回款或清算款一并返还给投资人）</w:t>
      </w:r>
    </w:p>
    <w:p w14:paraId="4E0E79D6">
      <w:pPr>
        <w:adjustRightInd w:val="0"/>
        <w:snapToGrid w:val="0"/>
        <w:spacing w:line="360" w:lineRule="auto"/>
        <w:ind w:firstLine="480" w:firstLineChars="200"/>
        <w:rPr>
          <w:bCs/>
          <w:sz w:val="24"/>
        </w:rPr>
      </w:pPr>
      <w:r>
        <w:rPr>
          <w:bCs/>
          <w:sz w:val="24"/>
        </w:rPr>
        <w:t>56</w:t>
      </w:r>
      <w:r>
        <w:rPr>
          <w:rFonts w:hint="eastAsia"/>
          <w:bCs/>
          <w:sz w:val="24"/>
        </w:rPr>
        <w:t>、规定媒介：</w:t>
      </w:r>
      <w:r>
        <w:rPr>
          <w:bCs/>
          <w:sz w:val="24"/>
        </w:rPr>
        <w:t>指</w:t>
      </w:r>
      <w:r>
        <w:rPr>
          <w:rFonts w:hint="eastAsia"/>
          <w:bCs/>
          <w:sz w:val="24"/>
        </w:rPr>
        <w:t>符合</w:t>
      </w:r>
      <w:r>
        <w:rPr>
          <w:bCs/>
          <w:sz w:val="24"/>
        </w:rPr>
        <w:t>中国证监会</w:t>
      </w:r>
      <w:r>
        <w:rPr>
          <w:rFonts w:hint="eastAsia"/>
          <w:bCs/>
          <w:sz w:val="24"/>
        </w:rPr>
        <w:t>规定条件</w:t>
      </w:r>
      <w:r>
        <w:rPr>
          <w:bCs/>
          <w:sz w:val="24"/>
        </w:rPr>
        <w:t>的用以进行信息披露的</w:t>
      </w:r>
      <w:r>
        <w:rPr>
          <w:rFonts w:hint="eastAsia"/>
          <w:bCs/>
          <w:sz w:val="24"/>
        </w:rPr>
        <w:t>全国性</w:t>
      </w:r>
      <w:r>
        <w:rPr>
          <w:bCs/>
          <w:sz w:val="24"/>
        </w:rPr>
        <w:t>报刊</w:t>
      </w:r>
      <w:r>
        <w:rPr>
          <w:rFonts w:hint="eastAsia"/>
          <w:bCs/>
          <w:sz w:val="24"/>
        </w:rPr>
        <w:t>及</w:t>
      </w:r>
      <w:r>
        <w:rPr>
          <w:bCs/>
          <w:sz w:val="24"/>
        </w:rPr>
        <w:t>《</w:t>
      </w:r>
      <w:r>
        <w:rPr>
          <w:rFonts w:hint="eastAsia"/>
          <w:bCs/>
          <w:sz w:val="24"/>
        </w:rPr>
        <w:t>信息披露办法</w:t>
      </w:r>
      <w:r>
        <w:rPr>
          <w:bCs/>
          <w:sz w:val="24"/>
        </w:rPr>
        <w:t>》</w:t>
      </w:r>
      <w:r>
        <w:rPr>
          <w:rFonts w:hint="eastAsia"/>
          <w:bCs/>
          <w:sz w:val="24"/>
        </w:rPr>
        <w:t>规定的</w:t>
      </w:r>
      <w:r>
        <w:rPr>
          <w:bCs/>
          <w:sz w:val="24"/>
        </w:rPr>
        <w:t>互联网网站</w:t>
      </w:r>
      <w:r>
        <w:rPr>
          <w:rFonts w:hint="eastAsia"/>
          <w:bCs/>
          <w:sz w:val="24"/>
        </w:rPr>
        <w:t>（包括基金管理人网站、基金托管人网站、中国证监会基金电子披露网站）等媒介</w:t>
      </w:r>
    </w:p>
    <w:p w14:paraId="5A91D535">
      <w:pPr>
        <w:adjustRightInd w:val="0"/>
        <w:snapToGrid w:val="0"/>
        <w:spacing w:line="360" w:lineRule="auto"/>
        <w:ind w:firstLine="480" w:firstLineChars="200"/>
        <w:rPr>
          <w:bCs/>
          <w:sz w:val="24"/>
        </w:rPr>
      </w:pPr>
      <w:r>
        <w:rPr>
          <w:rFonts w:hint="eastAsia"/>
          <w:bCs/>
          <w:sz w:val="24"/>
        </w:rPr>
        <w:t>5</w:t>
      </w:r>
      <w:r>
        <w:rPr>
          <w:bCs/>
          <w:sz w:val="24"/>
        </w:rPr>
        <w:t>7</w:t>
      </w:r>
      <w:r>
        <w:rPr>
          <w:rFonts w:hint="eastAsia"/>
          <w:bCs/>
          <w:sz w:val="24"/>
        </w:rPr>
        <w:t>、信用衍生品：指符合证券交易所或银行间市场相关业务规则，专门用于管理信用风险的信用衍生工具</w:t>
      </w:r>
    </w:p>
    <w:p w14:paraId="004304FF">
      <w:pPr>
        <w:adjustRightInd w:val="0"/>
        <w:snapToGrid w:val="0"/>
        <w:spacing w:line="360" w:lineRule="auto"/>
        <w:ind w:firstLine="480" w:firstLineChars="200"/>
        <w:rPr>
          <w:bCs/>
          <w:sz w:val="24"/>
        </w:rPr>
      </w:pPr>
      <w:r>
        <w:rPr>
          <w:bCs/>
          <w:sz w:val="24"/>
        </w:rPr>
        <w:t>58</w:t>
      </w:r>
      <w:r>
        <w:rPr>
          <w:rFonts w:hint="eastAsia"/>
          <w:bCs/>
          <w:sz w:val="24"/>
        </w:rPr>
        <w:t>、信用保护买方：亦称信用保护购买方，指接受信用风险保护的一方</w:t>
      </w:r>
    </w:p>
    <w:p w14:paraId="0BFF84EC">
      <w:pPr>
        <w:adjustRightInd w:val="0"/>
        <w:snapToGrid w:val="0"/>
        <w:spacing w:line="360" w:lineRule="auto"/>
        <w:ind w:firstLine="480" w:firstLineChars="200"/>
        <w:rPr>
          <w:bCs/>
          <w:sz w:val="24"/>
        </w:rPr>
      </w:pPr>
      <w:r>
        <w:rPr>
          <w:bCs/>
          <w:sz w:val="24"/>
        </w:rPr>
        <w:t>59</w:t>
      </w:r>
      <w:r>
        <w:rPr>
          <w:rFonts w:hint="eastAsia"/>
          <w:bCs/>
          <w:sz w:val="24"/>
        </w:rPr>
        <w:t>、信用保护卖方：亦称信用保护提供方，指提供信用风险保护的一方</w:t>
      </w:r>
    </w:p>
    <w:p w14:paraId="22678E71">
      <w:pPr>
        <w:adjustRightInd w:val="0"/>
        <w:snapToGrid w:val="0"/>
        <w:spacing w:line="360" w:lineRule="auto"/>
        <w:ind w:firstLine="480" w:firstLineChars="200"/>
        <w:rPr>
          <w:bCs/>
          <w:sz w:val="24"/>
        </w:rPr>
      </w:pPr>
      <w:r>
        <w:rPr>
          <w:rFonts w:hint="eastAsia"/>
          <w:bCs/>
          <w:sz w:val="24"/>
        </w:rPr>
        <w:t>6</w:t>
      </w:r>
      <w:r>
        <w:rPr>
          <w:bCs/>
          <w:sz w:val="24"/>
        </w:rPr>
        <w:t>0</w:t>
      </w:r>
      <w:r>
        <w:rPr>
          <w:rFonts w:hint="eastAsia"/>
          <w:bCs/>
          <w:sz w:val="24"/>
        </w:rPr>
        <w:t>、名义本金：亦称交易名义本金，指为信用衍生品交易提供信用风险保护的金额，各项支付和结算以此金额为计算基准</w:t>
      </w:r>
    </w:p>
    <w:p w14:paraId="48BE90B2">
      <w:pPr>
        <w:adjustRightInd w:val="0"/>
        <w:snapToGrid w:val="0"/>
        <w:spacing w:line="360" w:lineRule="auto"/>
        <w:ind w:firstLine="480" w:firstLineChars="200"/>
        <w:rPr>
          <w:bCs/>
          <w:sz w:val="24"/>
        </w:rPr>
      </w:pPr>
      <w:r>
        <w:rPr>
          <w:bCs/>
          <w:sz w:val="24"/>
        </w:rPr>
        <w:t>61</w:t>
      </w:r>
      <w:r>
        <w:rPr>
          <w:rFonts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425B272B">
      <w:pPr>
        <w:adjustRightInd w:val="0"/>
        <w:snapToGrid w:val="0"/>
        <w:spacing w:line="360" w:lineRule="auto"/>
        <w:ind w:firstLine="480" w:firstLineChars="200"/>
        <w:rPr>
          <w:bCs/>
          <w:sz w:val="24"/>
        </w:rPr>
      </w:pPr>
      <w:r>
        <w:rPr>
          <w:bCs/>
          <w:sz w:val="24"/>
        </w:rPr>
        <w:t>62</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2D13E91">
      <w:pPr>
        <w:adjustRightInd w:val="0"/>
        <w:snapToGrid w:val="0"/>
        <w:spacing w:line="360" w:lineRule="auto"/>
        <w:ind w:firstLine="480" w:firstLineChars="200"/>
        <w:rPr>
          <w:bCs/>
          <w:sz w:val="24"/>
        </w:rPr>
      </w:pPr>
      <w:r>
        <w:rPr>
          <w:bCs/>
          <w:sz w:val="24"/>
        </w:rPr>
        <w:t>63</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4D15D97">
      <w:pPr>
        <w:adjustRightInd w:val="0"/>
        <w:snapToGrid w:val="0"/>
        <w:spacing w:line="360" w:lineRule="auto"/>
        <w:ind w:firstLine="480" w:firstLineChars="200"/>
        <w:rPr>
          <w:bCs/>
          <w:sz w:val="24"/>
        </w:rPr>
      </w:pPr>
      <w:r>
        <w:rPr>
          <w:bCs/>
          <w:sz w:val="24"/>
        </w:rPr>
        <w:t>64</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DF99798">
      <w:pPr>
        <w:adjustRightInd w:val="0"/>
        <w:snapToGrid w:val="0"/>
        <w:spacing w:line="360" w:lineRule="auto"/>
        <w:ind w:firstLine="480" w:firstLineChars="200"/>
        <w:rPr>
          <w:bCs/>
          <w:sz w:val="24"/>
        </w:rPr>
      </w:pPr>
      <w:r>
        <w:rPr>
          <w:bCs/>
          <w:sz w:val="24"/>
        </w:rPr>
        <w:t>65</w:t>
      </w:r>
      <w:r>
        <w:rPr>
          <w:rFonts w:hint="eastAsia"/>
          <w:bCs/>
          <w:sz w:val="24"/>
        </w:rPr>
        <w:t>、不可抗力：指基金合同当事人不能预见、不能避免且不能克服的客观事件</w:t>
      </w:r>
    </w:p>
    <w:p w14:paraId="5540EBE1">
      <w:pPr>
        <w:widowControl/>
        <w:jc w:val="left"/>
        <w:rPr>
          <w:bCs/>
          <w:sz w:val="24"/>
        </w:rPr>
      </w:pPr>
      <w:r>
        <w:rPr>
          <w:bCs/>
          <w:sz w:val="24"/>
        </w:rPr>
        <w:br w:type="page"/>
      </w:r>
    </w:p>
    <w:p w14:paraId="2C880D99">
      <w:pPr>
        <w:adjustRightInd w:val="0"/>
        <w:snapToGrid w:val="0"/>
        <w:spacing w:line="360" w:lineRule="auto"/>
        <w:ind w:firstLine="480" w:firstLineChars="200"/>
        <w:rPr>
          <w:rFonts w:ascii="宋体" w:hAnsi="宋体"/>
          <w:sz w:val="24"/>
        </w:rPr>
      </w:pPr>
    </w:p>
    <w:bookmarkEnd w:id="4"/>
    <w:p w14:paraId="7673ECFE">
      <w:pPr>
        <w:spacing w:line="360" w:lineRule="auto"/>
        <w:jc w:val="center"/>
        <w:outlineLvl w:val="0"/>
        <w:rPr>
          <w:rFonts w:ascii="宋体" w:hAnsi="宋体"/>
          <w:b/>
          <w:kern w:val="0"/>
          <w:sz w:val="30"/>
        </w:rPr>
      </w:pPr>
      <w:bookmarkStart w:id="5" w:name="_Hlt81034163"/>
      <w:bookmarkEnd w:id="5"/>
      <w:bookmarkStart w:id="6" w:name="_Hlt80961854"/>
      <w:bookmarkEnd w:id="6"/>
      <w:bookmarkStart w:id="7" w:name="_Toc109537381"/>
      <w:bookmarkStart w:id="8" w:name="_Toc50983771"/>
      <w:r>
        <w:rPr>
          <w:rFonts w:hint="eastAsia" w:ascii="宋体" w:hAnsi="宋体"/>
          <w:b/>
          <w:kern w:val="0"/>
          <w:sz w:val="30"/>
        </w:rPr>
        <w:t>三、基金管理人</w:t>
      </w:r>
      <w:bookmarkEnd w:id="7"/>
      <w:bookmarkEnd w:id="8"/>
    </w:p>
    <w:p w14:paraId="3EC3C340">
      <w:pPr>
        <w:widowControl/>
        <w:adjustRightInd w:val="0"/>
        <w:snapToGrid w:val="0"/>
        <w:spacing w:line="360" w:lineRule="auto"/>
        <w:ind w:firstLine="482" w:firstLineChars="200"/>
        <w:rPr>
          <w:rFonts w:hAnsi="宋体"/>
          <w:b/>
          <w:kern w:val="0"/>
          <w:sz w:val="24"/>
        </w:rPr>
      </w:pPr>
      <w:r>
        <w:rPr>
          <w:rFonts w:hAnsi="宋体"/>
          <w:b/>
          <w:kern w:val="0"/>
          <w:sz w:val="24"/>
        </w:rPr>
        <w:t>（一）基金管理人概况</w:t>
      </w:r>
    </w:p>
    <w:p w14:paraId="666E8CA9">
      <w:pPr>
        <w:widowControl/>
        <w:adjustRightInd w:val="0"/>
        <w:snapToGrid w:val="0"/>
        <w:spacing w:line="360" w:lineRule="auto"/>
        <w:ind w:firstLine="480" w:firstLineChars="200"/>
        <w:rPr>
          <w:kern w:val="0"/>
          <w:sz w:val="24"/>
        </w:rPr>
      </w:pPr>
      <w:r>
        <w:rPr>
          <w:rFonts w:hAnsi="宋体"/>
          <w:kern w:val="0"/>
          <w:sz w:val="24"/>
        </w:rPr>
        <w:t>名称：交银施罗德基金管理有限公司</w:t>
      </w:r>
    </w:p>
    <w:p w14:paraId="1DC31544">
      <w:pPr>
        <w:widowControl/>
        <w:adjustRightInd w:val="0"/>
        <w:snapToGrid w:val="0"/>
        <w:spacing w:line="360" w:lineRule="auto"/>
        <w:ind w:firstLine="480" w:firstLineChars="200"/>
        <w:rPr>
          <w:kern w:val="0"/>
          <w:sz w:val="24"/>
        </w:rPr>
      </w:pPr>
      <w:r>
        <w:rPr>
          <w:rFonts w:hAnsi="宋体"/>
          <w:kern w:val="0"/>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贸易试验区银城中路</w:t>
      </w:r>
      <w:r>
        <w:rPr>
          <w:kern w:val="0"/>
          <w:sz w:val="24"/>
        </w:rPr>
        <w:t>188</w:t>
      </w:r>
      <w:r>
        <w:rPr>
          <w:rFonts w:hAnsi="宋体"/>
          <w:kern w:val="0"/>
          <w:sz w:val="24"/>
        </w:rPr>
        <w:t>号交通银行大楼二层（裙）</w:t>
      </w:r>
    </w:p>
    <w:p w14:paraId="0CC9ED67">
      <w:pPr>
        <w:widowControl/>
        <w:adjustRightInd w:val="0"/>
        <w:snapToGrid w:val="0"/>
        <w:spacing w:line="360" w:lineRule="auto"/>
        <w:ind w:firstLine="480" w:firstLineChars="200"/>
        <w:rPr>
          <w:kern w:val="0"/>
          <w:sz w:val="24"/>
        </w:rPr>
      </w:pPr>
      <w:r>
        <w:rPr>
          <w:rFonts w:hAnsi="宋体"/>
          <w:kern w:val="0"/>
          <w:sz w:val="24"/>
        </w:rPr>
        <w:t>办公地址：</w:t>
      </w:r>
      <w:r>
        <w:rPr>
          <w:rFonts w:hint="eastAsia" w:ascii="宋体" w:hAnsi="宋体" w:cs="宋体"/>
          <w:kern w:val="0"/>
          <w:sz w:val="24"/>
        </w:rPr>
        <w:t>上海市浦东</w:t>
      </w:r>
      <w:r>
        <w:rPr>
          <w:rFonts w:ascii="宋体" w:hAnsi="宋体" w:cs="宋体"/>
          <w:kern w:val="0"/>
          <w:sz w:val="24"/>
        </w:rPr>
        <w:t>新区</w:t>
      </w:r>
      <w:r>
        <w:rPr>
          <w:rFonts w:hint="eastAsia" w:ascii="宋体" w:hAnsi="宋体" w:cs="宋体"/>
          <w:kern w:val="0"/>
          <w:sz w:val="24"/>
        </w:rPr>
        <w:t>世纪大道8号国金中心二期21-22楼</w:t>
      </w:r>
    </w:p>
    <w:p w14:paraId="2EE03567">
      <w:pPr>
        <w:widowControl/>
        <w:adjustRightInd w:val="0"/>
        <w:snapToGrid w:val="0"/>
        <w:spacing w:line="360" w:lineRule="auto"/>
        <w:ind w:firstLine="480" w:firstLineChars="200"/>
        <w:rPr>
          <w:kern w:val="0"/>
          <w:sz w:val="24"/>
        </w:rPr>
      </w:pPr>
      <w:r>
        <w:rPr>
          <w:rFonts w:hAnsi="宋体"/>
          <w:sz w:val="24"/>
        </w:rPr>
        <w:t>邮政编码：</w:t>
      </w:r>
      <w:r>
        <w:rPr>
          <w:sz w:val="24"/>
        </w:rPr>
        <w:t>200120</w:t>
      </w:r>
    </w:p>
    <w:p w14:paraId="37A40A79">
      <w:pPr>
        <w:widowControl/>
        <w:adjustRightInd w:val="0"/>
        <w:snapToGrid w:val="0"/>
        <w:spacing w:line="360" w:lineRule="auto"/>
        <w:ind w:firstLine="480" w:firstLineChars="200"/>
        <w:rPr>
          <w:kern w:val="0"/>
          <w:sz w:val="24"/>
        </w:rPr>
      </w:pPr>
      <w:r>
        <w:rPr>
          <w:rFonts w:hAnsi="宋体"/>
          <w:kern w:val="0"/>
          <w:sz w:val="24"/>
        </w:rPr>
        <w:t>法定代表人：</w:t>
      </w:r>
      <w:r>
        <w:rPr>
          <w:rFonts w:hint="eastAsia" w:hAnsi="宋体"/>
          <w:kern w:val="0"/>
          <w:sz w:val="24"/>
        </w:rPr>
        <w:t>袁庆伟（代任）</w:t>
      </w:r>
    </w:p>
    <w:p w14:paraId="72C4907C">
      <w:pPr>
        <w:widowControl/>
        <w:adjustRightInd w:val="0"/>
        <w:snapToGrid w:val="0"/>
        <w:spacing w:line="360" w:lineRule="auto"/>
        <w:ind w:firstLine="480" w:firstLineChars="20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22BEB687">
      <w:pPr>
        <w:widowControl/>
        <w:adjustRightInd w:val="0"/>
        <w:snapToGrid w:val="0"/>
        <w:spacing w:line="360" w:lineRule="auto"/>
        <w:ind w:firstLine="480" w:firstLineChars="200"/>
        <w:rPr>
          <w:kern w:val="0"/>
          <w:sz w:val="24"/>
        </w:rPr>
      </w:pPr>
      <w:r>
        <w:rPr>
          <w:rFonts w:hAnsi="宋体"/>
          <w:kern w:val="0"/>
          <w:sz w:val="24"/>
        </w:rPr>
        <w:t>注册资本：</w:t>
      </w:r>
      <w:r>
        <w:rPr>
          <w:kern w:val="0"/>
          <w:sz w:val="24"/>
        </w:rPr>
        <w:t>2</w:t>
      </w:r>
      <w:r>
        <w:rPr>
          <w:rFonts w:hAnsi="宋体"/>
          <w:kern w:val="0"/>
          <w:sz w:val="24"/>
        </w:rPr>
        <w:t>亿元人民币</w:t>
      </w:r>
    </w:p>
    <w:p w14:paraId="03D9C2C3">
      <w:pPr>
        <w:widowControl/>
        <w:adjustRightInd w:val="0"/>
        <w:snapToGrid w:val="0"/>
        <w:spacing w:line="360" w:lineRule="auto"/>
        <w:ind w:firstLine="480" w:firstLineChars="200"/>
        <w:rPr>
          <w:kern w:val="0"/>
          <w:sz w:val="24"/>
        </w:rPr>
      </w:pPr>
      <w:r>
        <w:rPr>
          <w:rFonts w:hAnsi="宋体"/>
          <w:kern w:val="0"/>
          <w:sz w:val="24"/>
        </w:rPr>
        <w:t>存续期间：持续经营</w:t>
      </w:r>
    </w:p>
    <w:p w14:paraId="78B737FC">
      <w:pPr>
        <w:widowControl/>
        <w:adjustRightInd w:val="0"/>
        <w:snapToGrid w:val="0"/>
        <w:spacing w:line="360" w:lineRule="auto"/>
        <w:ind w:firstLine="480" w:firstLineChars="200"/>
        <w:rPr>
          <w:kern w:val="0"/>
          <w:sz w:val="24"/>
        </w:rPr>
      </w:pPr>
      <w:r>
        <w:rPr>
          <w:rFonts w:hAnsi="宋体"/>
          <w:kern w:val="0"/>
          <w:sz w:val="24"/>
        </w:rPr>
        <w:t>联系人：</w:t>
      </w:r>
      <w:r>
        <w:rPr>
          <w:rFonts w:hint="eastAsia"/>
          <w:sz w:val="24"/>
        </w:rPr>
        <w:t>何佳妮</w:t>
      </w:r>
    </w:p>
    <w:p w14:paraId="5448205A">
      <w:pPr>
        <w:widowControl/>
        <w:adjustRightInd w:val="0"/>
        <w:snapToGrid w:val="0"/>
        <w:spacing w:line="360" w:lineRule="auto"/>
        <w:ind w:firstLine="480" w:firstLineChars="200"/>
        <w:rPr>
          <w:kern w:val="0"/>
          <w:sz w:val="24"/>
        </w:rPr>
      </w:pPr>
      <w:r>
        <w:rPr>
          <w:rFonts w:hAnsi="宋体"/>
          <w:kern w:val="0"/>
          <w:sz w:val="24"/>
        </w:rPr>
        <w:t>电话：</w:t>
      </w:r>
      <w:r>
        <w:rPr>
          <w:rFonts w:hint="eastAsia" w:hAnsi="宋体"/>
          <w:kern w:val="0"/>
          <w:sz w:val="24"/>
        </w:rPr>
        <w:t>（</w:t>
      </w:r>
      <w:r>
        <w:rPr>
          <w:kern w:val="0"/>
          <w:sz w:val="24"/>
        </w:rPr>
        <w:t>021</w:t>
      </w:r>
      <w:r>
        <w:rPr>
          <w:rFonts w:hint="eastAsia"/>
          <w:kern w:val="0"/>
          <w:sz w:val="24"/>
        </w:rPr>
        <w:t>）</w:t>
      </w:r>
      <w:r>
        <w:rPr>
          <w:kern w:val="0"/>
          <w:sz w:val="24"/>
        </w:rPr>
        <w:t>61055050</w:t>
      </w:r>
    </w:p>
    <w:p w14:paraId="09423177">
      <w:pPr>
        <w:widowControl/>
        <w:adjustRightInd w:val="0"/>
        <w:snapToGrid w:val="0"/>
        <w:spacing w:line="360" w:lineRule="auto"/>
        <w:ind w:firstLine="480" w:firstLineChars="200"/>
        <w:rPr>
          <w:kern w:val="0"/>
          <w:sz w:val="24"/>
        </w:rPr>
      </w:pPr>
      <w:r>
        <w:rPr>
          <w:rFonts w:hAnsi="宋体"/>
          <w:kern w:val="0"/>
          <w:sz w:val="24"/>
        </w:rPr>
        <w:t>传真：</w:t>
      </w:r>
      <w:r>
        <w:rPr>
          <w:rFonts w:hint="eastAsia" w:hAnsi="宋体"/>
          <w:kern w:val="0"/>
          <w:sz w:val="24"/>
        </w:rPr>
        <w:t>（</w:t>
      </w:r>
      <w:r>
        <w:rPr>
          <w:kern w:val="0"/>
          <w:sz w:val="24"/>
        </w:rPr>
        <w:t>021</w:t>
      </w:r>
      <w:r>
        <w:rPr>
          <w:rFonts w:hint="eastAsia"/>
          <w:kern w:val="0"/>
          <w:sz w:val="24"/>
        </w:rPr>
        <w:t>）</w:t>
      </w:r>
      <w:r>
        <w:rPr>
          <w:kern w:val="0"/>
          <w:sz w:val="24"/>
        </w:rPr>
        <w:t>61055034</w:t>
      </w:r>
    </w:p>
    <w:p w14:paraId="6005AA31">
      <w:pPr>
        <w:widowControl/>
        <w:adjustRightInd w:val="0"/>
        <w:snapToGrid w:val="0"/>
        <w:spacing w:line="360" w:lineRule="auto"/>
        <w:ind w:firstLine="480" w:firstLineChars="20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14:paraId="06A8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14:paraId="4FCF5295">
            <w:pPr>
              <w:keepNext w:val="0"/>
              <w:keepLines w:val="0"/>
              <w:widowControl/>
              <w:suppressLineNumbers w:val="0"/>
              <w:spacing w:before="0" w:beforeAutospacing="0" w:after="0" w:afterAutospacing="0"/>
              <w:ind w:left="0" w:right="0"/>
              <w:jc w:val="center"/>
              <w:rPr>
                <w:rFonts w:hint="eastAsia"/>
                <w:kern w:val="0"/>
                <w:sz w:val="24"/>
                <w:szCs w:val="20"/>
              </w:rPr>
            </w:pPr>
            <w:r>
              <w:rPr>
                <w:rFonts w:hint="eastAsia" w:hAnsi="宋体"/>
                <w:kern w:val="0"/>
                <w:sz w:val="24"/>
                <w:szCs w:val="20"/>
              </w:rPr>
              <w:t>股东名称</w:t>
            </w:r>
          </w:p>
        </w:tc>
        <w:tc>
          <w:tcPr>
            <w:tcW w:w="3060" w:type="dxa"/>
          </w:tcPr>
          <w:p w14:paraId="19F4C9B6">
            <w:pPr>
              <w:keepNext w:val="0"/>
              <w:keepLines w:val="0"/>
              <w:widowControl/>
              <w:suppressLineNumbers w:val="0"/>
              <w:spacing w:before="0" w:beforeAutospacing="0" w:after="0" w:afterAutospacing="0"/>
              <w:ind w:left="0" w:right="0"/>
              <w:jc w:val="center"/>
              <w:rPr>
                <w:rFonts w:hint="eastAsia"/>
                <w:kern w:val="0"/>
                <w:sz w:val="24"/>
                <w:szCs w:val="20"/>
              </w:rPr>
            </w:pPr>
            <w:r>
              <w:rPr>
                <w:rFonts w:hint="eastAsia" w:hAnsi="宋体"/>
                <w:kern w:val="0"/>
                <w:sz w:val="24"/>
                <w:szCs w:val="20"/>
              </w:rPr>
              <w:t>股权比例</w:t>
            </w:r>
          </w:p>
        </w:tc>
      </w:tr>
      <w:tr w14:paraId="4A9C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0" w:type="dxa"/>
          </w:tcPr>
          <w:p w14:paraId="6629EBDC">
            <w:pPr>
              <w:keepNext w:val="0"/>
              <w:keepLines w:val="0"/>
              <w:widowControl/>
              <w:suppressLineNumbers w:val="0"/>
              <w:spacing w:before="0" w:beforeAutospacing="0" w:after="0" w:afterAutospacing="0"/>
              <w:ind w:left="0" w:right="0"/>
              <w:rPr>
                <w:rFonts w:hint="eastAsia"/>
                <w:kern w:val="0"/>
                <w:sz w:val="24"/>
                <w:szCs w:val="20"/>
              </w:rPr>
            </w:pPr>
            <w:r>
              <w:rPr>
                <w:rFonts w:hint="eastAsia" w:hAnsi="宋体"/>
                <w:kern w:val="0"/>
                <w:sz w:val="24"/>
                <w:szCs w:val="20"/>
              </w:rPr>
              <w:t>交通银行股份有限公司（以下使用全称或其简称</w:t>
            </w:r>
            <w:r>
              <w:rPr>
                <w:rFonts w:hint="eastAsia"/>
                <w:kern w:val="0"/>
                <w:sz w:val="24"/>
                <w:szCs w:val="20"/>
              </w:rPr>
              <w:t>“</w:t>
            </w:r>
            <w:r>
              <w:rPr>
                <w:rFonts w:hint="eastAsia" w:hAnsi="宋体"/>
                <w:kern w:val="0"/>
                <w:sz w:val="24"/>
                <w:szCs w:val="20"/>
              </w:rPr>
              <w:t>交通银行</w:t>
            </w:r>
            <w:r>
              <w:rPr>
                <w:rFonts w:hint="eastAsia"/>
                <w:kern w:val="0"/>
                <w:sz w:val="24"/>
                <w:szCs w:val="20"/>
              </w:rPr>
              <w:t>”</w:t>
            </w:r>
            <w:r>
              <w:rPr>
                <w:rFonts w:hint="eastAsia" w:hAnsi="宋体"/>
                <w:kern w:val="0"/>
                <w:sz w:val="24"/>
                <w:szCs w:val="20"/>
              </w:rPr>
              <w:t>）</w:t>
            </w:r>
          </w:p>
        </w:tc>
        <w:tc>
          <w:tcPr>
            <w:tcW w:w="3060" w:type="dxa"/>
            <w:vAlign w:val="center"/>
          </w:tcPr>
          <w:p w14:paraId="497F6DC6">
            <w:pPr>
              <w:keepNext w:val="0"/>
              <w:keepLines w:val="0"/>
              <w:widowControl/>
              <w:suppressLineNumbers w:val="0"/>
              <w:spacing w:before="0" w:beforeAutospacing="0" w:after="0" w:afterAutospacing="0"/>
              <w:ind w:left="0" w:right="0"/>
              <w:jc w:val="center"/>
              <w:rPr>
                <w:rFonts w:hint="eastAsia"/>
                <w:kern w:val="0"/>
                <w:sz w:val="24"/>
                <w:szCs w:val="20"/>
              </w:rPr>
            </w:pPr>
            <w:r>
              <w:rPr>
                <w:rFonts w:hint="eastAsia"/>
                <w:kern w:val="0"/>
                <w:sz w:val="24"/>
                <w:szCs w:val="20"/>
              </w:rPr>
              <w:t>65%</w:t>
            </w:r>
          </w:p>
        </w:tc>
      </w:tr>
      <w:tr w14:paraId="797A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14:paraId="2B58D872">
            <w:pPr>
              <w:keepNext w:val="0"/>
              <w:keepLines w:val="0"/>
              <w:widowControl/>
              <w:suppressLineNumbers w:val="0"/>
              <w:spacing w:before="0" w:beforeAutospacing="0" w:after="0" w:afterAutospacing="0"/>
              <w:ind w:left="0" w:right="0"/>
              <w:rPr>
                <w:rFonts w:hint="eastAsia"/>
                <w:kern w:val="0"/>
                <w:sz w:val="24"/>
                <w:szCs w:val="20"/>
              </w:rPr>
            </w:pPr>
            <w:r>
              <w:rPr>
                <w:rFonts w:hint="eastAsia" w:hAnsi="宋体"/>
                <w:kern w:val="0"/>
                <w:sz w:val="24"/>
                <w:szCs w:val="20"/>
              </w:rPr>
              <w:t>施罗德投资管理有限公司</w:t>
            </w:r>
          </w:p>
        </w:tc>
        <w:tc>
          <w:tcPr>
            <w:tcW w:w="3060" w:type="dxa"/>
            <w:vAlign w:val="center"/>
          </w:tcPr>
          <w:p w14:paraId="682A7EDB">
            <w:pPr>
              <w:keepNext w:val="0"/>
              <w:keepLines w:val="0"/>
              <w:widowControl/>
              <w:suppressLineNumbers w:val="0"/>
              <w:spacing w:before="0" w:beforeAutospacing="0" w:after="0" w:afterAutospacing="0"/>
              <w:ind w:left="0" w:right="0"/>
              <w:jc w:val="center"/>
              <w:rPr>
                <w:rFonts w:hint="eastAsia"/>
                <w:kern w:val="0"/>
                <w:sz w:val="24"/>
                <w:szCs w:val="20"/>
              </w:rPr>
            </w:pPr>
            <w:r>
              <w:rPr>
                <w:rFonts w:hint="eastAsia"/>
                <w:kern w:val="0"/>
                <w:sz w:val="24"/>
                <w:szCs w:val="20"/>
              </w:rPr>
              <w:t>30%</w:t>
            </w:r>
          </w:p>
        </w:tc>
      </w:tr>
      <w:tr w14:paraId="2D9B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14:paraId="2B81FD39">
            <w:pPr>
              <w:keepNext w:val="0"/>
              <w:keepLines w:val="0"/>
              <w:widowControl/>
              <w:suppressLineNumbers w:val="0"/>
              <w:spacing w:before="0" w:beforeAutospacing="0" w:after="0" w:afterAutospacing="0"/>
              <w:ind w:left="0" w:right="0"/>
              <w:rPr>
                <w:rFonts w:hint="eastAsia"/>
                <w:kern w:val="0"/>
                <w:sz w:val="24"/>
                <w:szCs w:val="20"/>
              </w:rPr>
            </w:pPr>
            <w:r>
              <w:rPr>
                <w:rFonts w:hint="eastAsia" w:hAnsi="宋体"/>
                <w:kern w:val="0"/>
                <w:sz w:val="24"/>
                <w:szCs w:val="20"/>
              </w:rPr>
              <w:t>中国国际海运集装箱（集团）股份有限公司</w:t>
            </w:r>
          </w:p>
        </w:tc>
        <w:tc>
          <w:tcPr>
            <w:tcW w:w="3060" w:type="dxa"/>
            <w:vAlign w:val="center"/>
          </w:tcPr>
          <w:p w14:paraId="13907C2D">
            <w:pPr>
              <w:keepNext w:val="0"/>
              <w:keepLines w:val="0"/>
              <w:widowControl/>
              <w:suppressLineNumbers w:val="0"/>
              <w:spacing w:before="0" w:beforeAutospacing="0" w:after="0" w:afterAutospacing="0"/>
              <w:ind w:left="0" w:right="0"/>
              <w:jc w:val="center"/>
              <w:rPr>
                <w:rFonts w:hint="eastAsia"/>
                <w:kern w:val="0"/>
                <w:sz w:val="24"/>
                <w:szCs w:val="20"/>
              </w:rPr>
            </w:pPr>
            <w:r>
              <w:rPr>
                <w:rFonts w:hint="eastAsia"/>
                <w:kern w:val="0"/>
                <w:sz w:val="24"/>
                <w:szCs w:val="20"/>
              </w:rPr>
              <w:t>5%</w:t>
            </w:r>
          </w:p>
        </w:tc>
      </w:tr>
    </w:tbl>
    <w:p w14:paraId="1205081B">
      <w:pPr>
        <w:adjustRightInd w:val="0"/>
        <w:snapToGrid w:val="0"/>
        <w:spacing w:line="360" w:lineRule="auto"/>
        <w:ind w:firstLine="480" w:firstLineChars="200"/>
        <w:rPr>
          <w:rFonts w:hAnsi="宋体"/>
          <w:kern w:val="0"/>
          <w:sz w:val="24"/>
        </w:rPr>
      </w:pPr>
    </w:p>
    <w:p w14:paraId="36FE3784">
      <w:pPr>
        <w:widowControl/>
        <w:adjustRightInd w:val="0"/>
        <w:snapToGrid w:val="0"/>
        <w:spacing w:line="360" w:lineRule="auto"/>
        <w:ind w:firstLine="482" w:firstLineChars="200"/>
        <w:rPr>
          <w:rFonts w:hAnsi="宋体"/>
          <w:b/>
          <w:kern w:val="0"/>
          <w:sz w:val="24"/>
        </w:rPr>
      </w:pPr>
      <w:r>
        <w:rPr>
          <w:rFonts w:hAnsi="宋体"/>
          <w:b/>
          <w:kern w:val="0"/>
          <w:sz w:val="24"/>
        </w:rPr>
        <w:t>（二）主要成员情况</w:t>
      </w:r>
    </w:p>
    <w:p w14:paraId="23FE1C58">
      <w:pPr>
        <w:widowControl/>
        <w:adjustRightInd w:val="0"/>
        <w:snapToGrid w:val="0"/>
        <w:spacing w:line="360" w:lineRule="auto"/>
        <w:ind w:firstLine="480" w:firstLineChars="200"/>
        <w:rPr>
          <w:bCs/>
          <w:sz w:val="24"/>
        </w:rPr>
      </w:pPr>
      <w:r>
        <w:rPr>
          <w:rFonts w:hint="eastAsia"/>
          <w:bCs/>
          <w:sz w:val="24"/>
        </w:rPr>
        <w:t>1、基金管理人董事会成员</w:t>
      </w:r>
    </w:p>
    <w:p w14:paraId="2B15A5B2">
      <w:pPr>
        <w:widowControl/>
        <w:adjustRightInd w:val="0"/>
        <w:snapToGrid w:val="0"/>
        <w:spacing w:line="360" w:lineRule="auto"/>
        <w:ind w:firstLine="480" w:firstLineChars="200"/>
        <w:rPr>
          <w:bCs/>
          <w:sz w:val="24"/>
        </w:rPr>
      </w:pPr>
      <w:r>
        <w:rPr>
          <w:rFonts w:hint="eastAsia"/>
          <w:bCs/>
          <w:sz w:val="24"/>
        </w:rPr>
        <w:t>袁庆伟女士，董事，总经理</w:t>
      </w:r>
      <w:r>
        <w:rPr>
          <w:rFonts w:hint="eastAsia"/>
          <w:sz w:val="24"/>
          <w:szCs w:val="24"/>
        </w:rPr>
        <w:t>，代任董事长</w:t>
      </w:r>
      <w:r>
        <w:rPr>
          <w:rFonts w:hint="eastAsia"/>
          <w:bCs/>
          <w:sz w:val="24"/>
        </w:rPr>
        <w:t>，硕士。历任交通银行乌鲁木齐分行财务会计处副处长、会计结算部高级经理，交通银行总行资产托管业务中心（资产托管部）副总裁、总裁，交通银行总行金融机构部总经理、资产管理业务中心总裁等职务。</w:t>
      </w:r>
    </w:p>
    <w:p w14:paraId="7CBF60F6">
      <w:pPr>
        <w:widowControl/>
        <w:adjustRightInd w:val="0"/>
        <w:snapToGrid w:val="0"/>
        <w:spacing w:line="360" w:lineRule="auto"/>
        <w:ind w:firstLine="480" w:firstLineChars="200"/>
        <w:rPr>
          <w:bCs/>
          <w:sz w:val="24"/>
        </w:rPr>
      </w:pPr>
      <w:r>
        <w:rPr>
          <w:rFonts w:hint="eastAsia"/>
          <w:bCs/>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14:paraId="21939AD6">
      <w:pPr>
        <w:widowControl/>
        <w:adjustRightInd w:val="0"/>
        <w:snapToGrid w:val="0"/>
        <w:spacing w:line="360" w:lineRule="auto"/>
        <w:ind w:firstLine="480" w:firstLineChars="200"/>
        <w:rPr>
          <w:rFonts w:hint="eastAsia"/>
          <w:sz w:val="24"/>
          <w:szCs w:val="24"/>
        </w:rPr>
      </w:pPr>
      <w:r>
        <w:rPr>
          <w:rFonts w:hint="eastAsia"/>
          <w:sz w:val="24"/>
          <w:szCs w:val="24"/>
        </w:rPr>
        <w:t>Karine Szenberg女士，董事，硕士。现任施罗德投资集团执行副主席、集团执行委员会成员和施罗德投资管理（瑞士）股份有限公司董事会主席。历任施罗德投资法国主管、欧洲主管、全球产品和营销主管等。</w:t>
      </w:r>
    </w:p>
    <w:p w14:paraId="106640E0">
      <w:pPr>
        <w:widowControl/>
        <w:adjustRightInd w:val="0"/>
        <w:snapToGrid w:val="0"/>
        <w:spacing w:line="360" w:lineRule="auto"/>
        <w:ind w:firstLine="480" w:firstLineChars="200"/>
        <w:rPr>
          <w:rFonts w:hint="eastAsia"/>
          <w:sz w:val="24"/>
          <w:szCs w:val="24"/>
        </w:rPr>
      </w:pPr>
      <w:r>
        <w:rPr>
          <w:rFonts w:hint="eastAsia"/>
          <w:sz w:val="24"/>
          <w:szCs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14:paraId="7DD85B1D">
      <w:pPr>
        <w:widowControl/>
        <w:adjustRightInd w:val="0"/>
        <w:snapToGrid w:val="0"/>
        <w:spacing w:line="360" w:lineRule="auto"/>
        <w:ind w:firstLine="480" w:firstLineChars="200"/>
        <w:rPr>
          <w:rFonts w:hint="eastAsia"/>
          <w:sz w:val="24"/>
          <w:szCs w:val="24"/>
        </w:rPr>
      </w:pPr>
      <w:r>
        <w:rPr>
          <w:rFonts w:hint="eastAsia"/>
          <w:sz w:val="24"/>
          <w:szCs w:val="24"/>
        </w:rPr>
        <w:t>单锋先生，独立董事，博士。现任南京大学法学教授职务。历任南京大学法学院助教、讲师、副教授。</w:t>
      </w:r>
    </w:p>
    <w:p w14:paraId="49032DFF">
      <w:pPr>
        <w:widowControl/>
        <w:adjustRightInd w:val="0"/>
        <w:snapToGrid w:val="0"/>
        <w:spacing w:line="360" w:lineRule="auto"/>
        <w:ind w:firstLine="480" w:firstLineChars="200"/>
        <w:rPr>
          <w:rFonts w:hint="eastAsia"/>
          <w:sz w:val="24"/>
          <w:szCs w:val="24"/>
        </w:rPr>
      </w:pPr>
      <w:r>
        <w:rPr>
          <w:rFonts w:hint="eastAsia"/>
          <w:sz w:val="24"/>
          <w:szCs w:val="24"/>
        </w:rPr>
        <w:t>刘凤元先生，独立董事，博士。现任华东政法大学国际金融法律学院教授，资本市场研究中心主任，兼任多家香港和大陆上市公司（非证券基金经营机构）独立董事。</w:t>
      </w:r>
    </w:p>
    <w:p w14:paraId="763C3DA7">
      <w:pPr>
        <w:widowControl/>
        <w:adjustRightInd w:val="0"/>
        <w:snapToGrid w:val="0"/>
        <w:spacing w:line="360" w:lineRule="auto"/>
        <w:ind w:firstLine="480" w:firstLineChars="200"/>
        <w:rPr>
          <w:bCs/>
          <w:sz w:val="24"/>
        </w:rPr>
      </w:pPr>
      <w:r>
        <w:rPr>
          <w:rFonts w:hint="eastAsia"/>
          <w:sz w:val="24"/>
          <w:szCs w:val="24"/>
        </w:rPr>
        <w:t>宋若坤女士，独立董事，学士。英格兰及威尔士特许会计师协会和香港会计师公会特许会计师、注册金融分析师。历任毕马威会计师事务所香港分所审计部主管副经理，摩根资产管理（香港）亚太区资产管理合规主管、董事总经理等。</w:t>
      </w:r>
    </w:p>
    <w:p w14:paraId="528B0A68">
      <w:pPr>
        <w:widowControl/>
        <w:adjustRightInd w:val="0"/>
        <w:snapToGrid w:val="0"/>
        <w:spacing w:line="360" w:lineRule="auto"/>
        <w:ind w:firstLine="480" w:firstLineChars="200"/>
        <w:rPr>
          <w:bCs/>
          <w:sz w:val="24"/>
        </w:rPr>
      </w:pPr>
      <w:r>
        <w:rPr>
          <w:rFonts w:hint="eastAsia"/>
          <w:bCs/>
          <w:sz w:val="24"/>
        </w:rPr>
        <w:t>2、基金管理人高级管理人员</w:t>
      </w:r>
    </w:p>
    <w:p w14:paraId="7C6F8A7B">
      <w:pPr>
        <w:widowControl/>
        <w:adjustRightInd w:val="0"/>
        <w:snapToGrid w:val="0"/>
        <w:spacing w:line="360" w:lineRule="auto"/>
        <w:ind w:firstLine="480" w:firstLineChars="200"/>
        <w:rPr>
          <w:bCs/>
          <w:sz w:val="24"/>
        </w:rPr>
      </w:pPr>
      <w:r>
        <w:rPr>
          <w:rFonts w:hint="eastAsia"/>
          <w:bCs/>
          <w:sz w:val="24"/>
        </w:rPr>
        <w:t>袁庆伟女士，总经理。简历同上。</w:t>
      </w:r>
    </w:p>
    <w:p w14:paraId="2AC95104">
      <w:pPr>
        <w:widowControl/>
        <w:adjustRightInd w:val="0"/>
        <w:snapToGrid w:val="0"/>
        <w:spacing w:line="360" w:lineRule="auto"/>
        <w:ind w:firstLine="480" w:firstLineChars="200"/>
        <w:rPr>
          <w:bCs/>
          <w:sz w:val="24"/>
        </w:rPr>
      </w:pPr>
      <w:r>
        <w:rPr>
          <w:rFonts w:hint="eastAsia"/>
          <w:bCs/>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46CA7D12">
      <w:pPr>
        <w:widowControl/>
        <w:adjustRightInd w:val="0"/>
        <w:snapToGrid w:val="0"/>
        <w:spacing w:line="360" w:lineRule="auto"/>
        <w:ind w:firstLine="480" w:firstLineChars="200"/>
        <w:rPr>
          <w:bCs/>
          <w:sz w:val="24"/>
        </w:rPr>
      </w:pPr>
      <w:r>
        <w:rPr>
          <w:rFonts w:hint="eastAsia"/>
          <w:bCs/>
          <w:sz w:val="24"/>
        </w:rPr>
        <w:t>马俊先生，副总经理，硕士。历任交通银行总行投资管理部高级投资分析、副高级经理，交银施罗德基金管理有限公司总裁办公室总经理、研究部副总经理、研究总监、综合管理部总经理。</w:t>
      </w:r>
    </w:p>
    <w:p w14:paraId="5B0AA3E9">
      <w:pPr>
        <w:widowControl/>
        <w:adjustRightInd w:val="0"/>
        <w:snapToGrid w:val="0"/>
        <w:spacing w:line="360" w:lineRule="auto"/>
        <w:ind w:firstLine="480" w:firstLineChars="200"/>
        <w:rPr>
          <w:bCs/>
          <w:sz w:val="24"/>
        </w:rPr>
      </w:pPr>
      <w:r>
        <w:rPr>
          <w:rFonts w:hint="eastAsia"/>
          <w:bCs/>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14:paraId="463871D1">
      <w:pPr>
        <w:widowControl/>
        <w:adjustRightInd w:val="0"/>
        <w:snapToGrid w:val="0"/>
        <w:spacing w:line="360" w:lineRule="auto"/>
        <w:ind w:firstLine="480" w:firstLineChars="200"/>
        <w:rPr>
          <w:bCs/>
          <w:sz w:val="24"/>
        </w:rPr>
      </w:pPr>
      <w:r>
        <w:rPr>
          <w:bCs/>
          <w:sz w:val="24"/>
        </w:rPr>
        <w:t>3</w:t>
      </w:r>
      <w:r>
        <w:rPr>
          <w:rFonts w:hint="eastAsia"/>
          <w:bCs/>
          <w:sz w:val="24"/>
        </w:rPr>
        <w:t>、本基金基金经理</w:t>
      </w:r>
    </w:p>
    <w:p w14:paraId="0E8E5014">
      <w:pPr>
        <w:widowControl/>
        <w:adjustRightInd w:val="0"/>
        <w:snapToGrid w:val="0"/>
        <w:spacing w:line="360" w:lineRule="auto"/>
        <w:ind w:firstLine="480" w:firstLineChars="200"/>
        <w:rPr>
          <w:rFonts w:hint="eastAsia"/>
          <w:bCs/>
          <w:sz w:val="24"/>
        </w:rPr>
      </w:pPr>
      <w:bookmarkStart w:id="9" w:name="OLE_LINK17"/>
      <w:bookmarkStart w:id="10" w:name="OLE_LINK16"/>
      <w:r>
        <w:rPr>
          <w:rFonts w:hint="eastAsia"/>
          <w:bCs/>
          <w:sz w:val="24"/>
        </w:rPr>
        <w:t>孙婕衎女士:基金经理。浙江大学高分子材料与工程硕士、学士。</w:t>
      </w:r>
      <w:r>
        <w:rPr>
          <w:rFonts w:hint="eastAsia"/>
          <w:bCs/>
          <w:sz w:val="24"/>
          <w:lang w:val="en-US" w:eastAsia="zh-CN"/>
        </w:rPr>
        <w:t>15</w:t>
      </w:r>
      <w:r>
        <w:rPr>
          <w:rFonts w:hint="eastAsia"/>
          <w:bCs/>
          <w:sz w:val="24"/>
        </w:rPr>
        <w:t>年证券投资行业从业经验。曾任鹏华基金管理有限公司高级研究员，华泰柏瑞基金管理有限公司基金经理助理，财通基金管理有限公司投资经理助理。2018年加入交银施罗德基金管理有限公司，曾任行业分析师、专户投资部投资经理，混合资产投资部投资经理，现任混合资产投资部基金经理。曾任交银施罗德稳进丰利六个月持有期混合型证券投资基金(2024年09月10日至2026年</w:t>
      </w:r>
      <w:r>
        <w:rPr>
          <w:rFonts w:hint="eastAsia"/>
          <w:bCs/>
          <w:sz w:val="24"/>
          <w:lang w:val="en-US" w:eastAsia="zh-CN"/>
        </w:rPr>
        <w:t>4</w:t>
      </w:r>
      <w:r>
        <w:rPr>
          <w:rFonts w:hint="eastAsia"/>
          <w:bCs/>
          <w:sz w:val="24"/>
        </w:rPr>
        <w:t>月1</w:t>
      </w:r>
      <w:r>
        <w:rPr>
          <w:rFonts w:hint="eastAsia"/>
          <w:bCs/>
          <w:sz w:val="24"/>
          <w:lang w:val="en-US" w:eastAsia="zh-CN"/>
        </w:rPr>
        <w:t>8日</w:t>
      </w:r>
      <w:r>
        <w:rPr>
          <w:rFonts w:hint="eastAsia"/>
          <w:bCs/>
          <w:sz w:val="24"/>
        </w:rPr>
        <w:t>)的基金经理。现任交银施罗德优选回报灵活配置混合型证券投资基金(2024年12月03日至今)、交银施罗德稳固收益债券型证券投资基金(2024年12月31日至今)的基金经理。</w:t>
      </w:r>
    </w:p>
    <w:p w14:paraId="492B2968">
      <w:pPr>
        <w:widowControl/>
        <w:adjustRightInd w:val="0"/>
        <w:snapToGrid w:val="0"/>
        <w:spacing w:line="360" w:lineRule="auto"/>
        <w:ind w:firstLine="480" w:firstLineChars="200"/>
        <w:rPr>
          <w:bCs/>
          <w:sz w:val="24"/>
        </w:rPr>
      </w:pPr>
      <w:r>
        <w:rPr>
          <w:rFonts w:hint="eastAsia"/>
          <w:bCs/>
          <w:sz w:val="24"/>
        </w:rPr>
        <w:t>于海颖女士:基金经理。天津大学数量经济学硕士、经济学学士，</w:t>
      </w:r>
      <w:r>
        <w:rPr>
          <w:rFonts w:hint="eastAsia"/>
          <w:bCs/>
          <w:sz w:val="24"/>
          <w:lang w:val="en-US" w:eastAsia="zh-CN"/>
        </w:rPr>
        <w:t>20</w:t>
      </w:r>
      <w:r>
        <w:rPr>
          <w:rFonts w:hint="eastAsia"/>
          <w:bCs/>
          <w:sz w:val="24"/>
        </w:rPr>
        <w:t>年证券投资行业从业经验。2004年至2006年任北方国际信托投资股份有限公司固定收益研究员，2006年至2010年任光大保德信基金管理有限公司交易员、基金经理助理、基金经理，2010年至2014年任银华基金管理有限公司基金经理，2014年至2016年任五矿证券有限公司固定收益事业部投资管理部总经理。于2007年11月9日至2010年8月30日任光大保德信货币市场基金基金经理，2008年10月29日至2010年8月30日任光大保德信增利收益债券型证券投资基金基金经理，2011年6月28日至2013年6月16日任银华永祥保本混合型证券投资基金基金经理，2011年8月2日至2014年4月24日任银华货币市场证券投资基金基金经理,2012年8月9日至2014年10月7日任银华纯债信用主题债券型证券投资基金（LOF）基金经理，2013年4月1日至2014年4月24日任银华交易型货币市场基金基金经理，2013年8月7日至2014年10月7日任银华信用四季红债券型证券投资基金基金经理，2013年9月18日至2014年10月7日任银华信用季季红债券型证券投资基金基金经理，2014年5月8日至2014年10月7日任银华信用债券型证券投资基金(LOF)基金经理。2016年加入交银施罗德基金管理有限公司，曾任固定收益（公募）投资总监</w:t>
      </w:r>
      <w:r>
        <w:rPr>
          <w:rFonts w:hint="eastAsia"/>
          <w:bCs/>
          <w:sz w:val="24"/>
          <w:lang w:eastAsia="zh-CN"/>
        </w:rPr>
        <w:t>、</w:t>
      </w:r>
      <w:r>
        <w:rPr>
          <w:rFonts w:hint="eastAsia"/>
          <w:bCs/>
          <w:sz w:val="24"/>
        </w:rPr>
        <w:t>多元资产管理总监，现任混合资产投资总监、基金经理。曾任交银施罗德丰盈收益债券型证券投资基金(2016年12月29日至2020年08月21日)、交银施罗德增利增强债券型证券投资基金(2017年06月10日至2019年03月15日)、交银施罗德增强收益债券型证券投资基金(2017年06月10日至2019年03月15日)、交银施罗德增利债券证券投资基金(2017年06月10日至2020年08月21日)、交银施罗德荣鑫灵活配置混合型证券投资基金(2017年06月10日至2019年03月15日)、交银施罗德稳固收益债券型证券投资基金(2017年06月10日至2019年03月15日)、交银施罗德丰硕收益债券型证券投资基金(2017年06月10日至2018年07月19日)、交银施罗德定期支付月月丰债券型证券投资基金(2017年06月10日至2019年03月14日)、交银施罗德强化回报债券型证券投资基金(2017年06月10日至2019年03月14日)、交银施罗德裕如纯债债券型证券投资基金(2018年05月25日至2021年01月15日)、交银施罗德裕泰两年定期开放债券型证券投资基金(2019年12月10日至2024年04月12日)、交银施罗德鸿福六个月持有期混合型证券投资基金(2021年03月30日至2025年01月24日)、交银施罗德裕如纯债债券型证券投资基金(2023年09月07日至2024年11月23日)</w:t>
      </w:r>
      <w:r>
        <w:rPr>
          <w:rFonts w:hint="eastAsia"/>
          <w:bCs/>
          <w:sz w:val="24"/>
          <w:lang w:eastAsia="zh-CN"/>
        </w:rPr>
        <w:t>、</w:t>
      </w:r>
      <w:r>
        <w:rPr>
          <w:rFonts w:hint="eastAsia"/>
          <w:bCs/>
          <w:sz w:val="24"/>
        </w:rPr>
        <w:t>交银施罗德鸿泰一年持有期混合型证券投资基金(2021年11月24日至2025年12月16日)的基金经理。现任交银施罗德纯债债券型发起式证券投资基金(2017年06月10日至今)、交银施罗德丰晟收益债券型证券投资基金(2018年05月23日至今)、交银施罗德裕坤纯债一年定期开放债券型发起式证券投资基金(2019年12月26日至今)、交银施罗德鸿光一年持有期混合型证券投资基金(2021年03月08日至今)、交银施罗德鸿信一年持有期混合型证券投资基金(2021年08月06日至今)、交银施罗德裕盈纯债债券型证券投资基金(2022年11月12日至今)、交银施罗德裕道纯债一年定期开放债券型发起式证券投资基金(2024年03月29日至今)、交银施罗德裕通纯债债券型证券投资基金(2024年12月17日至今)的基金经理。</w:t>
      </w:r>
      <w:bookmarkEnd w:id="9"/>
      <w:bookmarkEnd w:id="10"/>
    </w:p>
    <w:p w14:paraId="3CC2126A">
      <w:pPr>
        <w:widowControl/>
        <w:adjustRightInd w:val="0"/>
        <w:snapToGrid w:val="0"/>
        <w:spacing w:line="360" w:lineRule="auto"/>
        <w:ind w:firstLine="480" w:firstLineChars="200"/>
        <w:rPr>
          <w:bCs/>
          <w:sz w:val="24"/>
        </w:rPr>
      </w:pPr>
      <w:r>
        <w:rPr>
          <w:bCs/>
          <w:sz w:val="24"/>
        </w:rPr>
        <w:t>4</w:t>
      </w:r>
      <w:r>
        <w:rPr>
          <w:rFonts w:hint="eastAsia"/>
          <w:bCs/>
          <w:sz w:val="24"/>
        </w:rPr>
        <w:t>、投资决策委员会成员</w:t>
      </w:r>
    </w:p>
    <w:p w14:paraId="72E8EE77">
      <w:pPr>
        <w:adjustRightInd w:val="0"/>
        <w:snapToGrid w:val="0"/>
        <w:spacing w:line="360" w:lineRule="auto"/>
        <w:ind w:firstLine="480" w:firstLineChars="200"/>
        <w:jc w:val="left"/>
        <w:rPr>
          <w:sz w:val="24"/>
          <w:szCs w:val="24"/>
        </w:rPr>
      </w:pPr>
      <w:r>
        <w:rPr>
          <w:rFonts w:hint="eastAsia" w:ascii="宋体" w:hAnsi="宋体"/>
          <w:sz w:val="24"/>
          <w:szCs w:val="22"/>
        </w:rPr>
        <w:t>委员：</w:t>
      </w:r>
      <w:r>
        <w:rPr>
          <w:rFonts w:hint="eastAsia"/>
          <w:sz w:val="24"/>
          <w:szCs w:val="24"/>
        </w:rPr>
        <w:t>马俊（副总经理）</w:t>
      </w:r>
    </w:p>
    <w:p w14:paraId="6FE2BE56">
      <w:pPr>
        <w:adjustRightInd w:val="0"/>
        <w:snapToGrid w:val="0"/>
        <w:spacing w:line="360" w:lineRule="auto"/>
        <w:ind w:firstLine="1200" w:firstLineChars="500"/>
        <w:rPr>
          <w:sz w:val="24"/>
          <w:szCs w:val="24"/>
        </w:rPr>
      </w:pPr>
      <w:r>
        <w:rPr>
          <w:rFonts w:hint="eastAsia"/>
          <w:sz w:val="24"/>
          <w:szCs w:val="24"/>
        </w:rPr>
        <w:t>迟鑫（权益部总经理兼任跨境投资部总经理）</w:t>
      </w:r>
    </w:p>
    <w:p w14:paraId="0C62EFC4">
      <w:pPr>
        <w:adjustRightInd w:val="0"/>
        <w:snapToGrid w:val="0"/>
        <w:spacing w:line="360" w:lineRule="auto"/>
        <w:ind w:firstLine="1200" w:firstLineChars="500"/>
        <w:rPr>
          <w:sz w:val="24"/>
          <w:szCs w:val="24"/>
        </w:rPr>
      </w:pPr>
      <w:r>
        <w:rPr>
          <w:rFonts w:hint="eastAsia"/>
          <w:sz w:val="24"/>
          <w:szCs w:val="24"/>
        </w:rPr>
        <w:t>王崇（权益投资副总监、权益部一级专家、基金经理）</w:t>
      </w:r>
    </w:p>
    <w:p w14:paraId="69FF0A52">
      <w:pPr>
        <w:adjustRightInd w:val="0"/>
        <w:snapToGrid w:val="0"/>
        <w:spacing w:line="360" w:lineRule="auto"/>
        <w:ind w:firstLine="1200" w:firstLineChars="500"/>
        <w:rPr>
          <w:sz w:val="24"/>
          <w:szCs w:val="24"/>
        </w:rPr>
      </w:pPr>
      <w:r>
        <w:rPr>
          <w:rFonts w:hint="eastAsia"/>
          <w:sz w:val="24"/>
          <w:szCs w:val="24"/>
        </w:rPr>
        <w:t>于海颖（混合资产投资总监、基金经理）</w:t>
      </w:r>
    </w:p>
    <w:p w14:paraId="38CB9AF6">
      <w:pPr>
        <w:adjustRightInd w:val="0"/>
        <w:snapToGrid w:val="0"/>
        <w:spacing w:line="360" w:lineRule="auto"/>
        <w:ind w:firstLine="1200" w:firstLineChars="500"/>
        <w:rPr>
          <w:sz w:val="24"/>
          <w:szCs w:val="24"/>
        </w:rPr>
      </w:pPr>
      <w:r>
        <w:rPr>
          <w:rFonts w:hint="eastAsia"/>
          <w:sz w:val="24"/>
          <w:szCs w:val="24"/>
        </w:rPr>
        <w:t>黄莹洁（固定收益（公募）投资助理总监、基金经理）</w:t>
      </w:r>
    </w:p>
    <w:p w14:paraId="4794B846">
      <w:pPr>
        <w:adjustRightInd w:val="0"/>
        <w:snapToGrid w:val="0"/>
        <w:spacing w:line="360" w:lineRule="auto"/>
        <w:ind w:firstLine="1200" w:firstLineChars="500"/>
        <w:rPr>
          <w:sz w:val="24"/>
          <w:szCs w:val="24"/>
        </w:rPr>
      </w:pPr>
      <w:r>
        <w:rPr>
          <w:rFonts w:hint="eastAsia"/>
          <w:sz w:val="24"/>
          <w:szCs w:val="24"/>
        </w:rPr>
        <w:t>马韬（研究总监）</w:t>
      </w:r>
    </w:p>
    <w:p w14:paraId="3CD458EB">
      <w:pPr>
        <w:autoSpaceDE w:val="0"/>
        <w:autoSpaceDN w:val="0"/>
        <w:adjustRightInd w:val="0"/>
        <w:snapToGrid w:val="0"/>
        <w:spacing w:line="360" w:lineRule="auto"/>
        <w:ind w:firstLine="1200" w:firstLineChars="500"/>
        <w:jc w:val="left"/>
        <w:rPr>
          <w:rFonts w:ascii="宋体" w:hAnsi="宋体"/>
          <w:sz w:val="24"/>
          <w:szCs w:val="22"/>
        </w:rPr>
      </w:pPr>
      <w:r>
        <w:rPr>
          <w:rFonts w:hint="eastAsia"/>
          <w:sz w:val="24"/>
          <w:szCs w:val="24"/>
        </w:rPr>
        <w:t>樊继拓（多资产研究部副总经理）</w:t>
      </w:r>
    </w:p>
    <w:p w14:paraId="79AE361E">
      <w:pPr>
        <w:adjustRightInd w:val="0"/>
        <w:snapToGrid w:val="0"/>
        <w:spacing w:line="360" w:lineRule="auto"/>
        <w:ind w:firstLine="480" w:firstLineChars="200"/>
        <w:rPr>
          <w:kern w:val="0"/>
          <w:sz w:val="24"/>
          <w:szCs w:val="24"/>
        </w:rPr>
      </w:pPr>
      <w:r>
        <w:rPr>
          <w:rFonts w:hint="eastAsia" w:ascii="宋体" w:hAnsi="宋体"/>
          <w:sz w:val="24"/>
        </w:rPr>
        <w:t>5、</w:t>
      </w:r>
      <w:r>
        <w:rPr>
          <w:rFonts w:ascii="宋体" w:hAnsi="宋体"/>
          <w:sz w:val="24"/>
        </w:rPr>
        <w:t>上述人员之间不存在近亲属关系。</w:t>
      </w:r>
    </w:p>
    <w:p w14:paraId="6A3D51A2">
      <w:pPr>
        <w:widowControl/>
        <w:adjustRightInd w:val="0"/>
        <w:snapToGrid w:val="0"/>
        <w:spacing w:line="360" w:lineRule="auto"/>
        <w:ind w:firstLine="482" w:firstLineChars="200"/>
        <w:rPr>
          <w:b/>
          <w:kern w:val="0"/>
          <w:sz w:val="24"/>
        </w:rPr>
      </w:pPr>
      <w:r>
        <w:rPr>
          <w:rFonts w:hAnsi="宋体"/>
          <w:b/>
          <w:kern w:val="0"/>
          <w:sz w:val="24"/>
        </w:rPr>
        <w:t>（三）基金管理人的职责</w:t>
      </w:r>
    </w:p>
    <w:p w14:paraId="47391BA1">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14:paraId="1AEA0EE4">
      <w:pPr>
        <w:adjustRightInd w:val="0"/>
        <w:snapToGrid w:val="0"/>
        <w:spacing w:line="360" w:lineRule="auto"/>
        <w:ind w:firstLine="480" w:firstLineChars="200"/>
        <w:rPr>
          <w:sz w:val="24"/>
          <w:szCs w:val="24"/>
        </w:rPr>
      </w:pPr>
      <w:r>
        <w:rPr>
          <w:sz w:val="24"/>
          <w:szCs w:val="24"/>
        </w:rPr>
        <w:t>2、办理基金备案手续；</w:t>
      </w:r>
    </w:p>
    <w:p w14:paraId="212494C5">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14:paraId="72E4675D">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14:paraId="47B5588A">
      <w:pPr>
        <w:adjustRightInd w:val="0"/>
        <w:snapToGrid w:val="0"/>
        <w:spacing w:line="360" w:lineRule="auto"/>
        <w:ind w:firstLine="480" w:firstLineChars="200"/>
        <w:rPr>
          <w:sz w:val="24"/>
          <w:szCs w:val="24"/>
        </w:rPr>
      </w:pPr>
      <w:r>
        <w:rPr>
          <w:sz w:val="24"/>
          <w:szCs w:val="24"/>
        </w:rPr>
        <w:t>5、进行基金会计核算并编制基金财务会计报告；</w:t>
      </w:r>
    </w:p>
    <w:p w14:paraId="4208907A">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14:paraId="7E507996">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14:paraId="710B1037">
      <w:pPr>
        <w:adjustRightInd w:val="0"/>
        <w:snapToGrid w:val="0"/>
        <w:spacing w:line="360" w:lineRule="auto"/>
        <w:ind w:firstLine="480" w:firstLineChars="200"/>
        <w:rPr>
          <w:sz w:val="24"/>
          <w:szCs w:val="24"/>
        </w:rPr>
      </w:pPr>
      <w:r>
        <w:rPr>
          <w:sz w:val="24"/>
          <w:szCs w:val="24"/>
        </w:rPr>
        <w:t>8、办理与基金财产管理业务活动有关的信息披露事项；</w:t>
      </w:r>
    </w:p>
    <w:p w14:paraId="00CB4A89">
      <w:pPr>
        <w:adjustRightInd w:val="0"/>
        <w:snapToGrid w:val="0"/>
        <w:spacing w:line="360" w:lineRule="auto"/>
        <w:ind w:firstLine="480" w:firstLineChars="200"/>
        <w:rPr>
          <w:sz w:val="24"/>
          <w:szCs w:val="24"/>
        </w:rPr>
      </w:pPr>
      <w:r>
        <w:rPr>
          <w:sz w:val="24"/>
          <w:szCs w:val="24"/>
        </w:rPr>
        <w:t>9、按照规定召集基金份额持有人大会；</w:t>
      </w:r>
    </w:p>
    <w:p w14:paraId="2FE7A9D8">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14:paraId="1C3AC9F9">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14:paraId="7E6EFA28">
      <w:pPr>
        <w:adjustRightInd w:val="0"/>
        <w:snapToGrid w:val="0"/>
        <w:spacing w:line="360" w:lineRule="auto"/>
        <w:ind w:firstLine="480" w:firstLineChars="200"/>
        <w:rPr>
          <w:sz w:val="24"/>
          <w:szCs w:val="24"/>
        </w:rPr>
      </w:pPr>
      <w:r>
        <w:rPr>
          <w:sz w:val="24"/>
          <w:szCs w:val="24"/>
        </w:rPr>
        <w:t>12、有关法律法规和中国证监会规定的其他职责。</w:t>
      </w:r>
    </w:p>
    <w:p w14:paraId="3CE37444">
      <w:pPr>
        <w:widowControl/>
        <w:adjustRightInd w:val="0"/>
        <w:snapToGrid w:val="0"/>
        <w:spacing w:line="360" w:lineRule="auto"/>
        <w:ind w:firstLine="482" w:firstLineChars="200"/>
        <w:jc w:val="left"/>
        <w:rPr>
          <w:b/>
          <w:kern w:val="0"/>
          <w:sz w:val="24"/>
        </w:rPr>
      </w:pPr>
      <w:r>
        <w:rPr>
          <w:rFonts w:hAnsi="宋体"/>
          <w:b/>
          <w:kern w:val="0"/>
          <w:sz w:val="24"/>
        </w:rPr>
        <w:t>（四）基金管理人的承诺</w:t>
      </w:r>
    </w:p>
    <w:p w14:paraId="191250B7">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14:paraId="7395BC02">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14:paraId="12C84A93">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14:paraId="3CADD390">
      <w:pPr>
        <w:adjustRightInd w:val="0"/>
        <w:snapToGrid w:val="0"/>
        <w:spacing w:line="360" w:lineRule="auto"/>
        <w:ind w:firstLine="480" w:firstLineChars="200"/>
        <w:rPr>
          <w:sz w:val="24"/>
          <w:szCs w:val="24"/>
        </w:rPr>
      </w:pPr>
      <w:r>
        <w:rPr>
          <w:sz w:val="24"/>
          <w:szCs w:val="24"/>
        </w:rPr>
        <w:t>（2）不公平地对待管理的不同基金财产；</w:t>
      </w:r>
    </w:p>
    <w:p w14:paraId="733DBFEB">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14:paraId="6729FBFC">
      <w:pPr>
        <w:adjustRightInd w:val="0"/>
        <w:snapToGrid w:val="0"/>
        <w:spacing w:line="360" w:lineRule="auto"/>
        <w:ind w:firstLine="480" w:firstLineChars="200"/>
        <w:rPr>
          <w:sz w:val="24"/>
          <w:szCs w:val="24"/>
        </w:rPr>
      </w:pPr>
      <w:r>
        <w:rPr>
          <w:sz w:val="24"/>
          <w:szCs w:val="24"/>
        </w:rPr>
        <w:t>（4）向基金份额持有人违规承诺收益或者承担损失；</w:t>
      </w:r>
    </w:p>
    <w:p w14:paraId="47F63C23">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14:paraId="5319F43A">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14:paraId="4C8063ED">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14:paraId="3C524C88">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14:paraId="4FC34930">
      <w:pPr>
        <w:adjustRightInd w:val="0"/>
        <w:snapToGrid w:val="0"/>
        <w:spacing w:line="360" w:lineRule="auto"/>
        <w:ind w:firstLine="480" w:firstLineChars="200"/>
        <w:rPr>
          <w:sz w:val="24"/>
          <w:szCs w:val="24"/>
        </w:rPr>
      </w:pPr>
      <w:r>
        <w:rPr>
          <w:sz w:val="24"/>
          <w:szCs w:val="24"/>
        </w:rPr>
        <w:t>5、基金管理人承诺不从事其他法规规定禁止从事的行为。</w:t>
      </w:r>
    </w:p>
    <w:p w14:paraId="5E7082FD">
      <w:pPr>
        <w:widowControl/>
        <w:adjustRightInd w:val="0"/>
        <w:snapToGrid w:val="0"/>
        <w:spacing w:line="360" w:lineRule="auto"/>
        <w:ind w:firstLine="482" w:firstLineChars="200"/>
        <w:jc w:val="left"/>
        <w:rPr>
          <w:b/>
          <w:kern w:val="0"/>
          <w:sz w:val="24"/>
        </w:rPr>
      </w:pPr>
      <w:r>
        <w:rPr>
          <w:rFonts w:hAnsi="宋体"/>
          <w:b/>
          <w:kern w:val="0"/>
          <w:sz w:val="24"/>
        </w:rPr>
        <w:t>（五）基金经理承诺</w:t>
      </w:r>
    </w:p>
    <w:p w14:paraId="69059537">
      <w:pPr>
        <w:adjustRightInd w:val="0"/>
        <w:snapToGrid w:val="0"/>
        <w:spacing w:line="360" w:lineRule="auto"/>
        <w:ind w:firstLine="480" w:firstLineChars="200"/>
        <w:rPr>
          <w:sz w:val="24"/>
          <w:szCs w:val="24"/>
        </w:rPr>
      </w:pPr>
      <w:r>
        <w:rPr>
          <w:sz w:val="24"/>
          <w:szCs w:val="24"/>
        </w:rPr>
        <w:t>1、依照有关法律法规和基金合同的规定，本着谨慎的原则为基金份额持有人谋取最大利益；</w:t>
      </w:r>
    </w:p>
    <w:p w14:paraId="19D0D8FD">
      <w:pPr>
        <w:adjustRightInd w:val="0"/>
        <w:snapToGrid w:val="0"/>
        <w:spacing w:line="360" w:lineRule="auto"/>
        <w:ind w:firstLine="480" w:firstLineChars="200"/>
        <w:rPr>
          <w:sz w:val="24"/>
          <w:szCs w:val="24"/>
        </w:rPr>
      </w:pPr>
      <w:r>
        <w:rPr>
          <w:sz w:val="24"/>
          <w:szCs w:val="24"/>
        </w:rPr>
        <w:t>2、不利用职务之便为自己、受雇人或任何第三者谋取利益；</w:t>
      </w:r>
    </w:p>
    <w:p w14:paraId="4A49DF9F">
      <w:pPr>
        <w:widowControl/>
        <w:adjustRightInd w:val="0"/>
        <w:snapToGrid w:val="0"/>
        <w:spacing w:line="360" w:lineRule="auto"/>
        <w:ind w:firstLine="480" w:firstLineChars="200"/>
        <w:rPr>
          <w:sz w:val="24"/>
          <w:szCs w:val="24"/>
        </w:rPr>
      </w:pPr>
      <w:r>
        <w:rPr>
          <w:sz w:val="24"/>
          <w:szCs w:val="24"/>
        </w:rPr>
        <w:t>3、不泄露在任职期间知悉的有关证券、基金的商业秘密，尚未依法公开的基金投资内容、基金投资计划等信息，或利用该信息从事或者明示、暗示他人从事相关的交易活动；</w:t>
      </w:r>
    </w:p>
    <w:p w14:paraId="79292BB1">
      <w:pPr>
        <w:widowControl/>
        <w:adjustRightInd w:val="0"/>
        <w:snapToGrid w:val="0"/>
        <w:spacing w:line="360" w:lineRule="auto"/>
        <w:ind w:firstLine="480" w:firstLineChars="200"/>
        <w:rPr>
          <w:kern w:val="0"/>
          <w:sz w:val="24"/>
          <w:szCs w:val="24"/>
        </w:rPr>
      </w:pPr>
      <w:r>
        <w:rPr>
          <w:sz w:val="24"/>
          <w:szCs w:val="24"/>
        </w:rPr>
        <w:t>4、不以任何形式为其他组织或个人进行证券交易。</w:t>
      </w:r>
    </w:p>
    <w:p w14:paraId="3C146D58">
      <w:pPr>
        <w:widowControl/>
        <w:adjustRightInd w:val="0"/>
        <w:snapToGrid w:val="0"/>
        <w:spacing w:line="360" w:lineRule="auto"/>
        <w:ind w:firstLine="482" w:firstLineChars="200"/>
        <w:rPr>
          <w:b/>
          <w:kern w:val="0"/>
          <w:sz w:val="24"/>
        </w:rPr>
      </w:pPr>
      <w:r>
        <w:rPr>
          <w:rFonts w:hAnsi="宋体"/>
          <w:b/>
          <w:kern w:val="0"/>
          <w:sz w:val="24"/>
        </w:rPr>
        <w:t>（六）基金管理人的内部控制制度</w:t>
      </w:r>
    </w:p>
    <w:p w14:paraId="23C00C61">
      <w:pPr>
        <w:widowControl/>
        <w:adjustRightInd w:val="0"/>
        <w:snapToGrid w:val="0"/>
        <w:spacing w:line="360" w:lineRule="auto"/>
        <w:ind w:firstLine="480" w:firstLineChars="200"/>
        <w:rPr>
          <w:rFonts w:hint="eastAsia"/>
          <w:kern w:val="0"/>
          <w:sz w:val="24"/>
          <w:szCs w:val="24"/>
        </w:rPr>
      </w:pPr>
      <w:r>
        <w:rPr>
          <w:rFonts w:hint="eastAsia"/>
          <w:kern w:val="0"/>
          <w:sz w:val="24"/>
          <w:szCs w:val="24"/>
        </w:rPr>
        <w:t>1、内部控制的原则</w:t>
      </w:r>
    </w:p>
    <w:p w14:paraId="04296654">
      <w:pPr>
        <w:widowControl/>
        <w:adjustRightInd w:val="0"/>
        <w:snapToGrid w:val="0"/>
        <w:spacing w:line="360" w:lineRule="auto"/>
        <w:ind w:firstLine="480" w:firstLineChars="200"/>
        <w:rPr>
          <w:rFonts w:hint="eastAsia"/>
          <w:kern w:val="0"/>
          <w:sz w:val="24"/>
          <w:szCs w:val="24"/>
        </w:rPr>
      </w:pPr>
      <w:r>
        <w:rPr>
          <w:rFonts w:hint="eastAsia"/>
          <w:kern w:val="0"/>
          <w:sz w:val="24"/>
          <w:szCs w:val="24"/>
        </w:rPr>
        <w:t>（1）健全性原则</w:t>
      </w:r>
    </w:p>
    <w:p w14:paraId="410F5CF0">
      <w:pPr>
        <w:widowControl/>
        <w:adjustRightInd w:val="0"/>
        <w:snapToGrid w:val="0"/>
        <w:spacing w:line="360" w:lineRule="auto"/>
        <w:ind w:firstLine="480" w:firstLineChars="200"/>
        <w:rPr>
          <w:rFonts w:hint="eastAsia"/>
          <w:kern w:val="0"/>
          <w:sz w:val="24"/>
          <w:szCs w:val="24"/>
        </w:rPr>
      </w:pPr>
      <w:r>
        <w:rPr>
          <w:rFonts w:hint="eastAsia"/>
          <w:kern w:val="0"/>
          <w:sz w:val="24"/>
          <w:szCs w:val="24"/>
        </w:rPr>
        <w:t>内部控制应当包括公司的各项业务、各个部门或机构和各级人员, 并涵盖到决策、执行、监督、反馈等各个环节。</w:t>
      </w:r>
    </w:p>
    <w:p w14:paraId="50343E16">
      <w:pPr>
        <w:widowControl/>
        <w:adjustRightInd w:val="0"/>
        <w:snapToGrid w:val="0"/>
        <w:spacing w:line="360" w:lineRule="auto"/>
        <w:ind w:firstLine="480" w:firstLineChars="200"/>
        <w:rPr>
          <w:rFonts w:hint="eastAsia"/>
          <w:kern w:val="0"/>
          <w:sz w:val="24"/>
          <w:szCs w:val="24"/>
        </w:rPr>
      </w:pPr>
      <w:r>
        <w:rPr>
          <w:rFonts w:hint="eastAsia"/>
          <w:kern w:val="0"/>
          <w:sz w:val="24"/>
          <w:szCs w:val="24"/>
        </w:rPr>
        <w:t>（2）有效性原则</w:t>
      </w:r>
    </w:p>
    <w:p w14:paraId="722D2544">
      <w:pPr>
        <w:widowControl/>
        <w:adjustRightInd w:val="0"/>
        <w:snapToGrid w:val="0"/>
        <w:spacing w:line="360" w:lineRule="auto"/>
        <w:ind w:firstLine="480" w:firstLineChars="200"/>
        <w:rPr>
          <w:rFonts w:hint="eastAsia"/>
          <w:kern w:val="0"/>
          <w:sz w:val="24"/>
          <w:szCs w:val="24"/>
        </w:rPr>
      </w:pPr>
      <w:r>
        <w:rPr>
          <w:rFonts w:hint="eastAsia"/>
          <w:kern w:val="0"/>
          <w:sz w:val="24"/>
          <w:szCs w:val="24"/>
        </w:rPr>
        <w:t>通过科学的内控手段和方法，建立合理的内控程序，维护内控制度的有效执行。</w:t>
      </w:r>
    </w:p>
    <w:p w14:paraId="4C5D32E7">
      <w:pPr>
        <w:widowControl/>
        <w:adjustRightInd w:val="0"/>
        <w:snapToGrid w:val="0"/>
        <w:spacing w:line="360" w:lineRule="auto"/>
        <w:ind w:firstLine="480" w:firstLineChars="200"/>
        <w:rPr>
          <w:rFonts w:hint="eastAsia"/>
          <w:kern w:val="0"/>
          <w:sz w:val="24"/>
          <w:szCs w:val="24"/>
        </w:rPr>
      </w:pPr>
      <w:r>
        <w:rPr>
          <w:rFonts w:hint="eastAsia"/>
          <w:kern w:val="0"/>
          <w:sz w:val="24"/>
          <w:szCs w:val="24"/>
        </w:rPr>
        <w:t>（3）独立性原则</w:t>
      </w:r>
    </w:p>
    <w:p w14:paraId="13123700">
      <w:pPr>
        <w:widowControl/>
        <w:adjustRightInd w:val="0"/>
        <w:snapToGrid w:val="0"/>
        <w:spacing w:line="360" w:lineRule="auto"/>
        <w:ind w:firstLine="480" w:firstLineChars="200"/>
        <w:rPr>
          <w:rFonts w:hint="eastAsia"/>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14:paraId="122C9330">
      <w:pPr>
        <w:widowControl/>
        <w:adjustRightInd w:val="0"/>
        <w:snapToGrid w:val="0"/>
        <w:spacing w:line="360" w:lineRule="auto"/>
        <w:ind w:firstLine="480" w:firstLineChars="200"/>
        <w:rPr>
          <w:rFonts w:hint="eastAsia"/>
          <w:kern w:val="0"/>
          <w:sz w:val="24"/>
          <w:szCs w:val="24"/>
        </w:rPr>
      </w:pPr>
      <w:r>
        <w:rPr>
          <w:rFonts w:hint="eastAsia"/>
          <w:kern w:val="0"/>
          <w:sz w:val="24"/>
          <w:szCs w:val="24"/>
        </w:rPr>
        <w:t>（4）相互制约原则</w:t>
      </w:r>
    </w:p>
    <w:p w14:paraId="4FA22427">
      <w:pPr>
        <w:widowControl/>
        <w:adjustRightInd w:val="0"/>
        <w:snapToGrid w:val="0"/>
        <w:spacing w:line="360" w:lineRule="auto"/>
        <w:ind w:firstLine="480" w:firstLineChars="200"/>
        <w:rPr>
          <w:rFonts w:hint="eastAsia"/>
          <w:kern w:val="0"/>
          <w:sz w:val="24"/>
          <w:szCs w:val="24"/>
        </w:rPr>
      </w:pPr>
      <w:r>
        <w:rPr>
          <w:rFonts w:hint="eastAsia"/>
          <w:kern w:val="0"/>
          <w:sz w:val="24"/>
          <w:szCs w:val="24"/>
        </w:rPr>
        <w:t>公司内部部门和岗位的设置应当体现权责分明、相互制衡。</w:t>
      </w:r>
    </w:p>
    <w:p w14:paraId="408EA698">
      <w:pPr>
        <w:widowControl/>
        <w:adjustRightInd w:val="0"/>
        <w:snapToGrid w:val="0"/>
        <w:spacing w:line="360" w:lineRule="auto"/>
        <w:ind w:firstLine="480" w:firstLineChars="200"/>
        <w:rPr>
          <w:rFonts w:hint="eastAsia"/>
          <w:kern w:val="0"/>
          <w:sz w:val="24"/>
          <w:szCs w:val="24"/>
        </w:rPr>
      </w:pPr>
      <w:r>
        <w:rPr>
          <w:rFonts w:hint="eastAsia"/>
          <w:kern w:val="0"/>
          <w:sz w:val="24"/>
          <w:szCs w:val="24"/>
        </w:rPr>
        <w:t>（5）成本效益原则</w:t>
      </w:r>
    </w:p>
    <w:p w14:paraId="71669C4A">
      <w:pPr>
        <w:widowControl/>
        <w:adjustRightInd w:val="0"/>
        <w:snapToGrid w:val="0"/>
        <w:spacing w:line="360" w:lineRule="auto"/>
        <w:ind w:firstLine="480" w:firstLineChars="200"/>
        <w:rPr>
          <w:rFonts w:hint="eastAsia"/>
          <w:kern w:val="0"/>
          <w:sz w:val="24"/>
          <w:szCs w:val="24"/>
        </w:rPr>
      </w:pPr>
      <w:r>
        <w:rPr>
          <w:rFonts w:hint="eastAsia"/>
          <w:kern w:val="0"/>
          <w:sz w:val="24"/>
          <w:szCs w:val="24"/>
        </w:rPr>
        <w:t>公司运用科学化的经营管理方法降低运作成本，提高经济效益，力争以合理的控制成本达到最佳的内部控制效果。</w:t>
      </w:r>
    </w:p>
    <w:p w14:paraId="238E7123">
      <w:pPr>
        <w:widowControl/>
        <w:adjustRightInd w:val="0"/>
        <w:snapToGrid w:val="0"/>
        <w:spacing w:line="360" w:lineRule="auto"/>
        <w:ind w:firstLine="480" w:firstLineChars="200"/>
        <w:rPr>
          <w:rFonts w:hint="eastAsia"/>
          <w:kern w:val="0"/>
          <w:sz w:val="24"/>
          <w:szCs w:val="24"/>
        </w:rPr>
      </w:pPr>
      <w:r>
        <w:rPr>
          <w:rFonts w:hint="eastAsia"/>
          <w:kern w:val="0"/>
          <w:sz w:val="24"/>
          <w:szCs w:val="24"/>
        </w:rPr>
        <w:t>2、风险管理和内部风险控制体系结构</w:t>
      </w:r>
    </w:p>
    <w:p w14:paraId="59BE0DF8">
      <w:pPr>
        <w:widowControl/>
        <w:adjustRightInd w:val="0"/>
        <w:snapToGrid w:val="0"/>
        <w:spacing w:line="360" w:lineRule="auto"/>
        <w:ind w:firstLine="480" w:firstLineChars="200"/>
        <w:rPr>
          <w:rFonts w:hint="eastAsia"/>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14:paraId="33900099">
      <w:pPr>
        <w:widowControl/>
        <w:adjustRightInd w:val="0"/>
        <w:snapToGrid w:val="0"/>
        <w:spacing w:line="360" w:lineRule="auto"/>
        <w:ind w:firstLine="480" w:firstLineChars="200"/>
        <w:rPr>
          <w:rFonts w:hint="eastAsia"/>
          <w:kern w:val="0"/>
          <w:sz w:val="24"/>
          <w:szCs w:val="24"/>
        </w:rPr>
      </w:pPr>
      <w:r>
        <w:rPr>
          <w:rFonts w:hint="eastAsia"/>
          <w:kern w:val="0"/>
          <w:sz w:val="24"/>
          <w:szCs w:val="24"/>
        </w:rPr>
        <w:t>（1）董事会</w:t>
      </w:r>
    </w:p>
    <w:p w14:paraId="295A55B5">
      <w:pPr>
        <w:widowControl/>
        <w:adjustRightInd w:val="0"/>
        <w:snapToGrid w:val="0"/>
        <w:spacing w:line="360" w:lineRule="auto"/>
        <w:ind w:firstLine="480" w:firstLineChars="200"/>
        <w:rPr>
          <w:rFonts w:hint="eastAsia"/>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14:paraId="59985521">
      <w:pPr>
        <w:widowControl/>
        <w:adjustRightInd w:val="0"/>
        <w:snapToGrid w:val="0"/>
        <w:spacing w:line="360" w:lineRule="auto"/>
        <w:ind w:firstLine="480" w:firstLineChars="200"/>
        <w:rPr>
          <w:rFonts w:hint="eastAsia"/>
          <w:kern w:val="0"/>
          <w:sz w:val="24"/>
          <w:szCs w:val="24"/>
        </w:rPr>
      </w:pPr>
      <w:r>
        <w:rPr>
          <w:rFonts w:hint="eastAsia"/>
          <w:kern w:val="0"/>
          <w:sz w:val="24"/>
          <w:szCs w:val="24"/>
        </w:rPr>
        <w:t>（2）合规风险及审计委员会</w:t>
      </w:r>
    </w:p>
    <w:p w14:paraId="11036D98">
      <w:pPr>
        <w:widowControl/>
        <w:adjustRightInd w:val="0"/>
        <w:snapToGrid w:val="0"/>
        <w:spacing w:line="360" w:lineRule="auto"/>
        <w:ind w:firstLine="480" w:firstLineChars="200"/>
        <w:rPr>
          <w:rFonts w:hint="eastAsia"/>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14:paraId="61078FEA">
      <w:pPr>
        <w:widowControl/>
        <w:adjustRightInd w:val="0"/>
        <w:snapToGrid w:val="0"/>
        <w:spacing w:line="360" w:lineRule="auto"/>
        <w:ind w:firstLine="480" w:firstLineChars="200"/>
        <w:rPr>
          <w:rFonts w:hint="eastAsia"/>
          <w:kern w:val="0"/>
          <w:sz w:val="24"/>
          <w:szCs w:val="24"/>
        </w:rPr>
      </w:pPr>
      <w:r>
        <w:rPr>
          <w:rFonts w:hint="eastAsia"/>
          <w:kern w:val="0"/>
          <w:sz w:val="24"/>
          <w:szCs w:val="24"/>
        </w:rPr>
        <w:t>（3）风险控制委员会</w:t>
      </w:r>
    </w:p>
    <w:p w14:paraId="36F03BB5">
      <w:pPr>
        <w:widowControl/>
        <w:adjustRightInd w:val="0"/>
        <w:snapToGrid w:val="0"/>
        <w:spacing w:line="360" w:lineRule="auto"/>
        <w:ind w:firstLine="480" w:firstLineChars="200"/>
        <w:rPr>
          <w:rFonts w:hint="eastAsia"/>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14:paraId="1932B4F5">
      <w:pPr>
        <w:widowControl/>
        <w:adjustRightInd w:val="0"/>
        <w:snapToGrid w:val="0"/>
        <w:spacing w:line="360" w:lineRule="auto"/>
        <w:ind w:firstLine="480" w:firstLineChars="200"/>
        <w:rPr>
          <w:rFonts w:hint="eastAsia"/>
          <w:kern w:val="0"/>
          <w:sz w:val="24"/>
          <w:szCs w:val="24"/>
        </w:rPr>
      </w:pPr>
      <w:r>
        <w:rPr>
          <w:rFonts w:hint="eastAsia"/>
          <w:kern w:val="0"/>
          <w:sz w:val="24"/>
          <w:szCs w:val="24"/>
        </w:rPr>
        <w:t>（4）督察长</w:t>
      </w:r>
    </w:p>
    <w:p w14:paraId="78867E79">
      <w:pPr>
        <w:widowControl/>
        <w:adjustRightInd w:val="0"/>
        <w:snapToGrid w:val="0"/>
        <w:spacing w:line="360" w:lineRule="auto"/>
        <w:ind w:firstLine="480" w:firstLineChars="200"/>
        <w:rPr>
          <w:rFonts w:hint="eastAsia"/>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14:paraId="2B456B9B">
      <w:pPr>
        <w:widowControl/>
        <w:adjustRightInd w:val="0"/>
        <w:snapToGrid w:val="0"/>
        <w:spacing w:line="360" w:lineRule="auto"/>
        <w:ind w:firstLine="480" w:firstLineChars="200"/>
        <w:rPr>
          <w:rFonts w:hint="eastAsia"/>
          <w:kern w:val="0"/>
          <w:sz w:val="24"/>
          <w:szCs w:val="24"/>
        </w:rPr>
      </w:pPr>
      <w:r>
        <w:rPr>
          <w:rFonts w:hint="eastAsia"/>
          <w:kern w:val="0"/>
          <w:sz w:val="24"/>
          <w:szCs w:val="24"/>
        </w:rPr>
        <w:t>（5）风险管理部</w:t>
      </w:r>
    </w:p>
    <w:p w14:paraId="68CFD72B">
      <w:pPr>
        <w:widowControl/>
        <w:adjustRightInd w:val="0"/>
        <w:snapToGrid w:val="0"/>
        <w:spacing w:line="360" w:lineRule="auto"/>
        <w:ind w:firstLine="480" w:firstLineChars="200"/>
        <w:rPr>
          <w:rFonts w:hint="eastAsia"/>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14:paraId="5725A16E">
      <w:pPr>
        <w:widowControl/>
        <w:adjustRightInd w:val="0"/>
        <w:snapToGrid w:val="0"/>
        <w:spacing w:line="360" w:lineRule="auto"/>
        <w:ind w:firstLine="480" w:firstLineChars="200"/>
        <w:rPr>
          <w:rFonts w:hint="eastAsia"/>
          <w:kern w:val="0"/>
          <w:sz w:val="24"/>
          <w:szCs w:val="24"/>
        </w:rPr>
      </w:pPr>
      <w:r>
        <w:rPr>
          <w:rFonts w:hint="eastAsia"/>
          <w:kern w:val="0"/>
          <w:sz w:val="24"/>
          <w:szCs w:val="24"/>
        </w:rPr>
        <w:t>（6）审计部</w:t>
      </w:r>
    </w:p>
    <w:p w14:paraId="169D4805">
      <w:pPr>
        <w:widowControl/>
        <w:adjustRightInd w:val="0"/>
        <w:snapToGrid w:val="0"/>
        <w:spacing w:line="360" w:lineRule="auto"/>
        <w:ind w:firstLine="480" w:firstLineChars="200"/>
        <w:rPr>
          <w:rFonts w:hint="eastAsia"/>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11326948">
      <w:pPr>
        <w:widowControl/>
        <w:adjustRightInd w:val="0"/>
        <w:snapToGrid w:val="0"/>
        <w:spacing w:line="360" w:lineRule="auto"/>
        <w:ind w:firstLine="480" w:firstLineChars="200"/>
        <w:rPr>
          <w:rFonts w:hint="eastAsia"/>
          <w:kern w:val="0"/>
          <w:sz w:val="24"/>
          <w:szCs w:val="24"/>
        </w:rPr>
      </w:pPr>
      <w:r>
        <w:rPr>
          <w:rFonts w:hint="eastAsia"/>
          <w:kern w:val="0"/>
          <w:sz w:val="24"/>
          <w:szCs w:val="24"/>
        </w:rPr>
        <w:t>（7）内控合规及法律事务部</w:t>
      </w:r>
    </w:p>
    <w:p w14:paraId="21426D7A">
      <w:pPr>
        <w:widowControl/>
        <w:adjustRightInd w:val="0"/>
        <w:snapToGrid w:val="0"/>
        <w:spacing w:line="360" w:lineRule="auto"/>
        <w:ind w:firstLine="480" w:firstLineChars="200"/>
        <w:rPr>
          <w:rFonts w:hint="eastAsia"/>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14:paraId="67038A05">
      <w:pPr>
        <w:widowControl/>
        <w:adjustRightInd w:val="0"/>
        <w:snapToGrid w:val="0"/>
        <w:spacing w:line="360" w:lineRule="auto"/>
        <w:ind w:firstLine="480" w:firstLineChars="200"/>
        <w:rPr>
          <w:rFonts w:hint="eastAsia"/>
          <w:kern w:val="0"/>
          <w:sz w:val="24"/>
          <w:szCs w:val="24"/>
        </w:rPr>
      </w:pPr>
      <w:r>
        <w:rPr>
          <w:rFonts w:hint="eastAsia"/>
          <w:kern w:val="0"/>
          <w:sz w:val="24"/>
          <w:szCs w:val="24"/>
        </w:rPr>
        <w:t>（8）业务部门</w:t>
      </w:r>
    </w:p>
    <w:p w14:paraId="3ECBBC51">
      <w:pPr>
        <w:widowControl/>
        <w:adjustRightInd w:val="0"/>
        <w:snapToGrid w:val="0"/>
        <w:spacing w:line="360" w:lineRule="auto"/>
        <w:ind w:firstLine="480" w:firstLineChars="200"/>
        <w:rPr>
          <w:rFonts w:hint="eastAsia"/>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14:paraId="587859D7">
      <w:pPr>
        <w:widowControl/>
        <w:adjustRightInd w:val="0"/>
        <w:snapToGrid w:val="0"/>
        <w:spacing w:line="360" w:lineRule="auto"/>
        <w:ind w:firstLine="480" w:firstLineChars="200"/>
        <w:rPr>
          <w:rFonts w:hint="eastAsia"/>
          <w:kern w:val="0"/>
          <w:sz w:val="24"/>
          <w:szCs w:val="24"/>
        </w:rPr>
      </w:pPr>
      <w:r>
        <w:rPr>
          <w:rFonts w:hint="eastAsia"/>
          <w:kern w:val="0"/>
          <w:sz w:val="24"/>
          <w:szCs w:val="24"/>
        </w:rPr>
        <w:t>3、风险管理和内部风险控制的措施</w:t>
      </w:r>
    </w:p>
    <w:p w14:paraId="15E242AA">
      <w:pPr>
        <w:widowControl/>
        <w:adjustRightInd w:val="0"/>
        <w:snapToGrid w:val="0"/>
        <w:spacing w:line="360" w:lineRule="auto"/>
        <w:ind w:firstLine="480" w:firstLineChars="200"/>
        <w:rPr>
          <w:rFonts w:hint="eastAsia"/>
          <w:kern w:val="0"/>
          <w:sz w:val="24"/>
          <w:szCs w:val="24"/>
        </w:rPr>
      </w:pPr>
      <w:r>
        <w:rPr>
          <w:rFonts w:hint="eastAsia"/>
          <w:kern w:val="0"/>
          <w:sz w:val="24"/>
          <w:szCs w:val="24"/>
        </w:rPr>
        <w:t>（1）建立内控体系，完善内控制度</w:t>
      </w:r>
    </w:p>
    <w:p w14:paraId="05F65BE5">
      <w:pPr>
        <w:widowControl/>
        <w:adjustRightInd w:val="0"/>
        <w:snapToGrid w:val="0"/>
        <w:spacing w:line="360" w:lineRule="auto"/>
        <w:ind w:firstLine="480" w:firstLineChars="200"/>
        <w:rPr>
          <w:rFonts w:hint="eastAsia"/>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54CF3334">
      <w:pPr>
        <w:widowControl/>
        <w:adjustRightInd w:val="0"/>
        <w:snapToGrid w:val="0"/>
        <w:spacing w:line="360" w:lineRule="auto"/>
        <w:ind w:firstLine="480" w:firstLineChars="200"/>
        <w:rPr>
          <w:rFonts w:hint="eastAsia"/>
          <w:kern w:val="0"/>
          <w:sz w:val="24"/>
          <w:szCs w:val="24"/>
        </w:rPr>
      </w:pPr>
      <w:r>
        <w:rPr>
          <w:rFonts w:hint="eastAsia"/>
          <w:kern w:val="0"/>
          <w:sz w:val="24"/>
          <w:szCs w:val="24"/>
        </w:rPr>
        <w:t>（2）建立相互分离、相互制衡的内控机制</w:t>
      </w:r>
    </w:p>
    <w:p w14:paraId="654CB80A">
      <w:pPr>
        <w:widowControl/>
        <w:adjustRightInd w:val="0"/>
        <w:snapToGrid w:val="0"/>
        <w:spacing w:line="360" w:lineRule="auto"/>
        <w:ind w:firstLine="480" w:firstLineChars="200"/>
        <w:rPr>
          <w:rFonts w:hint="eastAsia"/>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14:paraId="428FAE11">
      <w:pPr>
        <w:widowControl/>
        <w:adjustRightInd w:val="0"/>
        <w:snapToGrid w:val="0"/>
        <w:spacing w:line="360" w:lineRule="auto"/>
        <w:ind w:firstLine="480" w:firstLineChars="200"/>
        <w:rPr>
          <w:rFonts w:hint="eastAsia"/>
          <w:kern w:val="0"/>
          <w:sz w:val="24"/>
          <w:szCs w:val="24"/>
        </w:rPr>
      </w:pPr>
      <w:r>
        <w:rPr>
          <w:rFonts w:hint="eastAsia"/>
          <w:kern w:val="0"/>
          <w:sz w:val="24"/>
          <w:szCs w:val="24"/>
        </w:rPr>
        <w:t>（3）建立、健全岗位责任制</w:t>
      </w:r>
    </w:p>
    <w:p w14:paraId="55377AE4">
      <w:pPr>
        <w:widowControl/>
        <w:adjustRightInd w:val="0"/>
        <w:snapToGrid w:val="0"/>
        <w:spacing w:line="360" w:lineRule="auto"/>
        <w:ind w:firstLine="480" w:firstLineChars="200"/>
        <w:rPr>
          <w:rFonts w:hint="eastAsia"/>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14:paraId="36055897">
      <w:pPr>
        <w:widowControl/>
        <w:adjustRightInd w:val="0"/>
        <w:snapToGrid w:val="0"/>
        <w:spacing w:line="360" w:lineRule="auto"/>
        <w:ind w:firstLine="480" w:firstLineChars="200"/>
        <w:rPr>
          <w:rFonts w:hint="eastAsia"/>
          <w:kern w:val="0"/>
          <w:sz w:val="24"/>
          <w:szCs w:val="24"/>
        </w:rPr>
      </w:pPr>
      <w:r>
        <w:rPr>
          <w:rFonts w:hint="eastAsia"/>
          <w:kern w:val="0"/>
          <w:sz w:val="24"/>
          <w:szCs w:val="24"/>
        </w:rPr>
        <w:t>（4）建立风险分类、识别、评估、报告、提示程序</w:t>
      </w:r>
    </w:p>
    <w:p w14:paraId="12AE6F5C">
      <w:pPr>
        <w:widowControl/>
        <w:adjustRightInd w:val="0"/>
        <w:snapToGrid w:val="0"/>
        <w:spacing w:line="360" w:lineRule="auto"/>
        <w:ind w:firstLine="480" w:firstLineChars="200"/>
        <w:rPr>
          <w:rFonts w:hint="eastAsia"/>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1F3ADC3A">
      <w:pPr>
        <w:widowControl/>
        <w:adjustRightInd w:val="0"/>
        <w:snapToGrid w:val="0"/>
        <w:spacing w:line="360" w:lineRule="auto"/>
        <w:ind w:firstLine="480" w:firstLineChars="200"/>
        <w:rPr>
          <w:rFonts w:hint="eastAsia"/>
          <w:kern w:val="0"/>
          <w:sz w:val="24"/>
          <w:szCs w:val="24"/>
        </w:rPr>
      </w:pPr>
      <w:r>
        <w:rPr>
          <w:rFonts w:hint="eastAsia"/>
          <w:kern w:val="0"/>
          <w:sz w:val="24"/>
          <w:szCs w:val="24"/>
        </w:rPr>
        <w:t>（5）建立有效的内部监控系统</w:t>
      </w:r>
    </w:p>
    <w:p w14:paraId="0A03054F">
      <w:pPr>
        <w:widowControl/>
        <w:adjustRightInd w:val="0"/>
        <w:snapToGrid w:val="0"/>
        <w:spacing w:line="360" w:lineRule="auto"/>
        <w:ind w:firstLine="480" w:firstLineChars="200"/>
        <w:rPr>
          <w:rFonts w:hint="eastAsia"/>
          <w:kern w:val="0"/>
          <w:sz w:val="24"/>
          <w:szCs w:val="24"/>
        </w:rPr>
      </w:pPr>
      <w:r>
        <w:rPr>
          <w:rFonts w:hint="eastAsia"/>
          <w:kern w:val="0"/>
          <w:sz w:val="24"/>
          <w:szCs w:val="24"/>
        </w:rPr>
        <w:t>建立了足够、有效的内部监控系统，对可能出现的各种风险进行全面和实时的监控。</w:t>
      </w:r>
    </w:p>
    <w:p w14:paraId="4E7012AE">
      <w:pPr>
        <w:widowControl/>
        <w:adjustRightInd w:val="0"/>
        <w:snapToGrid w:val="0"/>
        <w:spacing w:line="360" w:lineRule="auto"/>
        <w:ind w:firstLine="480" w:firstLineChars="200"/>
        <w:rPr>
          <w:rFonts w:hint="eastAsia"/>
          <w:kern w:val="0"/>
          <w:sz w:val="24"/>
          <w:szCs w:val="24"/>
        </w:rPr>
      </w:pPr>
      <w:r>
        <w:rPr>
          <w:rFonts w:hint="eastAsia"/>
          <w:kern w:val="0"/>
          <w:sz w:val="24"/>
          <w:szCs w:val="24"/>
        </w:rPr>
        <w:t>（6）使用数量化的风险管理手段</w:t>
      </w:r>
    </w:p>
    <w:p w14:paraId="0598FE1F">
      <w:pPr>
        <w:widowControl/>
        <w:adjustRightInd w:val="0"/>
        <w:snapToGrid w:val="0"/>
        <w:spacing w:line="360" w:lineRule="auto"/>
        <w:ind w:firstLine="480" w:firstLineChars="200"/>
        <w:rPr>
          <w:rFonts w:hint="eastAsia"/>
          <w:kern w:val="0"/>
          <w:sz w:val="24"/>
          <w:szCs w:val="24"/>
        </w:rPr>
      </w:pPr>
      <w:r>
        <w:rPr>
          <w:rFonts w:hint="eastAsia"/>
          <w:kern w:val="0"/>
          <w:sz w:val="24"/>
          <w:szCs w:val="24"/>
        </w:rPr>
        <w:t>采取数量化、技术化的风险控制手段，建立数量化的风险管理模型，用以提示指数趋势、行业及个</w:t>
      </w:r>
      <w:r>
        <w:rPr>
          <w:rFonts w:hint="eastAsia"/>
          <w:kern w:val="0"/>
          <w:sz w:val="24"/>
          <w:szCs w:val="24"/>
          <w:lang w:val="en-US" w:eastAsia="zh-CN"/>
        </w:rPr>
        <w:t>券</w:t>
      </w:r>
      <w:r>
        <w:rPr>
          <w:rFonts w:hint="eastAsia"/>
          <w:kern w:val="0"/>
          <w:sz w:val="24"/>
          <w:szCs w:val="24"/>
        </w:rPr>
        <w:t>的风险，以便公司及时采取有效的措施，对风险进行分散、控制和规避，尽可能地减少损失。</w:t>
      </w:r>
    </w:p>
    <w:p w14:paraId="2BD6C09C">
      <w:pPr>
        <w:widowControl/>
        <w:adjustRightInd w:val="0"/>
        <w:snapToGrid w:val="0"/>
        <w:spacing w:line="360" w:lineRule="auto"/>
        <w:ind w:firstLine="480" w:firstLineChars="200"/>
        <w:rPr>
          <w:rFonts w:hint="eastAsia"/>
          <w:kern w:val="0"/>
          <w:sz w:val="24"/>
          <w:szCs w:val="24"/>
        </w:rPr>
      </w:pPr>
      <w:r>
        <w:rPr>
          <w:rFonts w:hint="eastAsia"/>
          <w:kern w:val="0"/>
          <w:sz w:val="24"/>
          <w:szCs w:val="24"/>
        </w:rPr>
        <w:t>（7）提供足够的培训</w:t>
      </w:r>
    </w:p>
    <w:p w14:paraId="280FBB93">
      <w:pPr>
        <w:widowControl/>
        <w:adjustRightInd w:val="0"/>
        <w:snapToGrid w:val="0"/>
        <w:spacing w:line="360" w:lineRule="auto"/>
        <w:ind w:firstLine="480" w:firstLineChars="200"/>
        <w:rPr>
          <w:kern w:val="0"/>
          <w:sz w:val="24"/>
          <w:szCs w:val="24"/>
        </w:rPr>
      </w:pPr>
      <w:r>
        <w:rPr>
          <w:rFonts w:hint="eastAsia"/>
          <w:kern w:val="0"/>
          <w:sz w:val="24"/>
          <w:szCs w:val="24"/>
        </w:rPr>
        <w:t>制定了完整的培训计划，为所有员工提供足够和适当的培训，使员工明确其职责所在，控制风险。</w:t>
      </w:r>
    </w:p>
    <w:p w14:paraId="46CC15B2">
      <w:pPr>
        <w:widowControl/>
        <w:adjustRightInd w:val="0"/>
        <w:snapToGrid w:val="0"/>
        <w:spacing w:line="360" w:lineRule="auto"/>
        <w:ind w:firstLine="480" w:firstLineChars="200"/>
        <w:rPr>
          <w:kern w:val="0"/>
          <w:sz w:val="24"/>
          <w:szCs w:val="24"/>
        </w:rPr>
      </w:pPr>
      <w:bookmarkStart w:id="11" w:name="_Toc109537382"/>
    </w:p>
    <w:p w14:paraId="66535136">
      <w:pPr>
        <w:spacing w:line="360" w:lineRule="auto"/>
        <w:jc w:val="center"/>
        <w:outlineLvl w:val="0"/>
        <w:rPr>
          <w:rFonts w:ascii="宋体" w:hAnsi="宋体"/>
          <w:b/>
          <w:kern w:val="0"/>
          <w:sz w:val="30"/>
        </w:rPr>
      </w:pPr>
      <w:r>
        <w:rPr>
          <w:rFonts w:ascii="宋体" w:hAnsi="宋体"/>
          <w:sz w:val="30"/>
        </w:rPr>
        <w:br w:type="page"/>
      </w:r>
      <w:bookmarkStart w:id="12" w:name="_Toc50983772"/>
      <w:r>
        <w:rPr>
          <w:rFonts w:hint="eastAsia" w:ascii="宋体" w:hAnsi="宋体"/>
          <w:b/>
          <w:kern w:val="0"/>
          <w:sz w:val="30"/>
        </w:rPr>
        <w:t>四、基金托管人</w:t>
      </w:r>
      <w:bookmarkEnd w:id="11"/>
      <w:bookmarkEnd w:id="12"/>
    </w:p>
    <w:p w14:paraId="2ADCEBA7">
      <w:pPr>
        <w:widowControl/>
        <w:adjustRightInd w:val="0"/>
        <w:snapToGrid w:val="0"/>
        <w:spacing w:line="360" w:lineRule="auto"/>
        <w:ind w:firstLine="482" w:firstLineChars="200"/>
        <w:rPr>
          <w:b/>
          <w:kern w:val="0"/>
          <w:sz w:val="24"/>
          <w:szCs w:val="24"/>
        </w:rPr>
      </w:pPr>
      <w:r>
        <w:rPr>
          <w:rFonts w:hint="eastAsia"/>
          <w:b/>
          <w:kern w:val="0"/>
          <w:sz w:val="24"/>
          <w:szCs w:val="24"/>
        </w:rPr>
        <w:t>（</w:t>
      </w:r>
      <w:r>
        <w:rPr>
          <w:b/>
          <w:kern w:val="0"/>
          <w:sz w:val="24"/>
          <w:szCs w:val="24"/>
        </w:rPr>
        <w:t>一</w:t>
      </w:r>
      <w:r>
        <w:rPr>
          <w:rFonts w:hint="eastAsia"/>
          <w:b/>
          <w:kern w:val="0"/>
          <w:sz w:val="24"/>
          <w:szCs w:val="24"/>
        </w:rPr>
        <w:t>）</w:t>
      </w:r>
      <w:r>
        <w:rPr>
          <w:b/>
          <w:kern w:val="0"/>
          <w:sz w:val="24"/>
          <w:szCs w:val="24"/>
        </w:rPr>
        <w:t>基金托管人情况</w:t>
      </w:r>
    </w:p>
    <w:p w14:paraId="7C65B16A">
      <w:pPr>
        <w:widowControl/>
        <w:adjustRightInd w:val="0"/>
        <w:snapToGrid w:val="0"/>
        <w:spacing w:line="360" w:lineRule="auto"/>
        <w:ind w:firstLine="480" w:firstLineChars="200"/>
        <w:rPr>
          <w:kern w:val="0"/>
          <w:sz w:val="24"/>
          <w:szCs w:val="24"/>
        </w:rPr>
      </w:pPr>
      <w:r>
        <w:rPr>
          <w:rFonts w:hint="eastAsia"/>
          <w:kern w:val="0"/>
          <w:sz w:val="24"/>
          <w:szCs w:val="24"/>
        </w:rPr>
        <w:t>1、基本情况</w:t>
      </w:r>
    </w:p>
    <w:p w14:paraId="443B5729">
      <w:pPr>
        <w:widowControl/>
        <w:adjustRightInd w:val="0"/>
        <w:snapToGrid w:val="0"/>
        <w:spacing w:line="360" w:lineRule="auto"/>
        <w:ind w:firstLine="480" w:firstLineChars="200"/>
        <w:rPr>
          <w:kern w:val="0"/>
          <w:sz w:val="24"/>
          <w:szCs w:val="24"/>
        </w:rPr>
      </w:pPr>
      <w:r>
        <w:rPr>
          <w:rFonts w:hint="eastAsia"/>
          <w:kern w:val="0"/>
          <w:sz w:val="24"/>
          <w:szCs w:val="24"/>
        </w:rPr>
        <w:t>名称：中信银行股份有限公司（简称“中信银行”）</w:t>
      </w:r>
    </w:p>
    <w:p w14:paraId="6B9FEAFA">
      <w:pPr>
        <w:widowControl/>
        <w:adjustRightInd w:val="0"/>
        <w:snapToGrid w:val="0"/>
        <w:spacing w:line="360" w:lineRule="auto"/>
        <w:ind w:firstLine="480" w:firstLineChars="200"/>
        <w:rPr>
          <w:kern w:val="0"/>
          <w:sz w:val="24"/>
          <w:szCs w:val="24"/>
        </w:rPr>
      </w:pPr>
      <w:r>
        <w:rPr>
          <w:rFonts w:hint="eastAsia"/>
          <w:kern w:val="0"/>
          <w:sz w:val="24"/>
          <w:szCs w:val="24"/>
        </w:rPr>
        <w:t>住所：北京市朝阳区光华路10号院1号楼6-30层、32-42层</w:t>
      </w:r>
    </w:p>
    <w:p w14:paraId="29AFC0F8">
      <w:pPr>
        <w:widowControl/>
        <w:adjustRightInd w:val="0"/>
        <w:snapToGrid w:val="0"/>
        <w:spacing w:line="360" w:lineRule="auto"/>
        <w:ind w:firstLine="480" w:firstLineChars="200"/>
        <w:rPr>
          <w:kern w:val="0"/>
          <w:sz w:val="24"/>
          <w:szCs w:val="24"/>
        </w:rPr>
      </w:pPr>
      <w:r>
        <w:rPr>
          <w:rFonts w:hint="eastAsia"/>
          <w:kern w:val="0"/>
          <w:sz w:val="24"/>
          <w:szCs w:val="24"/>
        </w:rPr>
        <w:t>办公地址：北京市朝阳区光华路10号院1号楼6-30层、32-42层</w:t>
      </w:r>
    </w:p>
    <w:p w14:paraId="0032AC7B">
      <w:pPr>
        <w:widowControl/>
        <w:adjustRightInd w:val="0"/>
        <w:snapToGrid w:val="0"/>
        <w:spacing w:line="360" w:lineRule="auto"/>
        <w:ind w:firstLine="480" w:firstLineChars="200"/>
        <w:rPr>
          <w:kern w:val="0"/>
          <w:sz w:val="24"/>
          <w:szCs w:val="24"/>
        </w:rPr>
      </w:pPr>
      <w:r>
        <w:rPr>
          <w:rFonts w:hint="eastAsia"/>
          <w:kern w:val="0"/>
          <w:sz w:val="24"/>
          <w:szCs w:val="24"/>
        </w:rPr>
        <w:t>法定代表人：方合英</w:t>
      </w:r>
    </w:p>
    <w:p w14:paraId="40D52B6D">
      <w:pPr>
        <w:widowControl/>
        <w:adjustRightInd w:val="0"/>
        <w:snapToGrid w:val="0"/>
        <w:spacing w:line="360" w:lineRule="auto"/>
        <w:ind w:firstLine="480" w:firstLineChars="200"/>
        <w:rPr>
          <w:kern w:val="0"/>
          <w:sz w:val="24"/>
          <w:szCs w:val="24"/>
        </w:rPr>
      </w:pPr>
      <w:r>
        <w:rPr>
          <w:rFonts w:hint="eastAsia"/>
          <w:kern w:val="0"/>
          <w:sz w:val="24"/>
          <w:szCs w:val="24"/>
        </w:rPr>
        <w:t>成立时间：1987年4月20日</w:t>
      </w:r>
    </w:p>
    <w:p w14:paraId="56458C8B">
      <w:pPr>
        <w:widowControl/>
        <w:adjustRightInd w:val="0"/>
        <w:snapToGrid w:val="0"/>
        <w:spacing w:line="360" w:lineRule="auto"/>
        <w:ind w:firstLine="480" w:firstLineChars="200"/>
        <w:rPr>
          <w:kern w:val="0"/>
          <w:sz w:val="24"/>
          <w:szCs w:val="24"/>
        </w:rPr>
      </w:pPr>
      <w:r>
        <w:rPr>
          <w:rFonts w:hint="eastAsia"/>
          <w:kern w:val="0"/>
          <w:sz w:val="24"/>
          <w:szCs w:val="24"/>
        </w:rPr>
        <w:t>组织形式：股份有限公司</w:t>
      </w:r>
    </w:p>
    <w:p w14:paraId="5154FECF">
      <w:pPr>
        <w:widowControl/>
        <w:adjustRightInd w:val="0"/>
        <w:snapToGrid w:val="0"/>
        <w:spacing w:line="360" w:lineRule="auto"/>
        <w:ind w:firstLine="480" w:firstLineChars="200"/>
        <w:rPr>
          <w:kern w:val="0"/>
          <w:sz w:val="24"/>
          <w:szCs w:val="24"/>
        </w:rPr>
      </w:pPr>
      <w:r>
        <w:rPr>
          <w:rFonts w:hint="eastAsia"/>
          <w:kern w:val="0"/>
          <w:sz w:val="24"/>
          <w:szCs w:val="24"/>
        </w:rPr>
        <w:t>注册资本：489.35亿元人民币</w:t>
      </w:r>
    </w:p>
    <w:p w14:paraId="096B8C61">
      <w:pPr>
        <w:widowControl/>
        <w:adjustRightInd w:val="0"/>
        <w:snapToGrid w:val="0"/>
        <w:spacing w:line="360" w:lineRule="auto"/>
        <w:ind w:firstLine="480" w:firstLineChars="200"/>
        <w:rPr>
          <w:kern w:val="0"/>
          <w:sz w:val="24"/>
          <w:szCs w:val="24"/>
        </w:rPr>
      </w:pPr>
      <w:r>
        <w:rPr>
          <w:rFonts w:hint="eastAsia"/>
          <w:kern w:val="0"/>
          <w:sz w:val="24"/>
          <w:szCs w:val="24"/>
        </w:rPr>
        <w:t>存续期间：持续经营</w:t>
      </w:r>
    </w:p>
    <w:p w14:paraId="041D9E64">
      <w:pPr>
        <w:widowControl/>
        <w:adjustRightInd w:val="0"/>
        <w:snapToGrid w:val="0"/>
        <w:spacing w:line="360" w:lineRule="auto"/>
        <w:ind w:firstLine="480" w:firstLineChars="200"/>
        <w:rPr>
          <w:kern w:val="0"/>
          <w:sz w:val="24"/>
          <w:szCs w:val="24"/>
        </w:rPr>
      </w:pPr>
      <w:r>
        <w:rPr>
          <w:rFonts w:hint="eastAsia"/>
          <w:kern w:val="0"/>
          <w:sz w:val="24"/>
          <w:szCs w:val="24"/>
        </w:rPr>
        <w:t>批准设立文号：中华人民共和国国务院办公厅国办函[1987]14号</w:t>
      </w:r>
    </w:p>
    <w:p w14:paraId="540746E7">
      <w:pPr>
        <w:widowControl/>
        <w:adjustRightInd w:val="0"/>
        <w:snapToGrid w:val="0"/>
        <w:spacing w:line="360" w:lineRule="auto"/>
        <w:ind w:firstLine="480" w:firstLineChars="200"/>
        <w:rPr>
          <w:kern w:val="0"/>
          <w:sz w:val="24"/>
          <w:szCs w:val="24"/>
        </w:rPr>
      </w:pPr>
      <w:r>
        <w:rPr>
          <w:rFonts w:hint="eastAsia"/>
          <w:kern w:val="0"/>
          <w:sz w:val="24"/>
          <w:szCs w:val="24"/>
        </w:rPr>
        <w:t>基金托管业务批准文号：中国证监会证监基金字[2004]125号</w:t>
      </w:r>
    </w:p>
    <w:p w14:paraId="2E6FE950">
      <w:pPr>
        <w:widowControl/>
        <w:adjustRightInd w:val="0"/>
        <w:snapToGrid w:val="0"/>
        <w:spacing w:line="360" w:lineRule="auto"/>
        <w:ind w:firstLine="480" w:firstLineChars="200"/>
        <w:rPr>
          <w:kern w:val="0"/>
          <w:sz w:val="24"/>
          <w:szCs w:val="24"/>
        </w:rPr>
      </w:pPr>
      <w:r>
        <w:rPr>
          <w:rFonts w:hint="eastAsia"/>
          <w:kern w:val="0"/>
          <w:sz w:val="24"/>
          <w:szCs w:val="24"/>
        </w:rPr>
        <w:t>联系人：中信银行资产托管部</w:t>
      </w:r>
    </w:p>
    <w:p w14:paraId="48DEA167">
      <w:pPr>
        <w:widowControl/>
        <w:adjustRightInd w:val="0"/>
        <w:snapToGrid w:val="0"/>
        <w:spacing w:line="360" w:lineRule="auto"/>
        <w:ind w:firstLine="480" w:firstLineChars="200"/>
        <w:rPr>
          <w:kern w:val="0"/>
          <w:sz w:val="24"/>
          <w:szCs w:val="24"/>
        </w:rPr>
      </w:pPr>
      <w:r>
        <w:rPr>
          <w:rFonts w:hint="eastAsia"/>
          <w:kern w:val="0"/>
          <w:sz w:val="24"/>
          <w:szCs w:val="24"/>
        </w:rPr>
        <w:t>联系电话：4006800000</w:t>
      </w:r>
    </w:p>
    <w:p w14:paraId="12008B8F">
      <w:pPr>
        <w:widowControl/>
        <w:adjustRightInd w:val="0"/>
        <w:snapToGrid w:val="0"/>
        <w:spacing w:line="360" w:lineRule="auto"/>
        <w:ind w:firstLine="480" w:firstLineChars="200"/>
        <w:rPr>
          <w:kern w:val="0"/>
          <w:sz w:val="24"/>
          <w:szCs w:val="24"/>
        </w:rPr>
      </w:pPr>
      <w:r>
        <w:rPr>
          <w:rFonts w:hint="eastAsia"/>
          <w:kern w:val="0"/>
          <w:sz w:val="24"/>
          <w:szCs w:val="24"/>
        </w:rPr>
        <w:t>传真：010-85230024</w:t>
      </w:r>
    </w:p>
    <w:p w14:paraId="008D5852">
      <w:pPr>
        <w:widowControl/>
        <w:adjustRightInd w:val="0"/>
        <w:snapToGrid w:val="0"/>
        <w:spacing w:line="360" w:lineRule="auto"/>
        <w:ind w:firstLine="480" w:firstLineChars="200"/>
        <w:rPr>
          <w:kern w:val="0"/>
          <w:sz w:val="24"/>
          <w:szCs w:val="24"/>
        </w:rPr>
      </w:pPr>
      <w:r>
        <w:rPr>
          <w:rFonts w:hint="eastAsia"/>
          <w:kern w:val="0"/>
          <w:sz w:val="24"/>
          <w:szCs w:val="24"/>
        </w:rPr>
        <w:t>客服电话：95558</w:t>
      </w:r>
    </w:p>
    <w:p w14:paraId="5A93C6E5">
      <w:pPr>
        <w:widowControl/>
        <w:adjustRightInd w:val="0"/>
        <w:snapToGrid w:val="0"/>
        <w:spacing w:line="360" w:lineRule="auto"/>
        <w:ind w:firstLine="480" w:firstLineChars="200"/>
        <w:rPr>
          <w:kern w:val="0"/>
          <w:sz w:val="24"/>
          <w:szCs w:val="24"/>
        </w:rPr>
      </w:pPr>
      <w:r>
        <w:rPr>
          <w:rFonts w:hint="eastAsia"/>
          <w:kern w:val="0"/>
          <w:sz w:val="24"/>
          <w:szCs w:val="24"/>
        </w:rPr>
        <w:t>网址：</w:t>
      </w:r>
      <w:r>
        <w:rPr>
          <w:kern w:val="0"/>
          <w:sz w:val="24"/>
          <w:szCs w:val="24"/>
        </w:rPr>
        <w:t>www.citicbank.com</w:t>
      </w:r>
    </w:p>
    <w:p w14:paraId="795ED6C7">
      <w:pPr>
        <w:widowControl/>
        <w:adjustRightInd w:val="0"/>
        <w:snapToGrid w:val="0"/>
        <w:spacing w:line="360" w:lineRule="auto"/>
        <w:ind w:firstLine="480" w:firstLineChars="200"/>
        <w:rPr>
          <w:kern w:val="0"/>
          <w:sz w:val="24"/>
          <w:szCs w:val="24"/>
        </w:rPr>
      </w:pPr>
      <w:r>
        <w:rPr>
          <w:rFonts w:hint="eastAsia"/>
          <w:kern w:val="0"/>
          <w:sz w:val="24"/>
          <w:szCs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457FE8EB">
      <w:pPr>
        <w:widowControl/>
        <w:adjustRightInd w:val="0"/>
        <w:snapToGrid w:val="0"/>
        <w:spacing w:line="360" w:lineRule="auto"/>
        <w:ind w:firstLine="480" w:firstLineChars="200"/>
        <w:rPr>
          <w:kern w:val="0"/>
          <w:sz w:val="24"/>
          <w:szCs w:val="24"/>
        </w:rPr>
      </w:pPr>
      <w:r>
        <w:rPr>
          <w:rFonts w:hint="eastAsia"/>
          <w:kern w:val="0"/>
          <w:sz w:val="24"/>
          <w:szCs w:val="24"/>
        </w:rPr>
        <w:t>中信银行成立于1987年，是中国改革开放中最早成立的新兴商业银行之一，是中国最早参与国内外金融市场融资的商业银行，并以屡创中国现代金融史上多个第一而蜚声海内外，为中国经济建设作出了积极贡献。2007年4月，中信银行实现在上海证券交易所和香港联合交易所A+H股同步上市。</w:t>
      </w:r>
    </w:p>
    <w:p w14:paraId="0975A700">
      <w:pPr>
        <w:widowControl/>
        <w:adjustRightInd w:val="0"/>
        <w:snapToGrid w:val="0"/>
        <w:spacing w:line="360" w:lineRule="auto"/>
        <w:ind w:firstLine="480" w:firstLineChars="200"/>
        <w:rPr>
          <w:kern w:val="0"/>
          <w:sz w:val="24"/>
          <w:szCs w:val="24"/>
        </w:rPr>
      </w:pPr>
      <w:r>
        <w:rPr>
          <w:rFonts w:hint="eastAsia"/>
          <w:kern w:val="0"/>
          <w:sz w:val="24"/>
          <w:szCs w:val="24"/>
        </w:rPr>
        <w:t>中信银行依托中信集团“金融+实业”综合禀赋优势，以全面建设“四有”银行、跨入世界一流银行竞争前列为发展愿景，坚持诚实守信、以义取利、稳健审慎、守正创新、依法合规，以客户为中心，通过实施“五个领先”银行战略，打造有特色、差异化的中信金融服务模式，向政府与机构客户、企业客户和同业客户提供公司银行业务、投资银行业务、国际业务、交易银行业务、托管业务、金融市场业务等综合金融解决方案；向个人客户提供财富管理业务、个人信贷业务、信用卡业务、私人银行业务、养老金融业务、出国金融业务等多元化金融产品及服务，全方位满足政府与机构、企业、同业及个人客户的综合金融服务需求。</w:t>
      </w:r>
    </w:p>
    <w:p w14:paraId="1E48F52A">
      <w:pPr>
        <w:widowControl/>
        <w:adjustRightInd w:val="0"/>
        <w:snapToGrid w:val="0"/>
        <w:spacing w:line="360" w:lineRule="auto"/>
        <w:ind w:firstLine="480" w:firstLineChars="200"/>
        <w:rPr>
          <w:kern w:val="0"/>
          <w:sz w:val="24"/>
          <w:szCs w:val="24"/>
        </w:rPr>
      </w:pPr>
      <w:r>
        <w:rPr>
          <w:rFonts w:hint="eastAsia"/>
          <w:kern w:val="0"/>
          <w:sz w:val="24"/>
          <w:szCs w:val="24"/>
        </w:rPr>
        <w:t>截至报告期末，中信银行在国内153个大中城市设有1,4</w:t>
      </w:r>
      <w:r>
        <w:rPr>
          <w:rFonts w:hint="eastAsia"/>
          <w:kern w:val="0"/>
          <w:sz w:val="24"/>
          <w:szCs w:val="24"/>
          <w:lang w:val="en-US" w:eastAsia="zh-CN"/>
        </w:rPr>
        <w:t>84</w:t>
      </w:r>
      <w:r>
        <w:rPr>
          <w:rFonts w:hint="eastAsia"/>
          <w:kern w:val="0"/>
          <w:sz w:val="24"/>
          <w:szCs w:val="24"/>
        </w:rPr>
        <w:t>家营业网点，在境内外下设中信国际金融控股有限公司、信银（香港）投资有限公司、中信金融租赁有限公司、信银理财有限责任公司、信银金融资产投资有限公司、中信百信银行股份有限公司、阿尔金银行股份有限公司和浙江临安中信村镇银行股份有限公司</w:t>
      </w:r>
      <w:r>
        <w:rPr>
          <w:rFonts w:hint="eastAsia"/>
          <w:kern w:val="0"/>
          <w:sz w:val="24"/>
          <w:szCs w:val="24"/>
          <w:lang w:val="en-US" w:eastAsia="zh-CN"/>
        </w:rPr>
        <w:t>8</w:t>
      </w:r>
      <w:r>
        <w:rPr>
          <w:rFonts w:hint="eastAsia"/>
          <w:kern w:val="0"/>
          <w:sz w:val="24"/>
          <w:szCs w:val="24"/>
        </w:rPr>
        <w:t>家附属机构。其中，中信国际金融控股有限公司子公司中信银行（国际）有限公司在香港、澳门、纽约、洛杉矶、新加坡和中国内地设有</w:t>
      </w:r>
      <w:r>
        <w:rPr>
          <w:rFonts w:hint="eastAsia"/>
          <w:kern w:val="0"/>
          <w:sz w:val="24"/>
          <w:szCs w:val="24"/>
          <w:lang w:val="en-US" w:eastAsia="zh-CN"/>
        </w:rPr>
        <w:t>28</w:t>
      </w:r>
      <w:r>
        <w:rPr>
          <w:rFonts w:hint="eastAsia"/>
          <w:kern w:val="0"/>
          <w:sz w:val="24"/>
          <w:szCs w:val="24"/>
        </w:rPr>
        <w:t>家营业网点</w:t>
      </w:r>
      <w:r>
        <w:rPr>
          <w:rFonts w:hint="eastAsia"/>
          <w:kern w:val="0"/>
          <w:sz w:val="24"/>
          <w:szCs w:val="24"/>
          <w:lang w:eastAsia="zh-CN"/>
        </w:rPr>
        <w:t>、</w:t>
      </w:r>
      <w:r>
        <w:rPr>
          <w:rFonts w:hint="eastAsia"/>
          <w:kern w:val="0"/>
          <w:sz w:val="24"/>
          <w:szCs w:val="24"/>
        </w:rPr>
        <w:t>2家商务理财中心及1家私人银行中心。信银（香港）投资有限公司在香港和境内设有3家子公司。信银理财有限责任公司为中信银行全资理财子公司。中信百信银行股份有限公司为中信银行与百度联合发起设立的国内首家独立法人直销银行。阿尔金银行股份有限公司在哈萨克斯坦设有7家营业网点和1家私人银行中心。</w:t>
      </w:r>
    </w:p>
    <w:p w14:paraId="5AF31BE4">
      <w:pPr>
        <w:widowControl/>
        <w:adjustRightInd w:val="0"/>
        <w:snapToGrid w:val="0"/>
        <w:spacing w:line="360" w:lineRule="auto"/>
        <w:ind w:firstLine="480" w:firstLineChars="200"/>
        <w:rPr>
          <w:kern w:val="0"/>
          <w:sz w:val="24"/>
          <w:szCs w:val="24"/>
        </w:rPr>
      </w:pPr>
      <w:r>
        <w:rPr>
          <w:rFonts w:hint="eastAsia"/>
          <w:kern w:val="0"/>
          <w:sz w:val="24"/>
          <w:szCs w:val="24"/>
        </w:rPr>
        <w:t>中信银行深刻把握金融工作</w:t>
      </w:r>
      <w:r>
        <w:rPr>
          <w:rFonts w:hint="eastAsia"/>
          <w:kern w:val="0"/>
          <w:sz w:val="24"/>
          <w:szCs w:val="24"/>
          <w:lang w:val="en-US" w:eastAsia="zh-CN"/>
        </w:rPr>
        <w:t>的</w:t>
      </w:r>
      <w:r>
        <w:rPr>
          <w:rFonts w:hint="eastAsia"/>
          <w:kern w:val="0"/>
          <w:sz w:val="24"/>
          <w:szCs w:val="24"/>
        </w:rPr>
        <w:t>政治性、人民性，始终在党和国家战略大局中找准金融定位、履行金融职责，坚持做国家战略的忠实践行者、实体经济的有力服务者和金融强国的积极建设者。成立3</w:t>
      </w:r>
      <w:r>
        <w:rPr>
          <w:rFonts w:hint="eastAsia"/>
          <w:kern w:val="0"/>
          <w:sz w:val="24"/>
          <w:szCs w:val="24"/>
          <w:lang w:val="en-US" w:eastAsia="zh-CN"/>
        </w:rPr>
        <w:t>8</w:t>
      </w:r>
      <w:r>
        <w:rPr>
          <w:rFonts w:hint="eastAsia"/>
          <w:kern w:val="0"/>
          <w:sz w:val="24"/>
          <w:szCs w:val="24"/>
        </w:rPr>
        <w:t>年来，中信银行已成为一家总资产规模</w:t>
      </w:r>
      <w:r>
        <w:rPr>
          <w:rFonts w:hint="eastAsia"/>
          <w:kern w:val="0"/>
          <w:sz w:val="24"/>
          <w:szCs w:val="24"/>
          <w:lang w:val="en-US" w:eastAsia="zh-CN"/>
        </w:rPr>
        <w:t>突破10</w:t>
      </w:r>
      <w:r>
        <w:rPr>
          <w:rFonts w:hint="eastAsia"/>
          <w:kern w:val="0"/>
          <w:sz w:val="24"/>
          <w:szCs w:val="24"/>
        </w:rPr>
        <w:t>万亿元、员工人数超6.</w:t>
      </w:r>
      <w:r>
        <w:rPr>
          <w:rFonts w:hint="eastAsia"/>
          <w:kern w:val="0"/>
          <w:sz w:val="24"/>
          <w:szCs w:val="24"/>
          <w:lang w:val="en-US" w:eastAsia="zh-CN"/>
        </w:rPr>
        <w:t>7</w:t>
      </w:r>
      <w:r>
        <w:rPr>
          <w:rFonts w:hint="eastAsia"/>
          <w:kern w:val="0"/>
          <w:sz w:val="24"/>
          <w:szCs w:val="24"/>
        </w:rPr>
        <w:t>万名，具有强大综合实力和品牌竞争力的金融集团。</w:t>
      </w:r>
      <w:r>
        <w:rPr>
          <w:rFonts w:hint="eastAsia" w:ascii="Times New Roman" w:hAnsi="Times New Roman" w:eastAsia="宋体" w:cs="Times New Roman"/>
          <w:kern w:val="0"/>
          <w:sz w:val="24"/>
          <w:szCs w:val="24"/>
        </w:rPr>
        <w:t>2025</w:t>
      </w:r>
      <w:r>
        <w:rPr>
          <w:rFonts w:hint="eastAsia"/>
          <w:kern w:val="0"/>
          <w:sz w:val="24"/>
          <w:szCs w:val="24"/>
        </w:rPr>
        <w:t>年，中信银行在英国Brand Finance发布的“全球银行品牌价值500强”榜单中排名第19位，以27.2%的增幅居中国内地银行第一；中信银行一级资本在英国《银行家》杂志“世界1000家银行排名”中位列</w:t>
      </w:r>
      <w:r>
        <w:rPr>
          <w:rFonts w:hint="eastAsia"/>
          <w:kern w:val="0"/>
          <w:sz w:val="24"/>
          <w:szCs w:val="24"/>
          <w:lang w:val="en-US" w:eastAsia="zh-CN"/>
        </w:rPr>
        <w:t>第</w:t>
      </w:r>
      <w:r>
        <w:rPr>
          <w:rFonts w:hint="eastAsia"/>
          <w:kern w:val="0"/>
          <w:sz w:val="24"/>
          <w:szCs w:val="24"/>
        </w:rPr>
        <w:t>18位。荣膺英国《银行家》杂志“2025年中国年度银行”大奖。</w:t>
      </w:r>
    </w:p>
    <w:p w14:paraId="37BBC764">
      <w:pPr>
        <w:widowControl/>
        <w:adjustRightInd w:val="0"/>
        <w:snapToGrid w:val="0"/>
        <w:spacing w:line="360" w:lineRule="auto"/>
        <w:ind w:firstLine="480" w:firstLineChars="200"/>
        <w:rPr>
          <w:kern w:val="0"/>
          <w:sz w:val="24"/>
          <w:szCs w:val="24"/>
        </w:rPr>
      </w:pPr>
      <w:r>
        <w:rPr>
          <w:rFonts w:hint="eastAsia"/>
          <w:kern w:val="0"/>
          <w:sz w:val="24"/>
          <w:szCs w:val="24"/>
        </w:rPr>
        <w:t>2、主要人员情况</w:t>
      </w:r>
    </w:p>
    <w:p w14:paraId="4B96D383">
      <w:pPr>
        <w:widowControl/>
        <w:adjustRightInd w:val="0"/>
        <w:snapToGrid w:val="0"/>
        <w:spacing w:line="360" w:lineRule="auto"/>
        <w:ind w:firstLine="480" w:firstLineChars="200"/>
        <w:rPr>
          <w:rFonts w:hint="eastAsia"/>
          <w:kern w:val="0"/>
          <w:sz w:val="24"/>
          <w:szCs w:val="24"/>
        </w:rPr>
      </w:pPr>
      <w:r>
        <w:rPr>
          <w:rFonts w:hint="eastAsia"/>
          <w:kern w:val="0"/>
          <w:sz w:val="24"/>
          <w:szCs w:val="24"/>
        </w:rPr>
        <w:t>方合英先生，</w:t>
      </w:r>
      <w:r>
        <w:rPr>
          <w:rFonts w:hint="eastAsia"/>
          <w:kern w:val="0"/>
          <w:sz w:val="24"/>
          <w:szCs w:val="24"/>
          <w:lang w:val="en-US" w:eastAsia="zh-CN"/>
        </w:rPr>
        <w:t>中信银行</w:t>
      </w:r>
      <w:r>
        <w:rPr>
          <w:rFonts w:hint="eastAsia"/>
          <w:kern w:val="0"/>
          <w:sz w:val="24"/>
          <w:szCs w:val="24"/>
        </w:rPr>
        <w:t>党委书记、董事长、执行董事，代为履行行长职责。方先生于2020年12月起任中国中信集团有限公司副总经理、中国中信股份有限公司副总经理及执行委员会成员、中国中信有限公司副总经理，2020年11月起任中国中信集团有限公司党委委员。方先生曾任</w:t>
      </w:r>
      <w:r>
        <w:rPr>
          <w:rFonts w:hint="eastAsia"/>
          <w:kern w:val="0"/>
          <w:sz w:val="24"/>
          <w:szCs w:val="24"/>
          <w:lang w:val="en-US" w:eastAsia="zh-CN"/>
        </w:rPr>
        <w:t>中信银行</w:t>
      </w:r>
      <w:r>
        <w:rPr>
          <w:rFonts w:hint="eastAsia"/>
          <w:kern w:val="0"/>
          <w:sz w:val="24"/>
          <w:szCs w:val="24"/>
        </w:rPr>
        <w:t>苏州分行行长、杭州分行行长、</w:t>
      </w:r>
      <w:r>
        <w:rPr>
          <w:rFonts w:hint="eastAsia"/>
          <w:kern w:val="0"/>
          <w:sz w:val="24"/>
          <w:szCs w:val="24"/>
          <w:lang w:val="en-US" w:eastAsia="zh-CN"/>
        </w:rPr>
        <w:t>中信银行</w:t>
      </w:r>
      <w:r>
        <w:rPr>
          <w:rFonts w:hint="eastAsia"/>
          <w:kern w:val="0"/>
          <w:sz w:val="24"/>
          <w:szCs w:val="24"/>
        </w:rPr>
        <w:t>金融市场业务总监、副行长、财务总监。此前，先后在浙江银行学校任教，浙江银行学校实验城市信用社信贷部任总经理助理等。方先生具有三十余年银行从业经验，毕业于湖南财经学院（现湖南大学），获北京大学高级管理人员工商管理硕士学位，正高级经济师。</w:t>
      </w:r>
    </w:p>
    <w:p w14:paraId="5D313824">
      <w:pPr>
        <w:widowControl/>
        <w:adjustRightInd w:val="0"/>
        <w:snapToGrid w:val="0"/>
        <w:spacing w:line="360" w:lineRule="auto"/>
        <w:ind w:firstLine="480" w:firstLineChars="200"/>
        <w:rPr>
          <w:rFonts w:hint="eastAsia"/>
          <w:kern w:val="0"/>
          <w:sz w:val="24"/>
          <w:szCs w:val="24"/>
        </w:rPr>
      </w:pPr>
      <w:r>
        <w:rPr>
          <w:rFonts w:hint="eastAsia"/>
          <w:kern w:val="0"/>
          <w:sz w:val="24"/>
          <w:szCs w:val="24"/>
        </w:rPr>
        <w:t>胡罡先生，中信银行党委委员、执行董事、副行长，分管托管业务。胡先生现同时担任中信银行（国际）有限公司董事。胡先生曾任</w:t>
      </w:r>
      <w:r>
        <w:rPr>
          <w:rFonts w:hint="eastAsia"/>
          <w:kern w:val="0"/>
          <w:sz w:val="24"/>
          <w:szCs w:val="24"/>
          <w:lang w:val="en-US" w:eastAsia="zh-CN"/>
        </w:rPr>
        <w:t>中信银行</w:t>
      </w:r>
      <w:r>
        <w:rPr>
          <w:rFonts w:hint="eastAsia"/>
          <w:kern w:val="0"/>
          <w:sz w:val="24"/>
          <w:szCs w:val="24"/>
        </w:rPr>
        <w:t>长沙分行筹备组副组长、长沙分行党委委员、副行长，重庆分行党委委员、副行长、党委书记、行长，上海分行党委书记、行长及</w:t>
      </w:r>
      <w:r>
        <w:rPr>
          <w:rFonts w:hint="eastAsia"/>
          <w:kern w:val="0"/>
          <w:sz w:val="24"/>
          <w:szCs w:val="24"/>
          <w:lang w:val="en-US" w:eastAsia="zh-CN"/>
        </w:rPr>
        <w:t>中信银行</w:t>
      </w:r>
      <w:r>
        <w:rPr>
          <w:rFonts w:hint="eastAsia"/>
          <w:kern w:val="0"/>
          <w:sz w:val="24"/>
          <w:szCs w:val="24"/>
        </w:rPr>
        <w:t>首席风险官、批发业务总监、风险总监。此前，胡先生曾先后就职于湖南省检察院政治部，于湖南省委办公厅人事处任副主任科员，于湖南众立实业集团公司下属北海湘房地产开发公司任总经理助理、总经理，下属鸿都企业公司任副董事长，于湖南长沙湘财城市信用社任董事长。胡先生拥有近三十年中国银行业从业经验，毕业于湖南大学，获经济学博士学位，高级经济师。</w:t>
      </w:r>
    </w:p>
    <w:p w14:paraId="2F5C6993">
      <w:pPr>
        <w:widowControl/>
        <w:adjustRightInd w:val="0"/>
        <w:snapToGrid w:val="0"/>
        <w:spacing w:line="360" w:lineRule="auto"/>
        <w:ind w:firstLine="480" w:firstLineChars="200"/>
        <w:rPr>
          <w:kern w:val="0"/>
          <w:sz w:val="24"/>
          <w:szCs w:val="24"/>
        </w:rPr>
      </w:pPr>
      <w:r>
        <w:rPr>
          <w:rFonts w:hint="eastAsia"/>
          <w:kern w:val="0"/>
          <w:sz w:val="24"/>
          <w:szCs w:val="24"/>
        </w:rPr>
        <w:t>杨璋琪先生，中信银行资产托管部总经理，硕士研究生学历。杨先生2018年1月至2019年3月，任中信银行金融同业部副总经理；2015年5月至2018年1月，任中信银行长春分行副行长；2013年4月至2015年5月，任中信银行机构业务部总经理助理；1996年7月至2013年4月，就职于中信银行北京分行（原总行营业部），历任支行行长、投资银行部总经理、贸易金融部总经理。</w:t>
      </w:r>
    </w:p>
    <w:p w14:paraId="3DFB229E">
      <w:pPr>
        <w:widowControl/>
        <w:adjustRightInd w:val="0"/>
        <w:snapToGrid w:val="0"/>
        <w:spacing w:line="360" w:lineRule="auto"/>
        <w:ind w:firstLine="480" w:firstLineChars="200"/>
        <w:rPr>
          <w:kern w:val="0"/>
          <w:sz w:val="24"/>
          <w:szCs w:val="24"/>
        </w:rPr>
      </w:pPr>
      <w:r>
        <w:rPr>
          <w:rFonts w:hint="eastAsia"/>
          <w:kern w:val="0"/>
          <w:sz w:val="24"/>
          <w:szCs w:val="24"/>
        </w:rPr>
        <w:t>3、基金托管业务经营情况</w:t>
      </w:r>
    </w:p>
    <w:p w14:paraId="34093695">
      <w:pPr>
        <w:widowControl/>
        <w:adjustRightInd w:val="0"/>
        <w:snapToGrid w:val="0"/>
        <w:spacing w:line="360" w:lineRule="auto"/>
        <w:ind w:firstLine="480" w:firstLineChars="200"/>
        <w:rPr>
          <w:kern w:val="0"/>
          <w:sz w:val="24"/>
          <w:szCs w:val="24"/>
        </w:rPr>
      </w:pPr>
      <w:r>
        <w:rPr>
          <w:rFonts w:hint="eastAsia"/>
          <w:kern w:val="0"/>
          <w:sz w:val="24"/>
          <w:szCs w:val="24"/>
        </w:rPr>
        <w:t>2004 年8 月18 日，中信银行经中国证券监督管理委员会和中国银行业监督管理委员会批准，取得基金托管人资格。中信银行本着“诚实信用、勤勉尽责”的原则，切实履行基金托管人职责。</w:t>
      </w:r>
    </w:p>
    <w:p w14:paraId="5C52F018">
      <w:pPr>
        <w:widowControl/>
        <w:adjustRightInd w:val="0"/>
        <w:snapToGrid w:val="0"/>
        <w:spacing w:line="360" w:lineRule="auto"/>
        <w:ind w:firstLine="480" w:firstLineChars="200"/>
        <w:rPr>
          <w:kern w:val="0"/>
          <w:sz w:val="24"/>
          <w:szCs w:val="24"/>
        </w:rPr>
      </w:pPr>
      <w:r>
        <w:rPr>
          <w:rFonts w:hint="eastAsia"/>
          <w:kern w:val="0"/>
          <w:sz w:val="24"/>
          <w:szCs w:val="24"/>
        </w:rPr>
        <w:t>截至202</w:t>
      </w:r>
      <w:r>
        <w:rPr>
          <w:rFonts w:hint="eastAsia"/>
          <w:kern w:val="0"/>
          <w:sz w:val="24"/>
          <w:szCs w:val="24"/>
          <w:lang w:val="en-US" w:eastAsia="zh-CN"/>
        </w:rPr>
        <w:t>6</w:t>
      </w:r>
      <w:r>
        <w:rPr>
          <w:rFonts w:hint="eastAsia"/>
          <w:kern w:val="0"/>
          <w:sz w:val="24"/>
          <w:szCs w:val="24"/>
        </w:rPr>
        <w:t>年第一季度末，中信银行托管</w:t>
      </w:r>
      <w:r>
        <w:rPr>
          <w:rFonts w:hint="eastAsia"/>
          <w:kern w:val="0"/>
          <w:sz w:val="24"/>
          <w:szCs w:val="24"/>
          <w:lang w:val="en-US" w:eastAsia="zh-CN"/>
        </w:rPr>
        <w:t>435</w:t>
      </w:r>
      <w:r>
        <w:rPr>
          <w:rFonts w:hint="eastAsia"/>
          <w:kern w:val="0"/>
          <w:sz w:val="24"/>
          <w:szCs w:val="24"/>
        </w:rPr>
        <w:t>只公开募集证券投资基金，以及基金公司、证券公司资产管理产品、信托产品、企业年金、股权基金、QDII等其他托管资产，托管总规模达到</w:t>
      </w:r>
      <w:r>
        <w:rPr>
          <w:rFonts w:hint="eastAsia"/>
          <w:kern w:val="0"/>
          <w:sz w:val="24"/>
          <w:szCs w:val="24"/>
          <w:lang w:val="en-US" w:eastAsia="zh-CN"/>
        </w:rPr>
        <w:t>19.28</w:t>
      </w:r>
      <w:r>
        <w:rPr>
          <w:rFonts w:hint="eastAsia"/>
          <w:kern w:val="0"/>
          <w:sz w:val="24"/>
          <w:szCs w:val="24"/>
        </w:rPr>
        <w:t>万亿元人民币。</w:t>
      </w:r>
    </w:p>
    <w:p w14:paraId="0BC4F33F">
      <w:pPr>
        <w:widowControl/>
        <w:adjustRightInd w:val="0"/>
        <w:snapToGrid w:val="0"/>
        <w:spacing w:line="360" w:lineRule="auto"/>
        <w:ind w:firstLine="480" w:firstLineChars="200"/>
        <w:rPr>
          <w:kern w:val="0"/>
          <w:sz w:val="24"/>
          <w:szCs w:val="24"/>
        </w:rPr>
      </w:pPr>
      <w:r>
        <w:rPr>
          <w:rFonts w:hint="eastAsia"/>
          <w:kern w:val="0"/>
          <w:sz w:val="24"/>
          <w:szCs w:val="24"/>
        </w:rPr>
        <w:t>（二）基金托管人的内部风险控制制度说明</w:t>
      </w:r>
    </w:p>
    <w:p w14:paraId="6EB255A3">
      <w:pPr>
        <w:widowControl/>
        <w:adjustRightInd w:val="0"/>
        <w:snapToGrid w:val="0"/>
        <w:spacing w:line="360" w:lineRule="auto"/>
        <w:ind w:firstLine="480" w:firstLineChars="200"/>
        <w:rPr>
          <w:kern w:val="0"/>
          <w:sz w:val="24"/>
          <w:szCs w:val="24"/>
        </w:rPr>
      </w:pPr>
      <w:r>
        <w:rPr>
          <w:rFonts w:hint="eastAsia"/>
          <w:kern w:val="0"/>
          <w:sz w:val="24"/>
          <w:szCs w:val="24"/>
        </w:rPr>
        <w:t>1、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14:paraId="5AAFB80E">
      <w:pPr>
        <w:widowControl/>
        <w:adjustRightInd w:val="0"/>
        <w:snapToGrid w:val="0"/>
        <w:spacing w:line="360" w:lineRule="auto"/>
        <w:ind w:firstLine="480" w:firstLineChars="200"/>
        <w:rPr>
          <w:kern w:val="0"/>
          <w:sz w:val="24"/>
          <w:szCs w:val="24"/>
        </w:rPr>
      </w:pPr>
      <w:r>
        <w:rPr>
          <w:rFonts w:hint="eastAsia"/>
          <w:kern w:val="0"/>
          <w:sz w:val="24"/>
          <w:szCs w:val="24"/>
        </w:rPr>
        <w:t>2、 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14:paraId="5F1713C5">
      <w:pPr>
        <w:widowControl/>
        <w:adjustRightInd w:val="0"/>
        <w:snapToGrid w:val="0"/>
        <w:spacing w:line="360" w:lineRule="auto"/>
        <w:ind w:firstLine="480" w:firstLineChars="200"/>
        <w:rPr>
          <w:kern w:val="0"/>
          <w:sz w:val="24"/>
          <w:szCs w:val="24"/>
        </w:rPr>
      </w:pPr>
      <w:r>
        <w:rPr>
          <w:rFonts w:hint="eastAsia"/>
          <w:kern w:val="0"/>
          <w:sz w:val="24"/>
          <w:szCs w:val="24"/>
        </w:rPr>
        <w:t>3、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14:paraId="1FABA287">
      <w:pPr>
        <w:widowControl/>
        <w:adjustRightInd w:val="0"/>
        <w:snapToGrid w:val="0"/>
        <w:spacing w:line="360" w:lineRule="auto"/>
        <w:ind w:firstLine="480" w:firstLineChars="200"/>
        <w:rPr>
          <w:kern w:val="0"/>
          <w:sz w:val="24"/>
          <w:szCs w:val="24"/>
        </w:rPr>
      </w:pPr>
      <w:r>
        <w:rPr>
          <w:rFonts w:hint="eastAsia"/>
          <w:kern w:val="0"/>
          <w:sz w:val="24"/>
          <w:szCs w:val="24"/>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14:paraId="62F38B99">
      <w:pPr>
        <w:widowControl/>
        <w:adjustRightInd w:val="0"/>
        <w:snapToGrid w:val="0"/>
        <w:spacing w:line="360" w:lineRule="auto"/>
        <w:ind w:firstLine="480" w:firstLineChars="200"/>
        <w:rPr>
          <w:kern w:val="0"/>
          <w:sz w:val="24"/>
          <w:szCs w:val="24"/>
        </w:rPr>
      </w:pPr>
      <w:r>
        <w:rPr>
          <w:rFonts w:hint="eastAsia"/>
          <w:kern w:val="0"/>
          <w:sz w:val="24"/>
          <w:szCs w:val="24"/>
        </w:rPr>
        <w:t>（三）基金托管人对基金管理人运作基金进行监督的方法和程序</w:t>
      </w:r>
    </w:p>
    <w:p w14:paraId="67E22109">
      <w:pPr>
        <w:widowControl/>
        <w:adjustRightInd w:val="0"/>
        <w:snapToGrid w:val="0"/>
        <w:spacing w:line="360" w:lineRule="auto"/>
        <w:ind w:firstLine="480" w:firstLineChars="200"/>
        <w:rPr>
          <w:kern w:val="0"/>
          <w:sz w:val="24"/>
          <w:szCs w:val="24"/>
        </w:rPr>
      </w:pPr>
      <w:r>
        <w:rPr>
          <w:rFonts w:hint="eastAsia"/>
          <w:kern w:val="0"/>
          <w:sz w:val="24"/>
          <w:szCs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14:paraId="54FCB356">
      <w:pPr>
        <w:widowControl/>
        <w:adjustRightInd w:val="0"/>
        <w:snapToGrid w:val="0"/>
        <w:spacing w:line="360" w:lineRule="auto"/>
        <w:ind w:firstLine="480" w:firstLineChars="200"/>
        <w:rPr>
          <w:kern w:val="0"/>
          <w:sz w:val="24"/>
          <w:szCs w:val="24"/>
        </w:rPr>
      </w:pPr>
      <w:r>
        <w:rPr>
          <w:rFonts w:hint="eastAsia"/>
          <w:kern w:val="0"/>
          <w:sz w:val="24"/>
          <w:szCs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14:paraId="5A4DBF15">
      <w:pPr>
        <w:widowControl/>
        <w:adjustRightInd w:val="0"/>
        <w:snapToGrid w:val="0"/>
        <w:spacing w:before="143" w:beforeLines="50" w:after="143" w:afterLines="50" w:line="360" w:lineRule="auto"/>
        <w:ind w:firstLine="602" w:firstLineChars="200"/>
        <w:jc w:val="center"/>
        <w:outlineLvl w:val="0"/>
        <w:rPr>
          <w:rFonts w:ascii="宋体" w:hAnsi="宋体"/>
          <w:b/>
          <w:kern w:val="0"/>
          <w:sz w:val="30"/>
        </w:rPr>
      </w:pPr>
      <w:bookmarkStart w:id="13" w:name="_Toc109537383"/>
      <w:r>
        <w:rPr>
          <w:rFonts w:ascii="宋体" w:hAnsi="宋体"/>
          <w:b/>
          <w:kern w:val="0"/>
          <w:sz w:val="30"/>
        </w:rPr>
        <w:br w:type="page"/>
      </w:r>
      <w:bookmarkStart w:id="14" w:name="_Toc50983773"/>
      <w:r>
        <w:rPr>
          <w:rFonts w:hint="eastAsia" w:ascii="宋体" w:hAnsi="宋体"/>
          <w:b/>
          <w:kern w:val="0"/>
          <w:sz w:val="30"/>
        </w:rPr>
        <w:t>五、相关服务机构</w:t>
      </w:r>
      <w:bookmarkEnd w:id="13"/>
      <w:bookmarkEnd w:id="14"/>
    </w:p>
    <w:p w14:paraId="0F6834B8">
      <w:pPr>
        <w:widowControl/>
        <w:adjustRightInd w:val="0"/>
        <w:snapToGrid w:val="0"/>
        <w:spacing w:line="360" w:lineRule="auto"/>
        <w:ind w:firstLine="482" w:firstLineChars="200"/>
        <w:rPr>
          <w:b/>
          <w:kern w:val="0"/>
          <w:sz w:val="24"/>
        </w:rPr>
      </w:pPr>
      <w:r>
        <w:rPr>
          <w:rFonts w:hAnsi="宋体"/>
          <w:b/>
          <w:kern w:val="0"/>
          <w:sz w:val="24"/>
        </w:rPr>
        <w:t>（一）基金份额销售机构</w:t>
      </w:r>
    </w:p>
    <w:p w14:paraId="57C7B954">
      <w:pPr>
        <w:adjustRightInd w:val="0"/>
        <w:snapToGrid w:val="0"/>
        <w:spacing w:line="360" w:lineRule="auto"/>
        <w:ind w:firstLine="465"/>
        <w:rPr>
          <w:rFonts w:hAnsi="宋体"/>
          <w:sz w:val="24"/>
        </w:rPr>
      </w:pPr>
      <w:r>
        <w:rPr>
          <w:rFonts w:hAnsi="宋体"/>
          <w:sz w:val="24"/>
        </w:rPr>
        <w:t>1、直销机构</w:t>
      </w:r>
    </w:p>
    <w:p w14:paraId="6B7FB736">
      <w:pPr>
        <w:adjustRightInd w:val="0"/>
        <w:snapToGrid w:val="0"/>
        <w:spacing w:line="360" w:lineRule="auto"/>
        <w:ind w:firstLine="465"/>
        <w:rPr>
          <w:rFonts w:hAnsi="宋体"/>
          <w:sz w:val="24"/>
        </w:rPr>
      </w:pPr>
      <w:r>
        <w:rPr>
          <w:rFonts w:hAnsi="宋体"/>
          <w:sz w:val="24"/>
        </w:rPr>
        <w:t>本基金直销机构为</w:t>
      </w:r>
      <w:r>
        <w:rPr>
          <w:rFonts w:hint="eastAsia" w:hAnsi="宋体"/>
          <w:sz w:val="24"/>
        </w:rPr>
        <w:t>基金管理人直销柜台</w:t>
      </w:r>
      <w:r>
        <w:rPr>
          <w:rFonts w:hAnsi="宋体"/>
          <w:sz w:val="24"/>
        </w:rPr>
        <w:t>以及</w:t>
      </w:r>
      <w:r>
        <w:rPr>
          <w:rFonts w:hint="eastAsia" w:hAnsi="宋体"/>
          <w:sz w:val="24"/>
        </w:rPr>
        <w:t>基金管理人</w:t>
      </w:r>
      <w:r>
        <w:rPr>
          <w:rFonts w:hAnsi="宋体"/>
          <w:sz w:val="24"/>
        </w:rPr>
        <w:t>的网上直销交易平台</w:t>
      </w:r>
      <w:r>
        <w:rPr>
          <w:rFonts w:hint="eastAsia" w:hAnsi="宋体"/>
          <w:sz w:val="24"/>
        </w:rPr>
        <w:t>（网站</w:t>
      </w:r>
      <w:r>
        <w:rPr>
          <w:rFonts w:hAnsi="宋体"/>
          <w:sz w:val="24"/>
        </w:rPr>
        <w:t>及手机APP，下同）。</w:t>
      </w:r>
    </w:p>
    <w:p w14:paraId="3FDD462A">
      <w:pPr>
        <w:adjustRightInd w:val="0"/>
        <w:snapToGrid w:val="0"/>
        <w:spacing w:line="360" w:lineRule="auto"/>
        <w:ind w:firstLine="465"/>
        <w:rPr>
          <w:rFonts w:hAnsi="宋体"/>
          <w:sz w:val="24"/>
        </w:rPr>
      </w:pPr>
      <w:r>
        <w:rPr>
          <w:rFonts w:hAnsi="宋体"/>
          <w:sz w:val="24"/>
        </w:rPr>
        <w:t>名称：</w:t>
      </w:r>
      <w:r>
        <w:rPr>
          <w:rFonts w:hint="eastAsia" w:hAnsi="宋体"/>
          <w:sz w:val="24"/>
        </w:rPr>
        <w:t>交银施罗德基金管理有限公司</w:t>
      </w:r>
    </w:p>
    <w:p w14:paraId="255A7814">
      <w:pPr>
        <w:adjustRightInd w:val="0"/>
        <w:snapToGrid w:val="0"/>
        <w:spacing w:line="360" w:lineRule="auto"/>
        <w:ind w:firstLine="465"/>
        <w:rPr>
          <w:rFonts w:hAnsi="宋体"/>
          <w:sz w:val="24"/>
        </w:rPr>
      </w:pPr>
      <w:r>
        <w:rPr>
          <w:rFonts w:hAnsi="宋体"/>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w:t>
      </w:r>
      <w:r>
        <w:rPr>
          <w:rFonts w:hint="eastAsia" w:hAnsi="宋体"/>
          <w:sz w:val="24"/>
        </w:rPr>
        <w:t>银城中路188号交通银行大楼二层（裙）</w:t>
      </w:r>
    </w:p>
    <w:p w14:paraId="0A0CBAF8">
      <w:pPr>
        <w:adjustRightInd w:val="0"/>
        <w:snapToGrid w:val="0"/>
        <w:spacing w:line="360" w:lineRule="auto"/>
        <w:ind w:firstLine="465"/>
        <w:rPr>
          <w:rFonts w:hAnsi="宋体"/>
          <w:sz w:val="24"/>
        </w:rPr>
      </w:pPr>
      <w:r>
        <w:rPr>
          <w:rFonts w:hAnsi="宋体"/>
          <w:sz w:val="24"/>
        </w:rPr>
        <w:t>办公地址：</w:t>
      </w:r>
      <w:r>
        <w:rPr>
          <w:rFonts w:hint="eastAsia" w:hAnsi="宋体"/>
          <w:sz w:val="24"/>
        </w:rPr>
        <w:t>上海市浦东新区世纪大道8号国金中心二期21-22楼</w:t>
      </w:r>
    </w:p>
    <w:p w14:paraId="7EB31F3F">
      <w:pPr>
        <w:adjustRightInd w:val="0"/>
        <w:snapToGrid w:val="0"/>
        <w:spacing w:line="360" w:lineRule="auto"/>
        <w:ind w:firstLine="465"/>
        <w:rPr>
          <w:rFonts w:hAnsi="宋体"/>
          <w:sz w:val="24"/>
        </w:rPr>
      </w:pPr>
      <w:r>
        <w:rPr>
          <w:rFonts w:hAnsi="宋体"/>
          <w:sz w:val="24"/>
        </w:rPr>
        <w:t>法定代表人：</w:t>
      </w:r>
      <w:r>
        <w:rPr>
          <w:rFonts w:hint="eastAsia" w:hAnsi="宋体"/>
          <w:kern w:val="0"/>
          <w:sz w:val="24"/>
        </w:rPr>
        <w:t>袁庆伟（代任）</w:t>
      </w:r>
    </w:p>
    <w:p w14:paraId="460B3FCC">
      <w:pPr>
        <w:adjustRightInd w:val="0"/>
        <w:snapToGrid w:val="0"/>
        <w:spacing w:line="360" w:lineRule="auto"/>
        <w:ind w:firstLine="480" w:firstLineChars="200"/>
        <w:rPr>
          <w:sz w:val="24"/>
        </w:rPr>
      </w:pPr>
      <w:r>
        <w:rPr>
          <w:rFonts w:hAnsi="宋体"/>
          <w:sz w:val="24"/>
        </w:rPr>
        <w:t>成立时间：</w:t>
      </w:r>
      <w:r>
        <w:rPr>
          <w:rFonts w:hint="eastAsia" w:hAnsi="宋体"/>
          <w:sz w:val="24"/>
        </w:rPr>
        <w:t>2005年8月4日</w:t>
      </w:r>
    </w:p>
    <w:p w14:paraId="389619DD">
      <w:pPr>
        <w:adjustRightInd w:val="0"/>
        <w:snapToGrid w:val="0"/>
        <w:spacing w:line="360" w:lineRule="auto"/>
        <w:ind w:firstLine="480" w:firstLineChars="200"/>
        <w:rPr>
          <w:sz w:val="24"/>
        </w:rPr>
      </w:pPr>
      <w:r>
        <w:rPr>
          <w:rFonts w:hAnsi="宋体"/>
          <w:sz w:val="24"/>
        </w:rPr>
        <w:t>电话：</w:t>
      </w:r>
      <w:r>
        <w:rPr>
          <w:rFonts w:hint="eastAsia" w:hAnsi="宋体"/>
          <w:sz w:val="24"/>
        </w:rPr>
        <w:t>（021）6105</w:t>
      </w:r>
      <w:r>
        <w:rPr>
          <w:rFonts w:hAnsi="宋体"/>
          <w:sz w:val="24"/>
        </w:rPr>
        <w:t>5724</w:t>
      </w:r>
    </w:p>
    <w:p w14:paraId="3CC44291">
      <w:pPr>
        <w:adjustRightInd w:val="0"/>
        <w:snapToGrid w:val="0"/>
        <w:spacing w:line="360" w:lineRule="auto"/>
        <w:ind w:firstLine="480" w:firstLineChars="200"/>
        <w:rPr>
          <w:sz w:val="24"/>
        </w:rPr>
      </w:pPr>
      <w:r>
        <w:rPr>
          <w:rFonts w:hAnsi="宋体"/>
          <w:sz w:val="24"/>
        </w:rPr>
        <w:t>传真：</w:t>
      </w:r>
      <w:r>
        <w:rPr>
          <w:rFonts w:hint="eastAsia" w:hAnsi="宋体"/>
          <w:sz w:val="24"/>
        </w:rPr>
        <w:t>（021）61055054</w:t>
      </w:r>
    </w:p>
    <w:p w14:paraId="10D1F2A3">
      <w:pPr>
        <w:adjustRightInd w:val="0"/>
        <w:snapToGrid w:val="0"/>
        <w:spacing w:line="360" w:lineRule="auto"/>
        <w:ind w:firstLine="480" w:firstLineChars="200"/>
        <w:rPr>
          <w:sz w:val="24"/>
        </w:rPr>
      </w:pPr>
      <w:r>
        <w:rPr>
          <w:rFonts w:hAnsi="宋体"/>
          <w:sz w:val="24"/>
        </w:rPr>
        <w:t>联系人：</w:t>
      </w:r>
      <w:r>
        <w:rPr>
          <w:rFonts w:hint="eastAsia" w:hAnsi="宋体"/>
          <w:sz w:val="24"/>
        </w:rPr>
        <w:t>傅鲸</w:t>
      </w:r>
    </w:p>
    <w:p w14:paraId="6B06DA9D">
      <w:pPr>
        <w:adjustRightInd w:val="0"/>
        <w:snapToGrid w:val="0"/>
        <w:spacing w:line="360" w:lineRule="auto"/>
        <w:ind w:firstLine="480" w:firstLineChars="200"/>
        <w:rPr>
          <w:sz w:val="24"/>
        </w:rPr>
      </w:pPr>
      <w:r>
        <w:rPr>
          <w:rFonts w:hAnsi="宋体"/>
          <w:sz w:val="24"/>
        </w:rPr>
        <w:t>客户服务电话：</w:t>
      </w:r>
      <w:r>
        <w:rPr>
          <w:rFonts w:hint="eastAsia" w:hAnsi="宋体"/>
          <w:sz w:val="24"/>
        </w:rPr>
        <w:t>400-700-5000（免长途话费），（021）61055000</w:t>
      </w:r>
    </w:p>
    <w:p w14:paraId="141DB3AF">
      <w:pPr>
        <w:adjustRightInd w:val="0"/>
        <w:snapToGrid w:val="0"/>
        <w:spacing w:line="360" w:lineRule="auto"/>
        <w:ind w:firstLine="480" w:firstLineChars="200"/>
        <w:rPr>
          <w:rStyle w:val="31"/>
          <w:color w:val="auto"/>
          <w:sz w:val="24"/>
          <w:u w:val="none"/>
        </w:rPr>
      </w:pPr>
      <w:r>
        <w:rPr>
          <w:rFonts w:hAnsi="宋体"/>
          <w:sz w:val="24"/>
        </w:rPr>
        <w:t>网址：</w:t>
      </w:r>
      <w:r>
        <w:rPr>
          <w:rFonts w:hint="eastAsia" w:hAnsi="宋体"/>
          <w:sz w:val="24"/>
        </w:rPr>
        <w:t>www.fund001.com</w:t>
      </w:r>
    </w:p>
    <w:p w14:paraId="6944F933">
      <w:pPr>
        <w:widowControl/>
        <w:adjustRightInd w:val="0"/>
        <w:snapToGrid w:val="0"/>
        <w:spacing w:line="360" w:lineRule="auto"/>
        <w:ind w:firstLine="480" w:firstLineChars="200"/>
        <w:rPr>
          <w:kern w:val="0"/>
          <w:sz w:val="24"/>
        </w:rPr>
      </w:pPr>
      <w:r>
        <w:rPr>
          <w:kern w:val="0"/>
          <w:sz w:val="24"/>
        </w:rPr>
        <w:t>个人投资者可以通过</w:t>
      </w:r>
      <w:r>
        <w:rPr>
          <w:rFonts w:hint="eastAsia" w:hAnsi="宋体"/>
          <w:kern w:val="0"/>
          <w:sz w:val="24"/>
          <w:szCs w:val="24"/>
        </w:rPr>
        <w:t>基金管理人</w:t>
      </w:r>
      <w:r>
        <w:rPr>
          <w:kern w:val="0"/>
          <w:sz w:val="24"/>
        </w:rPr>
        <w:t>网上直销交易平台办理开户、本基金的认购、申购、赎回等业务，具体交易细则请参阅</w:t>
      </w:r>
      <w:r>
        <w:rPr>
          <w:rFonts w:hint="eastAsia" w:hAnsi="宋体"/>
          <w:kern w:val="0"/>
          <w:sz w:val="24"/>
          <w:szCs w:val="24"/>
        </w:rPr>
        <w:t>基金管理人</w:t>
      </w:r>
      <w:r>
        <w:rPr>
          <w:kern w:val="0"/>
          <w:sz w:val="24"/>
        </w:rPr>
        <w:t>网站。</w:t>
      </w:r>
    </w:p>
    <w:p w14:paraId="04A4B9D5">
      <w:pPr>
        <w:widowControl/>
        <w:adjustRightInd w:val="0"/>
        <w:snapToGrid w:val="0"/>
        <w:spacing w:line="360" w:lineRule="auto"/>
        <w:ind w:firstLine="480" w:firstLineChars="200"/>
        <w:rPr>
          <w:rStyle w:val="31"/>
          <w:color w:val="auto"/>
          <w:kern w:val="0"/>
          <w:sz w:val="24"/>
          <w:u w:val="none"/>
        </w:rPr>
      </w:pPr>
      <w:r>
        <w:rPr>
          <w:kern w:val="0"/>
          <w:sz w:val="24"/>
        </w:rPr>
        <w:t>网上直销交易平台网址：</w:t>
      </w:r>
      <w:r>
        <w:fldChar w:fldCharType="begin"/>
      </w:r>
      <w:r>
        <w:instrText xml:space="preserve"> HYPERLINK "http://www.jysld.com" </w:instrText>
      </w:r>
      <w:r>
        <w:fldChar w:fldCharType="separate"/>
      </w:r>
      <w:r>
        <w:rPr>
          <w:rStyle w:val="31"/>
          <w:color w:val="auto"/>
          <w:sz w:val="24"/>
          <w:u w:val="none"/>
        </w:rPr>
        <w:t>www.fund001.com</w:t>
      </w:r>
      <w:r>
        <w:rPr>
          <w:rStyle w:val="31"/>
          <w:color w:val="auto"/>
          <w:sz w:val="24"/>
          <w:u w:val="none"/>
        </w:rPr>
        <w:fldChar w:fldCharType="end"/>
      </w:r>
      <w:r>
        <w:rPr>
          <w:rStyle w:val="31"/>
          <w:color w:val="auto"/>
          <w:sz w:val="24"/>
          <w:u w:val="none"/>
        </w:rPr>
        <w:t>。</w:t>
      </w:r>
    </w:p>
    <w:p w14:paraId="7D4BB934">
      <w:pPr>
        <w:adjustRightInd w:val="0"/>
        <w:snapToGrid w:val="0"/>
        <w:spacing w:line="360" w:lineRule="auto"/>
        <w:ind w:firstLine="480" w:firstLineChars="200"/>
        <w:rPr>
          <w:sz w:val="24"/>
        </w:rPr>
      </w:pPr>
      <w:r>
        <w:rPr>
          <w:rFonts w:hint="eastAsia"/>
          <w:sz w:val="24"/>
        </w:rPr>
        <w:t>2、除基金管理人之外的其他销售机构</w:t>
      </w:r>
    </w:p>
    <w:p w14:paraId="6278E7A0">
      <w:pPr>
        <w:widowControl/>
        <w:adjustRightInd w:val="0"/>
        <w:snapToGrid w:val="0"/>
        <w:spacing w:line="360" w:lineRule="auto"/>
        <w:ind w:firstLine="480" w:firstLineChars="200"/>
        <w:rPr>
          <w:kern w:val="0"/>
          <w:sz w:val="24"/>
        </w:rPr>
      </w:pPr>
      <w:r>
        <w:rPr>
          <w:rFonts w:hint="eastAsia"/>
          <w:kern w:val="0"/>
          <w:sz w:val="24"/>
        </w:rPr>
        <w:t>（1）名称：交通银行股份有限公司</w:t>
      </w:r>
    </w:p>
    <w:p w14:paraId="7086E97A">
      <w:pPr>
        <w:widowControl/>
        <w:adjustRightInd w:val="0"/>
        <w:snapToGrid w:val="0"/>
        <w:spacing w:line="360" w:lineRule="auto"/>
        <w:ind w:firstLine="480" w:firstLineChars="200"/>
        <w:rPr>
          <w:kern w:val="0"/>
          <w:sz w:val="24"/>
        </w:rPr>
      </w:pPr>
      <w:r>
        <w:rPr>
          <w:rFonts w:hint="eastAsia"/>
          <w:kern w:val="0"/>
          <w:sz w:val="24"/>
        </w:rPr>
        <w:t>住所：上海市浦东新区银城中路188号</w:t>
      </w:r>
    </w:p>
    <w:p w14:paraId="1E23B1A5">
      <w:pPr>
        <w:widowControl/>
        <w:adjustRightInd w:val="0"/>
        <w:snapToGrid w:val="0"/>
        <w:spacing w:line="360" w:lineRule="auto"/>
        <w:ind w:firstLine="480" w:firstLineChars="200"/>
        <w:rPr>
          <w:kern w:val="0"/>
          <w:sz w:val="24"/>
        </w:rPr>
      </w:pPr>
      <w:r>
        <w:rPr>
          <w:rFonts w:hint="eastAsia"/>
          <w:kern w:val="0"/>
          <w:sz w:val="24"/>
        </w:rPr>
        <w:t>办公地址：上海市浦东新区银城中路188号</w:t>
      </w:r>
    </w:p>
    <w:p w14:paraId="0BC9C239">
      <w:pPr>
        <w:widowControl/>
        <w:adjustRightInd w:val="0"/>
        <w:snapToGrid w:val="0"/>
        <w:spacing w:line="360" w:lineRule="auto"/>
        <w:ind w:firstLine="480" w:firstLineChars="200"/>
        <w:rPr>
          <w:kern w:val="0"/>
          <w:sz w:val="24"/>
        </w:rPr>
      </w:pPr>
      <w:r>
        <w:rPr>
          <w:rFonts w:hint="eastAsia"/>
          <w:kern w:val="0"/>
          <w:sz w:val="24"/>
        </w:rPr>
        <w:t>法定代表人：任德奇</w:t>
      </w:r>
    </w:p>
    <w:p w14:paraId="7D940DB1">
      <w:pPr>
        <w:widowControl/>
        <w:adjustRightInd w:val="0"/>
        <w:snapToGrid w:val="0"/>
        <w:spacing w:line="360" w:lineRule="auto"/>
        <w:ind w:firstLine="480" w:firstLineChars="200"/>
        <w:rPr>
          <w:kern w:val="0"/>
          <w:sz w:val="24"/>
        </w:rPr>
      </w:pPr>
      <w:r>
        <w:rPr>
          <w:rFonts w:hint="eastAsia"/>
          <w:kern w:val="0"/>
          <w:sz w:val="24"/>
        </w:rPr>
        <w:t>电话：（021）58781234</w:t>
      </w:r>
    </w:p>
    <w:p w14:paraId="624B0A40">
      <w:pPr>
        <w:widowControl/>
        <w:adjustRightInd w:val="0"/>
        <w:snapToGrid w:val="0"/>
        <w:spacing w:line="360" w:lineRule="auto"/>
        <w:ind w:firstLine="480" w:firstLineChars="200"/>
        <w:rPr>
          <w:kern w:val="0"/>
          <w:sz w:val="24"/>
        </w:rPr>
      </w:pPr>
      <w:r>
        <w:rPr>
          <w:rFonts w:hint="eastAsia"/>
          <w:kern w:val="0"/>
          <w:sz w:val="24"/>
        </w:rPr>
        <w:t>传真：（021）58408483</w:t>
      </w:r>
    </w:p>
    <w:p w14:paraId="4F59BC8E">
      <w:pPr>
        <w:widowControl/>
        <w:adjustRightInd w:val="0"/>
        <w:snapToGrid w:val="0"/>
        <w:spacing w:line="360" w:lineRule="auto"/>
        <w:ind w:firstLine="480" w:firstLineChars="200"/>
        <w:rPr>
          <w:kern w:val="0"/>
          <w:sz w:val="24"/>
        </w:rPr>
      </w:pPr>
      <w:r>
        <w:rPr>
          <w:rFonts w:hint="eastAsia"/>
          <w:kern w:val="0"/>
          <w:sz w:val="24"/>
        </w:rPr>
        <w:t>联系人：范瑞波</w:t>
      </w:r>
    </w:p>
    <w:p w14:paraId="3AC1BECD">
      <w:pPr>
        <w:widowControl/>
        <w:adjustRightInd w:val="0"/>
        <w:snapToGrid w:val="0"/>
        <w:spacing w:line="360" w:lineRule="auto"/>
        <w:ind w:firstLine="480" w:firstLineChars="200"/>
        <w:rPr>
          <w:kern w:val="0"/>
          <w:sz w:val="24"/>
        </w:rPr>
      </w:pPr>
      <w:r>
        <w:rPr>
          <w:rFonts w:hint="eastAsia"/>
          <w:kern w:val="0"/>
          <w:sz w:val="24"/>
        </w:rPr>
        <w:t>客户服务电话：95559</w:t>
      </w:r>
    </w:p>
    <w:p w14:paraId="4BDEAF75">
      <w:pPr>
        <w:adjustRightInd w:val="0"/>
        <w:snapToGrid w:val="0"/>
        <w:spacing w:line="360" w:lineRule="auto"/>
        <w:ind w:firstLine="480" w:firstLineChars="200"/>
        <w:rPr>
          <w:rFonts w:hint="eastAsia" w:hAnsi="宋体"/>
          <w:sz w:val="24"/>
        </w:rPr>
      </w:pPr>
      <w:r>
        <w:rPr>
          <w:rFonts w:hint="eastAsia"/>
          <w:kern w:val="0"/>
          <w:sz w:val="24"/>
        </w:rPr>
        <w:t>网址：</w:t>
      </w:r>
      <w:r>
        <w:rPr>
          <w:rFonts w:hint="eastAsia"/>
          <w:kern w:val="0"/>
          <w:sz w:val="24"/>
        </w:rPr>
        <w:fldChar w:fldCharType="begin"/>
      </w:r>
      <w:r>
        <w:rPr>
          <w:rFonts w:hint="eastAsia"/>
          <w:kern w:val="0"/>
          <w:sz w:val="24"/>
        </w:rPr>
        <w:instrText xml:space="preserve"> HYPERLINK "http://www.bankcomm.com" </w:instrText>
      </w:r>
      <w:r>
        <w:rPr>
          <w:rFonts w:hint="eastAsia"/>
          <w:kern w:val="0"/>
          <w:sz w:val="24"/>
        </w:rPr>
        <w:fldChar w:fldCharType="separate"/>
      </w:r>
      <w:r>
        <w:rPr>
          <w:rStyle w:val="31"/>
          <w:rFonts w:hint="eastAsia"/>
          <w:kern w:val="0"/>
          <w:sz w:val="24"/>
        </w:rPr>
        <w:t>www.bankcomm.com</w:t>
      </w:r>
      <w:r>
        <w:rPr>
          <w:rFonts w:hint="eastAsia"/>
          <w:kern w:val="0"/>
          <w:sz w:val="24"/>
        </w:rPr>
        <w:fldChar w:fldCharType="end"/>
      </w:r>
    </w:p>
    <w:p w14:paraId="0D24D930">
      <w:pPr>
        <w:adjustRightInd w:val="0"/>
        <w:snapToGrid w:val="0"/>
        <w:spacing w:line="360" w:lineRule="auto"/>
        <w:ind w:firstLine="480" w:firstLineChars="200"/>
        <w:rPr>
          <w:rFonts w:hAnsi="宋体"/>
          <w:sz w:val="24"/>
        </w:rPr>
      </w:pPr>
      <w:r>
        <w:rPr>
          <w:rFonts w:hint="eastAsia" w:hAnsi="宋体"/>
          <w:sz w:val="24"/>
        </w:rPr>
        <w:t>基金管理人可根据有关法律法规的要求，选择其它符合要求的机构销售本基金，并在基金管理人网站公示。</w:t>
      </w:r>
    </w:p>
    <w:p w14:paraId="2B1A68FA">
      <w:pPr>
        <w:widowControl/>
        <w:adjustRightInd w:val="0"/>
        <w:snapToGrid w:val="0"/>
        <w:spacing w:line="360" w:lineRule="auto"/>
        <w:ind w:firstLine="482" w:firstLineChars="200"/>
        <w:rPr>
          <w:b/>
          <w:kern w:val="0"/>
          <w:sz w:val="24"/>
        </w:rPr>
      </w:pPr>
      <w:r>
        <w:rPr>
          <w:rFonts w:hAnsi="宋体"/>
          <w:b/>
          <w:kern w:val="0"/>
          <w:sz w:val="24"/>
        </w:rPr>
        <w:t>（二）登记机构</w:t>
      </w:r>
    </w:p>
    <w:p w14:paraId="34521976">
      <w:pPr>
        <w:widowControl/>
        <w:adjustRightInd w:val="0"/>
        <w:snapToGrid w:val="0"/>
        <w:spacing w:line="360" w:lineRule="auto"/>
        <w:ind w:firstLine="480" w:firstLineChars="200"/>
        <w:rPr>
          <w:rFonts w:hAnsi="宋体"/>
          <w:kern w:val="0"/>
          <w:sz w:val="24"/>
        </w:rPr>
      </w:pPr>
      <w:r>
        <w:rPr>
          <w:rFonts w:hint="eastAsia" w:hAnsi="宋体"/>
          <w:kern w:val="0"/>
          <w:sz w:val="24"/>
        </w:rPr>
        <w:t>名称：交银施罗德基金管理有限公司</w:t>
      </w:r>
    </w:p>
    <w:p w14:paraId="76122A65">
      <w:pPr>
        <w:widowControl/>
        <w:adjustRightInd w:val="0"/>
        <w:snapToGrid w:val="0"/>
        <w:spacing w:line="360" w:lineRule="auto"/>
        <w:ind w:firstLine="480" w:firstLineChars="200"/>
        <w:rPr>
          <w:rFonts w:hAnsi="宋体"/>
          <w:kern w:val="0"/>
          <w:sz w:val="24"/>
        </w:rPr>
      </w:pPr>
      <w:r>
        <w:rPr>
          <w:rFonts w:hint="eastAsia" w:hAnsi="宋体"/>
          <w:kern w:val="0"/>
          <w:sz w:val="24"/>
        </w:rPr>
        <w:t>住所：中国（上海）自由贸易试验区银城中路188号交通银行大楼二层（裙）</w:t>
      </w:r>
    </w:p>
    <w:p w14:paraId="6BF5628A">
      <w:pPr>
        <w:widowControl/>
        <w:adjustRightInd w:val="0"/>
        <w:snapToGrid w:val="0"/>
        <w:spacing w:line="360" w:lineRule="auto"/>
        <w:ind w:firstLine="480" w:firstLineChars="200"/>
        <w:rPr>
          <w:rFonts w:hAnsi="宋体"/>
          <w:kern w:val="0"/>
          <w:sz w:val="24"/>
        </w:rPr>
      </w:pPr>
      <w:r>
        <w:rPr>
          <w:rFonts w:hint="eastAsia" w:hAnsi="宋体"/>
          <w:kern w:val="0"/>
          <w:sz w:val="24"/>
        </w:rPr>
        <w:t>办公地址：上海市浦东新区世纪大道8号国金中心二期21-22楼</w:t>
      </w:r>
    </w:p>
    <w:p w14:paraId="362B68A5">
      <w:pPr>
        <w:widowControl/>
        <w:adjustRightInd w:val="0"/>
        <w:snapToGrid w:val="0"/>
        <w:spacing w:line="360" w:lineRule="auto"/>
        <w:ind w:firstLine="480" w:firstLineChars="200"/>
        <w:rPr>
          <w:rFonts w:hAnsi="宋体"/>
          <w:kern w:val="0"/>
          <w:sz w:val="24"/>
        </w:rPr>
      </w:pPr>
      <w:r>
        <w:rPr>
          <w:rFonts w:hint="eastAsia" w:hAnsi="宋体"/>
          <w:kern w:val="0"/>
          <w:sz w:val="24"/>
        </w:rPr>
        <w:t>法定代表人：袁庆伟（代任）</w:t>
      </w:r>
    </w:p>
    <w:p w14:paraId="4894AE88">
      <w:pPr>
        <w:widowControl/>
        <w:adjustRightInd w:val="0"/>
        <w:snapToGrid w:val="0"/>
        <w:spacing w:line="360" w:lineRule="auto"/>
        <w:ind w:firstLine="480" w:firstLineChars="200"/>
        <w:rPr>
          <w:rFonts w:hAnsi="宋体"/>
          <w:kern w:val="0"/>
          <w:sz w:val="24"/>
        </w:rPr>
      </w:pPr>
      <w:r>
        <w:rPr>
          <w:rFonts w:hint="eastAsia" w:hAnsi="宋体"/>
          <w:kern w:val="0"/>
          <w:sz w:val="24"/>
        </w:rPr>
        <w:t>电话：（021）61055461</w:t>
      </w:r>
    </w:p>
    <w:p w14:paraId="21402818">
      <w:pPr>
        <w:widowControl/>
        <w:adjustRightInd w:val="0"/>
        <w:snapToGrid w:val="0"/>
        <w:spacing w:line="360" w:lineRule="auto"/>
        <w:ind w:firstLine="480" w:firstLineChars="200"/>
        <w:rPr>
          <w:rFonts w:hAnsi="宋体"/>
          <w:kern w:val="0"/>
          <w:sz w:val="24"/>
        </w:rPr>
      </w:pPr>
      <w:r>
        <w:rPr>
          <w:rFonts w:hint="eastAsia" w:hAnsi="宋体"/>
          <w:kern w:val="0"/>
          <w:sz w:val="24"/>
        </w:rPr>
        <w:t>传真：（021）61055064</w:t>
      </w:r>
    </w:p>
    <w:p w14:paraId="65BC6E66">
      <w:pPr>
        <w:adjustRightInd w:val="0"/>
        <w:snapToGrid w:val="0"/>
        <w:spacing w:line="360" w:lineRule="auto"/>
        <w:ind w:firstLine="480" w:firstLineChars="200"/>
        <w:rPr>
          <w:kern w:val="0"/>
          <w:sz w:val="24"/>
        </w:rPr>
      </w:pPr>
      <w:r>
        <w:rPr>
          <w:rFonts w:hint="eastAsia" w:hAnsi="宋体"/>
          <w:kern w:val="0"/>
          <w:sz w:val="24"/>
        </w:rPr>
        <w:t>联系人：陈方强</w:t>
      </w:r>
    </w:p>
    <w:p w14:paraId="5E5CD7E3">
      <w:pPr>
        <w:widowControl/>
        <w:adjustRightInd w:val="0"/>
        <w:snapToGrid w:val="0"/>
        <w:spacing w:line="360" w:lineRule="auto"/>
        <w:ind w:firstLine="482" w:firstLineChars="200"/>
        <w:rPr>
          <w:b/>
          <w:kern w:val="0"/>
          <w:sz w:val="24"/>
        </w:rPr>
      </w:pPr>
      <w:r>
        <w:rPr>
          <w:rFonts w:hAnsi="宋体"/>
          <w:b/>
          <w:kern w:val="0"/>
          <w:sz w:val="24"/>
        </w:rPr>
        <w:t>（三）出具法律意见书的律师事务所</w:t>
      </w:r>
    </w:p>
    <w:p w14:paraId="448295B9">
      <w:pPr>
        <w:widowControl/>
        <w:adjustRightInd w:val="0"/>
        <w:snapToGrid w:val="0"/>
        <w:spacing w:line="360" w:lineRule="auto"/>
        <w:ind w:firstLine="480" w:firstLineChars="200"/>
        <w:rPr>
          <w:kern w:val="0"/>
          <w:sz w:val="24"/>
        </w:rPr>
      </w:pPr>
      <w:r>
        <w:rPr>
          <w:rFonts w:hAnsi="宋体"/>
          <w:kern w:val="0"/>
          <w:sz w:val="24"/>
        </w:rPr>
        <w:t>名称：上海市通力律师事务所</w:t>
      </w:r>
    </w:p>
    <w:p w14:paraId="55A65750">
      <w:pPr>
        <w:widowControl/>
        <w:adjustRightInd w:val="0"/>
        <w:snapToGrid w:val="0"/>
        <w:spacing w:line="360" w:lineRule="auto"/>
        <w:ind w:firstLine="480" w:firstLineChars="20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60AB506A">
      <w:pPr>
        <w:widowControl/>
        <w:adjustRightInd w:val="0"/>
        <w:snapToGrid w:val="0"/>
        <w:spacing w:line="360" w:lineRule="auto"/>
        <w:ind w:firstLine="480" w:firstLineChars="20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18-20</w:t>
      </w:r>
      <w:r>
        <w:rPr>
          <w:rFonts w:hAnsi="宋体"/>
          <w:kern w:val="0"/>
          <w:sz w:val="24"/>
        </w:rPr>
        <w:t>楼</w:t>
      </w:r>
    </w:p>
    <w:p w14:paraId="54584F83">
      <w:pPr>
        <w:widowControl/>
        <w:adjustRightInd w:val="0"/>
        <w:snapToGrid w:val="0"/>
        <w:spacing w:line="360" w:lineRule="auto"/>
        <w:ind w:firstLine="480" w:firstLineChars="200"/>
        <w:rPr>
          <w:kern w:val="0"/>
          <w:sz w:val="24"/>
        </w:rPr>
      </w:pPr>
      <w:r>
        <w:rPr>
          <w:rFonts w:hAnsi="宋体"/>
          <w:kern w:val="0"/>
          <w:sz w:val="24"/>
        </w:rPr>
        <w:t>负责人：</w:t>
      </w:r>
      <w:r>
        <w:rPr>
          <w:rFonts w:hint="eastAsia"/>
          <w:kern w:val="0"/>
          <w:sz w:val="24"/>
          <w:lang w:val="en-US" w:eastAsia="zh-CN"/>
        </w:rPr>
        <w:t>陈臻</w:t>
      </w:r>
    </w:p>
    <w:p w14:paraId="35359881">
      <w:pPr>
        <w:widowControl/>
        <w:adjustRightInd w:val="0"/>
        <w:snapToGrid w:val="0"/>
        <w:spacing w:line="360" w:lineRule="auto"/>
        <w:ind w:firstLine="480" w:firstLineChars="200"/>
        <w:rPr>
          <w:kern w:val="0"/>
          <w:sz w:val="24"/>
        </w:rPr>
      </w:pPr>
      <w:r>
        <w:rPr>
          <w:rFonts w:hAnsi="宋体"/>
          <w:kern w:val="0"/>
          <w:sz w:val="24"/>
        </w:rPr>
        <w:t>电话：（</w:t>
      </w:r>
      <w:r>
        <w:rPr>
          <w:kern w:val="0"/>
          <w:sz w:val="24"/>
        </w:rPr>
        <w:t>021</w:t>
      </w:r>
      <w:r>
        <w:rPr>
          <w:rFonts w:hAnsi="宋体"/>
          <w:kern w:val="0"/>
          <w:sz w:val="24"/>
        </w:rPr>
        <w:t>）</w:t>
      </w:r>
      <w:r>
        <w:rPr>
          <w:kern w:val="0"/>
          <w:sz w:val="24"/>
        </w:rPr>
        <w:t>31358666</w:t>
      </w:r>
    </w:p>
    <w:p w14:paraId="43E43A1C">
      <w:pPr>
        <w:widowControl/>
        <w:adjustRightInd w:val="0"/>
        <w:snapToGrid w:val="0"/>
        <w:spacing w:line="360" w:lineRule="auto"/>
        <w:ind w:firstLine="480" w:firstLineChars="200"/>
        <w:rPr>
          <w:kern w:val="0"/>
          <w:sz w:val="24"/>
        </w:rPr>
      </w:pPr>
      <w:r>
        <w:rPr>
          <w:rFonts w:hAnsi="宋体"/>
          <w:kern w:val="0"/>
          <w:sz w:val="24"/>
        </w:rPr>
        <w:t>传真：（</w:t>
      </w:r>
      <w:r>
        <w:rPr>
          <w:kern w:val="0"/>
          <w:sz w:val="24"/>
        </w:rPr>
        <w:t>021</w:t>
      </w:r>
      <w:r>
        <w:rPr>
          <w:rFonts w:hAnsi="宋体"/>
          <w:kern w:val="0"/>
          <w:sz w:val="24"/>
        </w:rPr>
        <w:t>）</w:t>
      </w:r>
      <w:r>
        <w:rPr>
          <w:kern w:val="0"/>
          <w:sz w:val="24"/>
        </w:rPr>
        <w:t>31358600</w:t>
      </w:r>
    </w:p>
    <w:p w14:paraId="57E120ED">
      <w:pPr>
        <w:widowControl/>
        <w:adjustRightInd w:val="0"/>
        <w:snapToGrid w:val="0"/>
        <w:spacing w:line="360" w:lineRule="auto"/>
        <w:ind w:firstLine="480" w:firstLineChars="200"/>
        <w:rPr>
          <w:rFonts w:hAnsi="宋体"/>
          <w:kern w:val="0"/>
          <w:sz w:val="24"/>
        </w:rPr>
      </w:pPr>
      <w:r>
        <w:rPr>
          <w:rFonts w:hint="eastAsia" w:hAnsi="宋体"/>
          <w:kern w:val="0"/>
          <w:sz w:val="24"/>
        </w:rPr>
        <w:t>联系人：丁媛</w:t>
      </w:r>
    </w:p>
    <w:p w14:paraId="6EC0B5F9">
      <w:pPr>
        <w:widowControl/>
        <w:adjustRightInd w:val="0"/>
        <w:snapToGrid w:val="0"/>
        <w:spacing w:line="360" w:lineRule="auto"/>
        <w:ind w:firstLine="480" w:firstLineChars="200"/>
        <w:rPr>
          <w:rFonts w:hAnsi="宋体"/>
          <w:kern w:val="0"/>
          <w:sz w:val="24"/>
        </w:rPr>
      </w:pPr>
      <w:r>
        <w:rPr>
          <w:rFonts w:hAnsi="宋体"/>
          <w:kern w:val="0"/>
          <w:sz w:val="24"/>
        </w:rPr>
        <w:t>经办律师：</w:t>
      </w:r>
      <w:r>
        <w:rPr>
          <w:rFonts w:hint="eastAsia" w:hAnsi="宋体"/>
          <w:kern w:val="0"/>
          <w:sz w:val="24"/>
        </w:rPr>
        <w:t>丁媛、李晓露</w:t>
      </w:r>
    </w:p>
    <w:p w14:paraId="73F35C3A">
      <w:pPr>
        <w:widowControl/>
        <w:adjustRightInd w:val="0"/>
        <w:snapToGrid w:val="0"/>
        <w:spacing w:line="360" w:lineRule="auto"/>
        <w:ind w:firstLine="482" w:firstLineChars="200"/>
        <w:rPr>
          <w:b/>
          <w:kern w:val="0"/>
          <w:sz w:val="24"/>
        </w:rPr>
      </w:pPr>
      <w:r>
        <w:rPr>
          <w:rFonts w:hAnsi="宋体"/>
          <w:b/>
          <w:kern w:val="0"/>
          <w:sz w:val="24"/>
        </w:rPr>
        <w:t>（四）审计基金财产的会计师事务所</w:t>
      </w:r>
    </w:p>
    <w:p w14:paraId="60BE1699">
      <w:pPr>
        <w:widowControl/>
        <w:adjustRightInd w:val="0"/>
        <w:snapToGrid w:val="0"/>
        <w:spacing w:line="360" w:lineRule="auto"/>
        <w:ind w:firstLine="480" w:firstLineChars="200"/>
        <w:rPr>
          <w:rFonts w:hAnsi="宋体"/>
          <w:kern w:val="0"/>
          <w:sz w:val="24"/>
        </w:rPr>
      </w:pPr>
      <w:r>
        <w:rPr>
          <w:rFonts w:hint="eastAsia" w:hAnsi="宋体"/>
          <w:kern w:val="0"/>
          <w:sz w:val="24"/>
        </w:rPr>
        <w:t>名称：毕马威华振会计师事务所(特殊普通合伙)</w:t>
      </w:r>
    </w:p>
    <w:p w14:paraId="5EB3BFC6">
      <w:pPr>
        <w:widowControl/>
        <w:adjustRightInd w:val="0"/>
        <w:snapToGrid w:val="0"/>
        <w:spacing w:line="360" w:lineRule="auto"/>
        <w:ind w:firstLine="480" w:firstLineChars="200"/>
        <w:rPr>
          <w:rFonts w:hAnsi="宋体"/>
          <w:kern w:val="0"/>
          <w:sz w:val="24"/>
        </w:rPr>
      </w:pPr>
      <w:r>
        <w:rPr>
          <w:rFonts w:hint="eastAsia" w:hAnsi="宋体"/>
          <w:kern w:val="0"/>
          <w:sz w:val="24"/>
        </w:rPr>
        <w:t>住所：北京市东城区东长安街1 号东方广场 2 座办公楼 8 层</w:t>
      </w:r>
    </w:p>
    <w:p w14:paraId="1D9220F6">
      <w:pPr>
        <w:widowControl/>
        <w:adjustRightInd w:val="0"/>
        <w:snapToGrid w:val="0"/>
        <w:spacing w:line="360" w:lineRule="auto"/>
        <w:ind w:firstLine="480" w:firstLineChars="200"/>
        <w:rPr>
          <w:rFonts w:hAnsi="宋体"/>
          <w:kern w:val="0"/>
          <w:sz w:val="24"/>
        </w:rPr>
      </w:pPr>
      <w:r>
        <w:rPr>
          <w:rFonts w:hint="eastAsia" w:hAnsi="宋体"/>
          <w:kern w:val="0"/>
          <w:sz w:val="24"/>
        </w:rPr>
        <w:t>办公地址：中国上海南京西路1266号恒隆广场2期25楼</w:t>
      </w:r>
    </w:p>
    <w:p w14:paraId="5672B232">
      <w:pPr>
        <w:widowControl/>
        <w:adjustRightInd w:val="0"/>
        <w:snapToGrid w:val="0"/>
        <w:spacing w:line="360" w:lineRule="auto"/>
        <w:ind w:firstLine="480" w:firstLineChars="200"/>
        <w:rPr>
          <w:rFonts w:hAnsi="宋体"/>
          <w:kern w:val="0"/>
          <w:sz w:val="24"/>
        </w:rPr>
      </w:pPr>
      <w:r>
        <w:rPr>
          <w:rFonts w:hint="eastAsia" w:hAnsi="宋体"/>
          <w:kern w:val="0"/>
          <w:sz w:val="24"/>
        </w:rPr>
        <w:t>执行事务合伙人：邹俊</w:t>
      </w:r>
    </w:p>
    <w:p w14:paraId="0F061EAA">
      <w:pPr>
        <w:widowControl/>
        <w:adjustRightInd w:val="0"/>
        <w:snapToGrid w:val="0"/>
        <w:spacing w:line="360" w:lineRule="auto"/>
        <w:ind w:firstLine="480" w:firstLineChars="200"/>
        <w:rPr>
          <w:rFonts w:hAnsi="宋体"/>
          <w:kern w:val="0"/>
          <w:sz w:val="24"/>
        </w:rPr>
      </w:pPr>
      <w:r>
        <w:rPr>
          <w:rFonts w:hint="eastAsia" w:hAnsi="宋体"/>
          <w:kern w:val="0"/>
          <w:sz w:val="24"/>
        </w:rPr>
        <w:t>电话：+86 (21) 2212 2888</w:t>
      </w:r>
    </w:p>
    <w:p w14:paraId="5EF3ED0F">
      <w:pPr>
        <w:widowControl/>
        <w:adjustRightInd w:val="0"/>
        <w:snapToGrid w:val="0"/>
        <w:spacing w:line="360" w:lineRule="auto"/>
        <w:ind w:firstLine="480" w:firstLineChars="200"/>
        <w:rPr>
          <w:rFonts w:hAnsi="宋体"/>
          <w:kern w:val="0"/>
          <w:sz w:val="24"/>
        </w:rPr>
      </w:pPr>
      <w:r>
        <w:rPr>
          <w:rFonts w:hint="eastAsia" w:hAnsi="宋体"/>
          <w:kern w:val="0"/>
          <w:sz w:val="24"/>
        </w:rPr>
        <w:t>传真：+86 (21) 6288 1889</w:t>
      </w:r>
    </w:p>
    <w:p w14:paraId="69788D74">
      <w:pPr>
        <w:widowControl/>
        <w:adjustRightInd w:val="0"/>
        <w:snapToGrid w:val="0"/>
        <w:spacing w:line="360" w:lineRule="auto"/>
        <w:ind w:firstLine="480" w:firstLineChars="200"/>
        <w:rPr>
          <w:rFonts w:hAnsi="宋体"/>
          <w:kern w:val="0"/>
          <w:sz w:val="24"/>
        </w:rPr>
      </w:pPr>
      <w:r>
        <w:rPr>
          <w:rFonts w:hint="eastAsia" w:hAnsi="宋体"/>
          <w:kern w:val="0"/>
          <w:sz w:val="24"/>
        </w:rPr>
        <w:t>联系人：侯雯</w:t>
      </w:r>
    </w:p>
    <w:p w14:paraId="0B865409">
      <w:pPr>
        <w:widowControl/>
        <w:adjustRightInd w:val="0"/>
        <w:snapToGrid w:val="0"/>
        <w:spacing w:line="360" w:lineRule="auto"/>
        <w:ind w:firstLine="480" w:firstLineChars="200"/>
        <w:rPr>
          <w:rFonts w:hAnsi="宋体"/>
          <w:kern w:val="0"/>
          <w:sz w:val="24"/>
        </w:rPr>
      </w:pPr>
      <w:r>
        <w:rPr>
          <w:rFonts w:hint="eastAsia" w:hAnsi="宋体"/>
          <w:kern w:val="0"/>
          <w:sz w:val="24"/>
        </w:rPr>
        <w:t>经办注册会计师：王国蓓、侯雯</w:t>
      </w:r>
    </w:p>
    <w:p w14:paraId="4166EBE3">
      <w:pPr>
        <w:widowControl/>
        <w:adjustRightInd w:val="0"/>
        <w:snapToGrid w:val="0"/>
        <w:spacing w:line="360" w:lineRule="auto"/>
        <w:ind w:firstLine="480" w:firstLineChars="200"/>
        <w:rPr>
          <w:rFonts w:hAnsi="宋体"/>
          <w:kern w:val="0"/>
          <w:sz w:val="24"/>
        </w:rPr>
      </w:pPr>
    </w:p>
    <w:p w14:paraId="6CE6E06E">
      <w:pPr>
        <w:spacing w:line="360" w:lineRule="auto"/>
        <w:jc w:val="center"/>
        <w:outlineLvl w:val="0"/>
        <w:rPr>
          <w:rFonts w:ascii="宋体" w:hAnsi="宋体"/>
          <w:b/>
          <w:kern w:val="0"/>
          <w:sz w:val="30"/>
        </w:rPr>
      </w:pPr>
      <w:r>
        <w:rPr>
          <w:rFonts w:hAnsi="宋体"/>
          <w:kern w:val="0"/>
          <w:sz w:val="24"/>
        </w:rPr>
        <w:br w:type="page"/>
      </w:r>
      <w:bookmarkStart w:id="15" w:name="_Toc50983774"/>
      <w:r>
        <w:rPr>
          <w:rFonts w:hint="eastAsia" w:ascii="宋体" w:hAnsi="宋体"/>
          <w:b/>
          <w:kern w:val="0"/>
          <w:sz w:val="30"/>
        </w:rPr>
        <w:t>六、基金的募集</w:t>
      </w:r>
      <w:bookmarkEnd w:id="15"/>
    </w:p>
    <w:p w14:paraId="7ABA66A8">
      <w:pPr>
        <w:adjustRightInd w:val="0"/>
        <w:snapToGrid w:val="0"/>
        <w:spacing w:line="360" w:lineRule="auto"/>
        <w:ind w:firstLine="482" w:firstLineChars="200"/>
        <w:rPr>
          <w:b/>
          <w:sz w:val="24"/>
          <w:szCs w:val="24"/>
        </w:rPr>
      </w:pPr>
      <w:r>
        <w:rPr>
          <w:b/>
          <w:sz w:val="24"/>
          <w:szCs w:val="24"/>
        </w:rPr>
        <w:t>（一）基金募集的依据</w:t>
      </w:r>
    </w:p>
    <w:p w14:paraId="26280D8F">
      <w:pPr>
        <w:widowControl/>
        <w:adjustRightInd w:val="0"/>
        <w:snapToGrid w:val="0"/>
        <w:spacing w:line="360" w:lineRule="auto"/>
        <w:ind w:firstLine="480" w:firstLineChars="20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基金合同及其他有关规定，并经中国证监会202</w:t>
      </w:r>
      <w:r>
        <w:rPr>
          <w:rFonts w:hint="eastAsia"/>
          <w:kern w:val="0"/>
          <w:sz w:val="24"/>
          <w:lang w:val="en-US" w:eastAsia="zh-CN"/>
        </w:rPr>
        <w:t>6</w:t>
      </w:r>
      <w:r>
        <w:rPr>
          <w:rFonts w:hint="eastAsia"/>
          <w:kern w:val="0"/>
          <w:sz w:val="24"/>
        </w:rPr>
        <w:t>年</w:t>
      </w:r>
      <w:r>
        <w:rPr>
          <w:rFonts w:hint="eastAsia"/>
          <w:kern w:val="0"/>
          <w:sz w:val="24"/>
          <w:lang w:val="en-US" w:eastAsia="zh-CN"/>
        </w:rPr>
        <w:t>4</w:t>
      </w:r>
      <w:r>
        <w:rPr>
          <w:rFonts w:hint="eastAsia"/>
          <w:kern w:val="0"/>
          <w:sz w:val="24"/>
        </w:rPr>
        <w:t>月</w:t>
      </w:r>
      <w:r>
        <w:rPr>
          <w:rFonts w:hint="eastAsia"/>
          <w:kern w:val="0"/>
          <w:sz w:val="24"/>
          <w:lang w:val="en-US" w:eastAsia="zh-CN"/>
        </w:rPr>
        <w:t>22</w:t>
      </w:r>
      <w:r>
        <w:rPr>
          <w:kern w:val="0"/>
          <w:sz w:val="24"/>
        </w:rPr>
        <w:t>日证监许可</w:t>
      </w:r>
      <w:r>
        <w:rPr>
          <w:rFonts w:hint="eastAsia"/>
          <w:kern w:val="0"/>
          <w:sz w:val="24"/>
        </w:rPr>
        <w:t>【</w:t>
      </w:r>
      <w:r>
        <w:rPr>
          <w:kern w:val="0"/>
          <w:sz w:val="24"/>
        </w:rPr>
        <w:t>202</w:t>
      </w:r>
      <w:r>
        <w:rPr>
          <w:rFonts w:hint="eastAsia"/>
          <w:kern w:val="0"/>
          <w:sz w:val="24"/>
          <w:lang w:val="en-US" w:eastAsia="zh-CN"/>
        </w:rPr>
        <w:t>6</w:t>
      </w:r>
      <w:r>
        <w:rPr>
          <w:kern w:val="0"/>
          <w:sz w:val="24"/>
        </w:rPr>
        <w:t>】</w:t>
      </w:r>
      <w:r>
        <w:rPr>
          <w:rFonts w:hint="eastAsia"/>
          <w:kern w:val="0"/>
          <w:sz w:val="24"/>
          <w:lang w:val="en-US" w:eastAsia="zh-CN"/>
        </w:rPr>
        <w:t>963</w:t>
      </w:r>
      <w:r>
        <w:rPr>
          <w:kern w:val="0"/>
          <w:sz w:val="24"/>
        </w:rPr>
        <w:t>号</w:t>
      </w:r>
      <w:r>
        <w:rPr>
          <w:rFonts w:hint="eastAsia"/>
          <w:kern w:val="0"/>
          <w:sz w:val="24"/>
        </w:rPr>
        <w:t>文准予</w:t>
      </w:r>
      <w:r>
        <w:rPr>
          <w:kern w:val="0"/>
          <w:sz w:val="24"/>
        </w:rPr>
        <w:t>募集</w:t>
      </w:r>
      <w:r>
        <w:rPr>
          <w:rFonts w:hint="eastAsia"/>
          <w:kern w:val="0"/>
          <w:sz w:val="24"/>
        </w:rPr>
        <w:t>注册</w:t>
      </w:r>
      <w:r>
        <w:rPr>
          <w:kern w:val="0"/>
          <w:sz w:val="24"/>
        </w:rPr>
        <w:t>。</w:t>
      </w:r>
    </w:p>
    <w:p w14:paraId="5B988FE3">
      <w:pPr>
        <w:adjustRightInd w:val="0"/>
        <w:snapToGrid w:val="0"/>
        <w:spacing w:line="360" w:lineRule="auto"/>
        <w:ind w:firstLine="482" w:firstLineChars="200"/>
        <w:rPr>
          <w:b/>
          <w:sz w:val="24"/>
          <w:szCs w:val="24"/>
        </w:rPr>
      </w:pPr>
      <w:r>
        <w:rPr>
          <w:b/>
          <w:sz w:val="24"/>
          <w:szCs w:val="24"/>
        </w:rPr>
        <w:t>（二）基金类</w:t>
      </w:r>
      <w:r>
        <w:rPr>
          <w:rFonts w:hint="eastAsia"/>
          <w:b/>
          <w:sz w:val="24"/>
          <w:szCs w:val="24"/>
        </w:rPr>
        <w:t>别</w:t>
      </w:r>
    </w:p>
    <w:p w14:paraId="4899CEA5">
      <w:pPr>
        <w:widowControl/>
        <w:adjustRightInd w:val="0"/>
        <w:snapToGrid w:val="0"/>
        <w:spacing w:line="360" w:lineRule="auto"/>
        <w:ind w:firstLine="480" w:firstLineChars="200"/>
        <w:rPr>
          <w:kern w:val="0"/>
          <w:sz w:val="24"/>
        </w:rPr>
      </w:pPr>
      <w:r>
        <w:rPr>
          <w:rFonts w:hint="eastAsia"/>
          <w:kern w:val="0"/>
          <w:sz w:val="24"/>
        </w:rPr>
        <w:t>债券型证券投资</w:t>
      </w:r>
      <w:r>
        <w:rPr>
          <w:kern w:val="0"/>
          <w:sz w:val="24"/>
        </w:rPr>
        <w:t>基金</w:t>
      </w:r>
    </w:p>
    <w:p w14:paraId="3A2B9F69">
      <w:pPr>
        <w:adjustRightInd w:val="0"/>
        <w:snapToGrid w:val="0"/>
        <w:spacing w:line="360" w:lineRule="auto"/>
        <w:ind w:firstLine="482" w:firstLineChars="200"/>
        <w:rPr>
          <w:b/>
          <w:sz w:val="24"/>
          <w:szCs w:val="24"/>
        </w:rPr>
      </w:pPr>
      <w:bookmarkStart w:id="16" w:name="_Hlk120873194"/>
      <w:r>
        <w:rPr>
          <w:b/>
          <w:sz w:val="24"/>
          <w:szCs w:val="24"/>
        </w:rPr>
        <w:t>（三）基金运作方式</w:t>
      </w:r>
    </w:p>
    <w:p w14:paraId="17BA9930">
      <w:pPr>
        <w:adjustRightInd w:val="0"/>
        <w:snapToGrid w:val="0"/>
        <w:spacing w:line="360" w:lineRule="auto"/>
        <w:ind w:firstLine="480" w:firstLineChars="200"/>
        <w:rPr>
          <w:sz w:val="24"/>
        </w:rPr>
      </w:pPr>
      <w:r>
        <w:rPr>
          <w:sz w:val="24"/>
        </w:rPr>
        <w:t>契约型开放式</w:t>
      </w:r>
    </w:p>
    <w:p w14:paraId="57AC5371">
      <w:pPr>
        <w:adjustRightInd w:val="0"/>
        <w:snapToGrid w:val="0"/>
        <w:spacing w:line="360" w:lineRule="auto"/>
        <w:ind w:firstLine="482" w:firstLineChars="200"/>
        <w:rPr>
          <w:b/>
          <w:sz w:val="24"/>
          <w:szCs w:val="24"/>
        </w:rPr>
      </w:pPr>
      <w:r>
        <w:rPr>
          <w:b/>
          <w:sz w:val="24"/>
          <w:szCs w:val="24"/>
        </w:rPr>
        <w:t>（四）基金存续期限</w:t>
      </w:r>
    </w:p>
    <w:p w14:paraId="143C3C41">
      <w:pPr>
        <w:adjustRightInd w:val="0"/>
        <w:snapToGrid w:val="0"/>
        <w:spacing w:line="360" w:lineRule="auto"/>
        <w:ind w:firstLine="480" w:firstLineChars="200"/>
        <w:rPr>
          <w:sz w:val="24"/>
        </w:rPr>
      </w:pPr>
      <w:r>
        <w:rPr>
          <w:sz w:val="24"/>
        </w:rPr>
        <w:t>不定期</w:t>
      </w:r>
    </w:p>
    <w:p w14:paraId="5FE8F544">
      <w:pPr>
        <w:adjustRightInd w:val="0"/>
        <w:snapToGrid w:val="0"/>
        <w:spacing w:line="360" w:lineRule="auto"/>
        <w:ind w:firstLine="482" w:firstLineChars="200"/>
        <w:rPr>
          <w:b/>
          <w:bCs/>
          <w:sz w:val="24"/>
        </w:rPr>
      </w:pPr>
      <w:r>
        <w:rPr>
          <w:rFonts w:hint="eastAsia"/>
          <w:b/>
          <w:bCs/>
          <w:sz w:val="24"/>
        </w:rPr>
        <w:t>（五）基金份额类别</w:t>
      </w:r>
    </w:p>
    <w:p w14:paraId="45D2BDFD">
      <w:pPr>
        <w:adjustRightInd w:val="0"/>
        <w:snapToGrid w:val="0"/>
        <w:spacing w:line="360" w:lineRule="auto"/>
        <w:ind w:firstLine="480" w:firstLineChars="200"/>
        <w:rPr>
          <w:sz w:val="24"/>
        </w:rPr>
      </w:pPr>
      <w:r>
        <w:rPr>
          <w:rFonts w:hint="eastAsia"/>
          <w:sz w:val="24"/>
        </w:rPr>
        <w:t>本基金根据认购/申购费用、销售服务费收取方式的不同，将基金份额分为不同的类别。在投资人认购/申购时收取认购/申购费用且不从本类别基金资产中计提销售服务费的，称为A类基金份额</w:t>
      </w:r>
      <w:r>
        <w:rPr>
          <w:rFonts w:hint="eastAsia" w:hAnsi="宋体"/>
          <w:bCs/>
          <w:sz w:val="24"/>
        </w:rPr>
        <w:t>（其中，对于投资人通过直销机构认购/申购的A类基金份额，不收取认购/申购费用）</w:t>
      </w:r>
      <w:r>
        <w:rPr>
          <w:rFonts w:hint="eastAsia"/>
          <w:sz w:val="24"/>
        </w:rPr>
        <w:t>；在投资人认购/申购时不收取认购/申购费用，并从本类别基金资产中计提销售服务费的，称为C类基金份额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基金份额，持续持有超过一年后计提的销售服务费将在投资人赎回相应基金份额或基金合同终止时随赎回款或清算款一并返还给投资人）</w:t>
      </w:r>
      <w:r>
        <w:rPr>
          <w:rFonts w:hint="eastAsia"/>
          <w:sz w:val="24"/>
        </w:rPr>
        <w:t>。</w:t>
      </w:r>
    </w:p>
    <w:p w14:paraId="2F7FF327">
      <w:pPr>
        <w:adjustRightInd w:val="0"/>
        <w:snapToGrid w:val="0"/>
        <w:spacing w:line="360" w:lineRule="auto"/>
        <w:ind w:firstLine="480" w:firstLineChars="200"/>
        <w:rPr>
          <w:sz w:val="24"/>
        </w:rPr>
      </w:pPr>
      <w:r>
        <w:rPr>
          <w:rFonts w:hint="eastAsia"/>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14:paraId="57DEFAAA">
      <w:pPr>
        <w:adjustRightInd w:val="0"/>
        <w:snapToGrid w:val="0"/>
        <w:spacing w:line="360" w:lineRule="auto"/>
        <w:ind w:firstLine="480" w:firstLineChars="200"/>
        <w:rPr>
          <w:sz w:val="24"/>
        </w:rPr>
      </w:pPr>
      <w:r>
        <w:rPr>
          <w:rFonts w:hint="eastAsia"/>
          <w:sz w:val="24"/>
        </w:rPr>
        <w:t>在不违反法律法规、基金合同的约定以及对基金份额持有人利益无实质性不利影响的情况下，根据基金实际运作情况，基金管理人</w:t>
      </w:r>
      <w:r>
        <w:rPr>
          <w:rFonts w:hint="eastAsia"/>
          <w:bCs/>
          <w:sz w:val="24"/>
        </w:rPr>
        <w:t>和基金托管人协商一致后，</w:t>
      </w:r>
      <w:r>
        <w:rPr>
          <w:rFonts w:hint="eastAsia"/>
          <w:sz w:val="24"/>
        </w:rPr>
        <w:t>可增加</w:t>
      </w:r>
      <w:r>
        <w:rPr>
          <w:rFonts w:hint="eastAsia"/>
          <w:bCs/>
          <w:sz w:val="24"/>
        </w:rPr>
        <w:t>、减少</w:t>
      </w:r>
      <w:r>
        <w:rPr>
          <w:rFonts w:hint="eastAsia"/>
          <w:sz w:val="24"/>
        </w:rPr>
        <w:t>或调整基金份额类别设置、对基金份额分类办法及规则进行调整并在调整实施前依照《信息披露办法》的有关规定在规定媒介上公告，而无需召开基金份额持有人大会。</w:t>
      </w:r>
    </w:p>
    <w:bookmarkEnd w:id="16"/>
    <w:p w14:paraId="3FDBDECF">
      <w:pPr>
        <w:adjustRightInd w:val="0"/>
        <w:snapToGrid w:val="0"/>
        <w:spacing w:line="360" w:lineRule="auto"/>
        <w:ind w:firstLine="482" w:firstLineChars="200"/>
        <w:rPr>
          <w:b/>
          <w:sz w:val="24"/>
          <w:szCs w:val="24"/>
        </w:rPr>
      </w:pPr>
      <w:r>
        <w:rPr>
          <w:b/>
          <w:sz w:val="24"/>
          <w:szCs w:val="24"/>
        </w:rPr>
        <w:t>（六）基金份额的认购</w:t>
      </w:r>
    </w:p>
    <w:p w14:paraId="23EA5397">
      <w:pPr>
        <w:adjustRightInd w:val="0"/>
        <w:snapToGrid w:val="0"/>
        <w:spacing w:line="360" w:lineRule="auto"/>
        <w:ind w:firstLine="480" w:firstLineChars="200"/>
        <w:rPr>
          <w:sz w:val="24"/>
        </w:rPr>
      </w:pPr>
      <w:r>
        <w:rPr>
          <w:sz w:val="24"/>
        </w:rPr>
        <w:t>基金募集期内，基金份额通过各销售机构向投资人公开发售</w:t>
      </w:r>
      <w:r>
        <w:rPr>
          <w:bCs/>
          <w:sz w:val="24"/>
        </w:rPr>
        <w:t>，各销售机构的具体名单见基金份额发售公告以及基金管理人</w:t>
      </w:r>
      <w:r>
        <w:rPr>
          <w:rFonts w:hint="eastAsia"/>
          <w:bCs/>
          <w:sz w:val="24"/>
        </w:rPr>
        <w:t>网站</w:t>
      </w:r>
      <w:r>
        <w:rPr>
          <w:sz w:val="24"/>
        </w:rPr>
        <w:t>。募集期间个人投资者可以通过</w:t>
      </w:r>
      <w:r>
        <w:rPr>
          <w:rFonts w:hint="eastAsia"/>
          <w:sz w:val="24"/>
        </w:rPr>
        <w:t>基金管理人</w:t>
      </w:r>
      <w:r>
        <w:rPr>
          <w:sz w:val="24"/>
        </w:rPr>
        <w:t>网上直销交易平台办理开户和本基金的认购业务</w:t>
      </w:r>
      <w:r>
        <w:rPr>
          <w:rFonts w:hint="eastAsia"/>
          <w:sz w:val="24"/>
        </w:rPr>
        <w:t>，</w:t>
      </w:r>
      <w:r>
        <w:rPr>
          <w:sz w:val="24"/>
        </w:rPr>
        <w:t>具体</w:t>
      </w:r>
      <w:r>
        <w:rPr>
          <w:bCs/>
          <w:sz w:val="24"/>
        </w:rPr>
        <w:t>见基金份额发售公告以及基金管理人</w:t>
      </w:r>
      <w:r>
        <w:rPr>
          <w:rFonts w:hint="eastAsia"/>
          <w:bCs/>
          <w:sz w:val="24"/>
        </w:rPr>
        <w:t>网站</w:t>
      </w:r>
      <w:r>
        <w:rPr>
          <w:sz w:val="24"/>
        </w:rPr>
        <w:t>。除法律法规或中国证监会另有规定外，任何与基金份额发售有关的当事人不得预留和提前发售基金份额。</w:t>
      </w:r>
    </w:p>
    <w:p w14:paraId="38F2D3EA">
      <w:pPr>
        <w:adjustRightInd w:val="0"/>
        <w:snapToGrid w:val="0"/>
        <w:spacing w:line="360" w:lineRule="auto"/>
        <w:ind w:firstLine="480" w:firstLineChars="200"/>
        <w:rPr>
          <w:sz w:val="24"/>
        </w:rPr>
      </w:pPr>
      <w:r>
        <w:rPr>
          <w:sz w:val="24"/>
        </w:rPr>
        <w:t>1、基金份额的发售时间、方式</w:t>
      </w:r>
      <w:r>
        <w:rPr>
          <w:rFonts w:hint="eastAsia"/>
          <w:sz w:val="24"/>
        </w:rPr>
        <w:t>和</w:t>
      </w:r>
      <w:r>
        <w:rPr>
          <w:sz w:val="24"/>
        </w:rPr>
        <w:t>对象</w:t>
      </w:r>
    </w:p>
    <w:p w14:paraId="07A528F5">
      <w:pPr>
        <w:adjustRightInd w:val="0"/>
        <w:snapToGrid w:val="0"/>
        <w:spacing w:line="360" w:lineRule="auto"/>
        <w:ind w:firstLine="480" w:firstLineChars="200"/>
        <w:rPr>
          <w:sz w:val="24"/>
        </w:rPr>
      </w:pPr>
      <w:r>
        <w:rPr>
          <w:sz w:val="24"/>
        </w:rPr>
        <w:t>（1）募集期限：自基金份额发售之日起不超过3个月。本基金自202</w:t>
      </w:r>
      <w:r>
        <w:rPr>
          <w:rFonts w:hint="eastAsia"/>
          <w:sz w:val="24"/>
          <w:lang w:val="en-US" w:eastAsia="zh-CN"/>
        </w:rPr>
        <w:t>6</w:t>
      </w:r>
      <w:r>
        <w:rPr>
          <w:sz w:val="24"/>
        </w:rPr>
        <w:t>年</w:t>
      </w:r>
      <w:r>
        <w:rPr>
          <w:rFonts w:hint="eastAsia"/>
          <w:sz w:val="24"/>
          <w:lang w:val="en-US" w:eastAsia="zh-CN"/>
        </w:rPr>
        <w:t>7</w:t>
      </w:r>
      <w:r>
        <w:rPr>
          <w:rFonts w:hint="eastAsia"/>
          <w:sz w:val="24"/>
        </w:rPr>
        <w:t>月</w:t>
      </w:r>
      <w:r>
        <w:rPr>
          <w:rFonts w:hint="eastAsia"/>
          <w:sz w:val="24"/>
          <w:lang w:val="en-US" w:eastAsia="zh-CN"/>
        </w:rPr>
        <w:t>6</w:t>
      </w:r>
      <w:r>
        <w:rPr>
          <w:sz w:val="24"/>
        </w:rPr>
        <w:t>日起至202</w:t>
      </w:r>
      <w:r>
        <w:rPr>
          <w:rFonts w:hint="eastAsia"/>
          <w:sz w:val="24"/>
          <w:lang w:val="en-US" w:eastAsia="zh-CN"/>
        </w:rPr>
        <w:t>6</w:t>
      </w:r>
      <w:r>
        <w:rPr>
          <w:sz w:val="24"/>
        </w:rPr>
        <w:t>年</w:t>
      </w:r>
      <w:r>
        <w:rPr>
          <w:rFonts w:hint="eastAsia"/>
          <w:sz w:val="24"/>
          <w:lang w:val="en-US" w:eastAsia="zh-CN"/>
        </w:rPr>
        <w:t>7</w:t>
      </w:r>
      <w:r>
        <w:rPr>
          <w:rFonts w:hint="eastAsia"/>
          <w:sz w:val="24"/>
        </w:rPr>
        <w:t>月</w:t>
      </w:r>
      <w:r>
        <w:rPr>
          <w:rFonts w:hint="eastAsia"/>
          <w:sz w:val="24"/>
          <w:lang w:val="en-US" w:eastAsia="zh-CN"/>
        </w:rPr>
        <w:t>17</w:t>
      </w:r>
      <w:r>
        <w:rPr>
          <w:sz w:val="24"/>
        </w:rPr>
        <w:t>日止通过销售机构公开发售（详见基金份额发售公告及</w:t>
      </w:r>
      <w:r>
        <w:rPr>
          <w:rFonts w:hint="eastAsia"/>
          <w:sz w:val="24"/>
        </w:rPr>
        <w:t>销售</w:t>
      </w:r>
      <w:r>
        <w:rPr>
          <w:sz w:val="24"/>
        </w:rPr>
        <w:t>机构相关公告）。</w:t>
      </w:r>
      <w:r>
        <w:rPr>
          <w:rFonts w:hint="eastAsia"/>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14:paraId="3D0B8B44">
      <w:pPr>
        <w:adjustRightInd w:val="0"/>
        <w:snapToGrid w:val="0"/>
        <w:spacing w:line="360" w:lineRule="auto"/>
        <w:ind w:firstLine="480" w:firstLineChars="200"/>
      </w:pPr>
      <w:r>
        <w:rPr>
          <w:sz w:val="24"/>
        </w:rPr>
        <w:t>（2）销售渠道：</w:t>
      </w:r>
      <w:r>
        <w:rPr>
          <w:rFonts w:hint="eastAsia"/>
          <w:sz w:val="24"/>
        </w:rPr>
        <w:t>销售机构</w:t>
      </w:r>
      <w:r>
        <w:rPr>
          <w:sz w:val="24"/>
        </w:rPr>
        <w:t>具体名单见基金份额发售公告</w:t>
      </w:r>
      <w:r>
        <w:rPr>
          <w:rFonts w:hint="eastAsia"/>
          <w:sz w:val="24"/>
        </w:rPr>
        <w:t>以及基金管理人网站</w:t>
      </w:r>
      <w:r>
        <w:t>。</w:t>
      </w:r>
    </w:p>
    <w:p w14:paraId="61838CE1">
      <w:pPr>
        <w:adjustRightInd w:val="0"/>
        <w:snapToGrid w:val="0"/>
        <w:spacing w:line="360" w:lineRule="auto"/>
        <w:ind w:firstLine="480" w:firstLineChars="200"/>
        <w:rPr>
          <w:sz w:val="24"/>
        </w:rPr>
      </w:pPr>
      <w:r>
        <w:rPr>
          <w:sz w:val="24"/>
        </w:rPr>
        <w:t>（3）销售对象：符合法律法规规定的可投资于证券投资基金的个人投资者、机构投资者</w:t>
      </w:r>
      <w:r>
        <w:rPr>
          <w:rFonts w:hint="eastAsia"/>
          <w:sz w:val="24"/>
        </w:rPr>
        <w:t>、</w:t>
      </w:r>
      <w:r>
        <w:rPr>
          <w:sz w:val="24"/>
        </w:rPr>
        <w:t>合格境外投资者以及法律法规或中国证监会允许购买证券投资基金的其他投资人。</w:t>
      </w:r>
    </w:p>
    <w:p w14:paraId="6295D541">
      <w:pPr>
        <w:adjustRightInd w:val="0"/>
        <w:snapToGrid w:val="0"/>
        <w:spacing w:line="360" w:lineRule="auto"/>
        <w:ind w:firstLine="480" w:firstLineChars="200"/>
        <w:rPr>
          <w:sz w:val="24"/>
        </w:rPr>
      </w:pPr>
      <w:r>
        <w:rPr>
          <w:sz w:val="24"/>
        </w:rPr>
        <w:t>2、基金份额的认购和持有限制</w:t>
      </w:r>
    </w:p>
    <w:p w14:paraId="02DEE954">
      <w:pPr>
        <w:adjustRightInd w:val="0"/>
        <w:snapToGrid w:val="0"/>
        <w:spacing w:line="360" w:lineRule="auto"/>
        <w:ind w:firstLine="480" w:firstLineChars="200"/>
        <w:rPr>
          <w:sz w:val="24"/>
        </w:rPr>
      </w:pPr>
      <w:r>
        <w:rPr>
          <w:sz w:val="24"/>
        </w:rPr>
        <w:t>（1）基金份额的认购采用金额认购方式。</w:t>
      </w:r>
    </w:p>
    <w:p w14:paraId="3CCE64AD">
      <w:pPr>
        <w:adjustRightInd w:val="0"/>
        <w:snapToGrid w:val="0"/>
        <w:spacing w:line="360" w:lineRule="auto"/>
        <w:ind w:firstLine="480" w:firstLineChars="200"/>
        <w:rPr>
          <w:sz w:val="24"/>
        </w:rPr>
      </w:pPr>
      <w:r>
        <w:rPr>
          <w:sz w:val="24"/>
        </w:rPr>
        <w:t>（2）投资人认购基金份额采用全额缴款的认购方式。投资人认购</w:t>
      </w:r>
      <w:r>
        <w:rPr>
          <w:rFonts w:hint="eastAsia"/>
          <w:sz w:val="24"/>
        </w:rPr>
        <w:t>时</w:t>
      </w:r>
      <w:r>
        <w:rPr>
          <w:sz w:val="24"/>
        </w:rPr>
        <w:t>，需按销售机构规定的方式备足认购的金额。</w:t>
      </w:r>
    </w:p>
    <w:p w14:paraId="59A1F9C3">
      <w:pPr>
        <w:adjustRightInd w:val="0"/>
        <w:snapToGrid w:val="0"/>
        <w:spacing w:line="360" w:lineRule="auto"/>
        <w:ind w:firstLine="480" w:firstLineChars="200"/>
        <w:rPr>
          <w:sz w:val="24"/>
        </w:rPr>
      </w:pPr>
      <w:r>
        <w:rPr>
          <w:sz w:val="24"/>
        </w:rPr>
        <w:t>（3）投资人在募集期内可以多次认购基金份额，认购</w:t>
      </w:r>
      <w:r>
        <w:rPr>
          <w:rFonts w:hint="eastAsia"/>
          <w:sz w:val="24"/>
        </w:rPr>
        <w:t>申请</w:t>
      </w:r>
      <w:r>
        <w:rPr>
          <w:sz w:val="24"/>
        </w:rPr>
        <w:t>一经登记机构受理不得撤销。</w:t>
      </w:r>
    </w:p>
    <w:p w14:paraId="443D5D76">
      <w:pPr>
        <w:adjustRightInd w:val="0"/>
        <w:snapToGrid w:val="0"/>
        <w:spacing w:line="360" w:lineRule="auto"/>
        <w:ind w:firstLine="480" w:firstLineChars="200"/>
        <w:rPr>
          <w:sz w:val="24"/>
        </w:rPr>
      </w:pPr>
      <w:r>
        <w:rPr>
          <w:sz w:val="24"/>
        </w:rPr>
        <w:t>（4）</w:t>
      </w:r>
      <w:r>
        <w:rPr>
          <w:rFonts w:hint="eastAsia"/>
          <w:sz w:val="24"/>
        </w:rPr>
        <w:t>直销机构接受首次认购申请的最低金额为单笔100万元，追加认购的最低金额为单笔10万元</w:t>
      </w:r>
      <w:r>
        <w:rPr>
          <w:sz w:val="24"/>
        </w:rPr>
        <w:t>；已在直销机构有认购或申购过本基金管理人管理的其他基金记录的投资人不受首次认购最低金额的限制。通过</w:t>
      </w:r>
      <w:r>
        <w:rPr>
          <w:rFonts w:hint="eastAsia"/>
          <w:sz w:val="24"/>
        </w:rPr>
        <w:t>基金管理人</w:t>
      </w:r>
      <w:r>
        <w:rPr>
          <w:sz w:val="24"/>
        </w:rPr>
        <w:t>网上直销交易平台办理本基金认购业务的不受直销机构最低认购金额的限制，认购最低金额为单笔1元。本基金直销机构单笔认购最低金额可由基金管理人酌情调整。</w:t>
      </w:r>
      <w:r>
        <w:rPr>
          <w:rFonts w:hint="eastAsia"/>
          <w:sz w:val="24"/>
        </w:rPr>
        <w:t>其他销售</w:t>
      </w:r>
      <w:r>
        <w:rPr>
          <w:sz w:val="24"/>
        </w:rPr>
        <w:t>机构接受认购申请的最低金额为单笔1元，如果</w:t>
      </w:r>
      <w:r>
        <w:rPr>
          <w:rFonts w:hint="eastAsia"/>
          <w:sz w:val="24"/>
        </w:rPr>
        <w:t>销售</w:t>
      </w:r>
      <w:r>
        <w:rPr>
          <w:sz w:val="24"/>
        </w:rPr>
        <w:t>机构业务规则规定的最低单笔认购金额高于1元，以</w:t>
      </w:r>
      <w:r>
        <w:rPr>
          <w:rFonts w:hint="eastAsia"/>
          <w:sz w:val="24"/>
        </w:rPr>
        <w:t>该销售</w:t>
      </w:r>
      <w:r>
        <w:rPr>
          <w:sz w:val="24"/>
        </w:rPr>
        <w:t>机构的规定为准。</w:t>
      </w:r>
    </w:p>
    <w:p w14:paraId="517283D6">
      <w:pPr>
        <w:adjustRightInd w:val="0"/>
        <w:snapToGrid w:val="0"/>
        <w:spacing w:line="360" w:lineRule="auto"/>
        <w:ind w:firstLine="480" w:firstLineChars="200"/>
        <w:rPr>
          <w:sz w:val="24"/>
        </w:rPr>
      </w:pPr>
      <w:r>
        <w:rPr>
          <w:rFonts w:hint="eastAsia"/>
          <w:sz w:val="24"/>
        </w:rPr>
        <w:t>（5）基金管理人可以对募集期间的单个投资人的累计认购金额进行限制，具体限制和处理方法请参看相关公告。</w:t>
      </w:r>
    </w:p>
    <w:p w14:paraId="31F0D703">
      <w:pPr>
        <w:adjustRightInd w:val="0"/>
        <w:snapToGrid w:val="0"/>
        <w:spacing w:line="360" w:lineRule="auto"/>
        <w:ind w:firstLine="480" w:firstLineChars="200"/>
        <w:rPr>
          <w:sz w:val="24"/>
        </w:rPr>
      </w:pPr>
      <w:r>
        <w:rPr>
          <w:sz w:val="24"/>
        </w:rPr>
        <w:t>（6）</w:t>
      </w:r>
      <w:r>
        <w:rPr>
          <w:rFonts w:hint="eastAsia"/>
          <w:sz w:val="24"/>
        </w:rPr>
        <w:t>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47BACD1C">
      <w:pPr>
        <w:adjustRightInd w:val="0"/>
        <w:snapToGrid w:val="0"/>
        <w:spacing w:line="360" w:lineRule="auto"/>
        <w:ind w:firstLine="480" w:firstLineChars="200"/>
        <w:rPr>
          <w:sz w:val="24"/>
        </w:rPr>
      </w:pPr>
      <w:r>
        <w:rPr>
          <w:rFonts w:hint="eastAsia"/>
          <w:sz w:val="24"/>
        </w:rPr>
        <w:t>（</w:t>
      </w:r>
      <w:r>
        <w:rPr>
          <w:sz w:val="24"/>
        </w:rPr>
        <w:t>7</w:t>
      </w:r>
      <w:r>
        <w:rPr>
          <w:rFonts w:hint="eastAsia"/>
          <w:sz w:val="24"/>
        </w:rPr>
        <w:t>）基金管理人可以对募集期间的本基金募集规模设置上限。募集期内超过募集规模上限时，基金管理人可以采用比例确认或其他方式进行确认，具体办法参见基金份额发售公告。</w:t>
      </w:r>
    </w:p>
    <w:p w14:paraId="4C0C9C4F">
      <w:pPr>
        <w:adjustRightInd w:val="0"/>
        <w:snapToGrid w:val="0"/>
        <w:spacing w:line="360" w:lineRule="auto"/>
        <w:ind w:firstLine="480" w:firstLineChars="200"/>
        <w:rPr>
          <w:sz w:val="24"/>
        </w:rPr>
      </w:pPr>
      <w:r>
        <w:rPr>
          <w:sz w:val="24"/>
        </w:rPr>
        <w:t>3、基金份额的</w:t>
      </w:r>
      <w:r>
        <w:rPr>
          <w:rFonts w:hint="eastAsia"/>
          <w:sz w:val="24"/>
        </w:rPr>
        <w:t>面值、</w:t>
      </w:r>
      <w:r>
        <w:rPr>
          <w:sz w:val="24"/>
        </w:rPr>
        <w:t>认购费用、认购价格及认购份额的计算公式</w:t>
      </w:r>
    </w:p>
    <w:p w14:paraId="0700B5FA">
      <w:pPr>
        <w:adjustRightInd w:val="0"/>
        <w:snapToGrid w:val="0"/>
        <w:spacing w:line="360" w:lineRule="auto"/>
        <w:ind w:firstLine="480" w:firstLineChars="200"/>
        <w:rPr>
          <w:sz w:val="24"/>
        </w:rPr>
      </w:pPr>
      <w:r>
        <w:rPr>
          <w:sz w:val="24"/>
        </w:rPr>
        <w:t>（1）</w:t>
      </w:r>
      <w:r>
        <w:rPr>
          <w:rFonts w:hint="eastAsia"/>
          <w:sz w:val="24"/>
        </w:rPr>
        <w:t>面值、</w:t>
      </w:r>
      <w:r>
        <w:rPr>
          <w:sz w:val="24"/>
        </w:rPr>
        <w:t>认购价格：本基金</w:t>
      </w:r>
      <w:r>
        <w:rPr>
          <w:rFonts w:hint="eastAsia"/>
          <w:sz w:val="24"/>
        </w:rPr>
        <w:t>基金</w:t>
      </w:r>
      <w:r>
        <w:rPr>
          <w:sz w:val="24"/>
        </w:rPr>
        <w:t>份额的</w:t>
      </w:r>
      <w:r>
        <w:rPr>
          <w:rFonts w:hint="eastAsia"/>
          <w:sz w:val="24"/>
        </w:rPr>
        <w:t>初始面值、</w:t>
      </w:r>
      <w:r>
        <w:rPr>
          <w:sz w:val="24"/>
        </w:rPr>
        <w:t>认购价格为1.00元/份。</w:t>
      </w:r>
    </w:p>
    <w:p w14:paraId="4F906C02">
      <w:pPr>
        <w:adjustRightInd w:val="0"/>
        <w:snapToGrid w:val="0"/>
        <w:spacing w:line="360" w:lineRule="auto"/>
        <w:ind w:firstLine="480" w:firstLineChars="200"/>
        <w:rPr>
          <w:rFonts w:hint="eastAsia"/>
          <w:kern w:val="0"/>
          <w:sz w:val="24"/>
        </w:rPr>
      </w:pPr>
      <w:r>
        <w:rPr>
          <w:rFonts w:hint="eastAsia"/>
          <w:kern w:val="0"/>
          <w:sz w:val="24"/>
        </w:rPr>
        <w:t>（2）认购费率</w:t>
      </w:r>
    </w:p>
    <w:p w14:paraId="516652FC">
      <w:pPr>
        <w:adjustRightInd w:val="0"/>
        <w:snapToGrid w:val="0"/>
        <w:spacing w:line="360" w:lineRule="auto"/>
        <w:ind w:firstLine="480" w:firstLineChars="200"/>
        <w:rPr>
          <w:rFonts w:hint="eastAsia"/>
          <w:kern w:val="0"/>
          <w:sz w:val="24"/>
        </w:rPr>
      </w:pPr>
      <w:r>
        <w:rPr>
          <w:rFonts w:hint="eastAsia"/>
          <w:kern w:val="0"/>
          <w:sz w:val="24"/>
        </w:rPr>
        <w:t>本基金基金份额分为A类基金份额和C类基金份额。基金投资者认购A类基金份额在认购时支付认购费用（其中，通过直销机构认购时不支付认购费用），基金投资者认购C类基金份额不支付认购费用。</w:t>
      </w:r>
    </w:p>
    <w:p w14:paraId="25960502">
      <w:pPr>
        <w:adjustRightInd w:val="0"/>
        <w:snapToGrid w:val="0"/>
        <w:spacing w:line="360" w:lineRule="auto"/>
        <w:ind w:firstLine="480" w:firstLineChars="200"/>
        <w:rPr>
          <w:rFonts w:hint="eastAsia"/>
          <w:kern w:val="0"/>
          <w:sz w:val="24"/>
        </w:rPr>
      </w:pPr>
      <w:r>
        <w:rPr>
          <w:rFonts w:hint="eastAsia"/>
          <w:kern w:val="0"/>
          <w:sz w:val="24"/>
        </w:rPr>
        <w:t>通过直销机构认购本基金A类基金份额不收取认购费；通过其他销售机构认购本基金A类基金份额的，认购费用由认购A类基金份额的投资人承担，募集期内投资人可以多次认购本基金，认购费用按A类基金份额的每笔认购申请单独计算。认购费用不列入基金财产，主要用于基金的市场推广、销售等募集期间发生的各项费用。</w:t>
      </w:r>
    </w:p>
    <w:p w14:paraId="0578DC62">
      <w:pPr>
        <w:widowControl/>
        <w:adjustRightInd w:val="0"/>
        <w:snapToGrid w:val="0"/>
        <w:spacing w:line="360" w:lineRule="auto"/>
        <w:ind w:firstLine="480" w:firstLineChars="200"/>
        <w:rPr>
          <w:kern w:val="0"/>
          <w:sz w:val="24"/>
        </w:rPr>
      </w:pPr>
      <w:r>
        <w:rPr>
          <w:rFonts w:hint="eastAsia"/>
          <w:kern w:val="0"/>
          <w:sz w:val="24"/>
        </w:rPr>
        <w:t>通过其他销售机构认购本基金A类基金份额的认购费率如下表：</w:t>
      </w:r>
    </w:p>
    <w:tbl>
      <w:tblPr>
        <w:tblStyle w:val="28"/>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14:paraId="4C1BFB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14:paraId="1FD79D84">
            <w:pPr>
              <w:keepNext w:val="0"/>
              <w:keepLines w:val="0"/>
              <w:suppressLineNumbers w:val="0"/>
              <w:adjustRightInd w:val="0"/>
              <w:snapToGrid w:val="0"/>
              <w:spacing w:before="0" w:beforeAutospacing="0" w:after="0" w:afterAutospacing="0"/>
              <w:ind w:left="0" w:right="0"/>
              <w:jc w:val="center"/>
              <w:rPr>
                <w:rFonts w:hint="eastAsia"/>
                <w:b/>
                <w:sz w:val="24"/>
                <w:szCs w:val="20"/>
              </w:rPr>
            </w:pPr>
            <w:r>
              <w:rPr>
                <w:rFonts w:hint="eastAsia"/>
                <w:b/>
                <w:sz w:val="24"/>
                <w:szCs w:val="20"/>
              </w:rPr>
              <w:t>认购金额（含认购费）</w:t>
            </w:r>
          </w:p>
        </w:tc>
        <w:tc>
          <w:tcPr>
            <w:tcW w:w="3598" w:type="dxa"/>
            <w:shd w:val="clear" w:color="auto" w:fill="FFFFFF"/>
            <w:vAlign w:val="center"/>
          </w:tcPr>
          <w:p w14:paraId="200EAB56">
            <w:pPr>
              <w:keepNext w:val="0"/>
              <w:keepLines w:val="0"/>
              <w:suppressLineNumbers w:val="0"/>
              <w:adjustRightInd w:val="0"/>
              <w:snapToGrid w:val="0"/>
              <w:spacing w:before="0" w:beforeAutospacing="0" w:after="0" w:afterAutospacing="0"/>
              <w:ind w:left="0" w:right="0"/>
              <w:jc w:val="center"/>
              <w:rPr>
                <w:rFonts w:hint="eastAsia"/>
                <w:b/>
                <w:sz w:val="24"/>
                <w:szCs w:val="20"/>
              </w:rPr>
            </w:pPr>
            <w:r>
              <w:rPr>
                <w:rFonts w:hint="eastAsia"/>
                <w:b/>
                <w:color w:val="000000"/>
                <w:kern w:val="0"/>
                <w:sz w:val="24"/>
                <w:szCs w:val="20"/>
              </w:rPr>
              <w:t>A类基金份额</w:t>
            </w:r>
            <w:r>
              <w:rPr>
                <w:rFonts w:hint="eastAsia"/>
                <w:b/>
                <w:sz w:val="24"/>
                <w:szCs w:val="20"/>
              </w:rPr>
              <w:t>认购费率</w:t>
            </w:r>
          </w:p>
        </w:tc>
      </w:tr>
      <w:tr w14:paraId="66DEC90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14:paraId="59A1BF39">
            <w:pPr>
              <w:keepNext w:val="0"/>
              <w:keepLines w:val="0"/>
              <w:suppressLineNumbers w:val="0"/>
              <w:adjustRightInd w:val="0"/>
              <w:snapToGrid w:val="0"/>
              <w:spacing w:before="0" w:beforeAutospacing="0" w:after="0" w:afterAutospacing="0"/>
              <w:ind w:left="0" w:right="0"/>
              <w:rPr>
                <w:rFonts w:hint="eastAsia"/>
                <w:sz w:val="24"/>
                <w:szCs w:val="20"/>
              </w:rPr>
            </w:pPr>
            <w:r>
              <w:rPr>
                <w:rFonts w:hint="eastAsia"/>
                <w:sz w:val="24"/>
                <w:szCs w:val="20"/>
              </w:rPr>
              <w:t>100</w:t>
            </w:r>
            <w:r>
              <w:rPr>
                <w:rFonts w:hint="eastAsia"/>
                <w:sz w:val="24"/>
                <w:szCs w:val="20"/>
                <w:lang w:val="en-US" w:eastAsia="zh-CN"/>
              </w:rPr>
              <w:t>0</w:t>
            </w:r>
            <w:r>
              <w:rPr>
                <w:rFonts w:hint="eastAsia"/>
                <w:sz w:val="24"/>
                <w:szCs w:val="20"/>
              </w:rPr>
              <w:t>万元以下</w:t>
            </w:r>
          </w:p>
        </w:tc>
        <w:tc>
          <w:tcPr>
            <w:tcW w:w="3598" w:type="dxa"/>
            <w:vAlign w:val="center"/>
          </w:tcPr>
          <w:p w14:paraId="1175EEE5">
            <w:pPr>
              <w:keepNext w:val="0"/>
              <w:keepLines w:val="0"/>
              <w:suppressLineNumbers w:val="0"/>
              <w:adjustRightInd w:val="0"/>
              <w:snapToGrid w:val="0"/>
              <w:spacing w:before="0" w:beforeAutospacing="0" w:after="0" w:afterAutospacing="0"/>
              <w:ind w:left="0" w:right="0"/>
              <w:jc w:val="center"/>
              <w:rPr>
                <w:rFonts w:hint="eastAsia"/>
                <w:sz w:val="24"/>
                <w:szCs w:val="20"/>
              </w:rPr>
            </w:pPr>
            <w:r>
              <w:rPr>
                <w:rFonts w:hint="eastAsia"/>
                <w:sz w:val="24"/>
                <w:szCs w:val="20"/>
              </w:rPr>
              <w:t>0.</w:t>
            </w:r>
            <w:r>
              <w:rPr>
                <w:rFonts w:hint="eastAsia"/>
                <w:sz w:val="24"/>
                <w:szCs w:val="20"/>
                <w:lang w:val="en-US" w:eastAsia="zh-CN"/>
              </w:rPr>
              <w:t>3</w:t>
            </w:r>
            <w:r>
              <w:rPr>
                <w:rFonts w:hint="eastAsia"/>
                <w:sz w:val="24"/>
                <w:szCs w:val="20"/>
              </w:rPr>
              <w:t>%</w:t>
            </w:r>
          </w:p>
        </w:tc>
      </w:tr>
      <w:tr w14:paraId="3F54BD5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14:paraId="3933F51C">
            <w:pPr>
              <w:keepNext w:val="0"/>
              <w:keepLines w:val="0"/>
              <w:suppressLineNumbers w:val="0"/>
              <w:adjustRightInd w:val="0"/>
              <w:snapToGrid w:val="0"/>
              <w:spacing w:before="0" w:beforeAutospacing="0" w:after="0" w:afterAutospacing="0"/>
              <w:ind w:left="0" w:right="0"/>
              <w:rPr>
                <w:rFonts w:hint="eastAsia"/>
                <w:sz w:val="24"/>
                <w:szCs w:val="20"/>
              </w:rPr>
            </w:pPr>
            <w:r>
              <w:rPr>
                <w:rFonts w:hint="eastAsia"/>
                <w:sz w:val="24"/>
                <w:szCs w:val="20"/>
                <w:lang w:val="en-US" w:eastAsia="zh-CN"/>
              </w:rPr>
              <w:t>10</w:t>
            </w:r>
            <w:r>
              <w:rPr>
                <w:rFonts w:hint="eastAsia"/>
                <w:sz w:val="24"/>
                <w:szCs w:val="20"/>
              </w:rPr>
              <w:t>00万元以上（含</w:t>
            </w:r>
            <w:r>
              <w:rPr>
                <w:rFonts w:hint="eastAsia"/>
                <w:sz w:val="24"/>
                <w:szCs w:val="20"/>
                <w:lang w:val="en-US" w:eastAsia="zh-CN"/>
              </w:rPr>
              <w:t>10</w:t>
            </w:r>
            <w:r>
              <w:rPr>
                <w:rFonts w:hint="eastAsia"/>
                <w:sz w:val="24"/>
                <w:szCs w:val="20"/>
              </w:rPr>
              <w:t>00万元）</w:t>
            </w:r>
          </w:p>
        </w:tc>
        <w:tc>
          <w:tcPr>
            <w:tcW w:w="3598" w:type="dxa"/>
          </w:tcPr>
          <w:p w14:paraId="20E19A29">
            <w:pPr>
              <w:keepNext w:val="0"/>
              <w:keepLines w:val="0"/>
              <w:suppressLineNumbers w:val="0"/>
              <w:adjustRightInd w:val="0"/>
              <w:snapToGrid w:val="0"/>
              <w:spacing w:before="0" w:beforeAutospacing="0" w:after="0" w:afterAutospacing="0"/>
              <w:ind w:left="0" w:right="0"/>
              <w:jc w:val="center"/>
              <w:rPr>
                <w:rFonts w:hint="eastAsia"/>
                <w:sz w:val="24"/>
                <w:szCs w:val="20"/>
              </w:rPr>
            </w:pPr>
            <w:r>
              <w:rPr>
                <w:rFonts w:hint="eastAsia"/>
                <w:sz w:val="24"/>
                <w:szCs w:val="20"/>
              </w:rPr>
              <w:t>每笔交易1000元</w:t>
            </w:r>
          </w:p>
        </w:tc>
      </w:tr>
    </w:tbl>
    <w:p w14:paraId="2397E283">
      <w:pPr>
        <w:widowControl/>
        <w:adjustRightInd w:val="0"/>
        <w:snapToGrid w:val="0"/>
        <w:spacing w:line="360" w:lineRule="auto"/>
        <w:ind w:firstLine="480" w:firstLineChars="200"/>
        <w:rPr>
          <w:sz w:val="24"/>
        </w:rPr>
      </w:pPr>
      <w:r>
        <w:rPr>
          <w:sz w:val="24"/>
        </w:rPr>
        <w:t>（3）认购份额的计算</w:t>
      </w:r>
    </w:p>
    <w:p w14:paraId="0E0104B5">
      <w:pPr>
        <w:widowControl/>
        <w:adjustRightInd w:val="0"/>
        <w:snapToGrid w:val="0"/>
        <w:spacing w:line="360" w:lineRule="auto"/>
        <w:ind w:firstLine="480" w:firstLineChars="200"/>
        <w:rPr>
          <w:kern w:val="0"/>
          <w:sz w:val="24"/>
        </w:rPr>
      </w:pPr>
      <w:r>
        <w:rPr>
          <w:rFonts w:hint="eastAsia"/>
          <w:color w:val="000000"/>
          <w:kern w:val="0"/>
          <w:sz w:val="24"/>
        </w:rPr>
        <w:t>基金认购采用</w:t>
      </w:r>
      <w:r>
        <w:rPr>
          <w:sz w:val="24"/>
        </w:rPr>
        <w:t>金额</w:t>
      </w:r>
      <w:r>
        <w:rPr>
          <w:rFonts w:hint="eastAsia"/>
          <w:color w:val="000000"/>
          <w:kern w:val="0"/>
          <w:sz w:val="24"/>
        </w:rPr>
        <w:t>认购的方式。</w:t>
      </w:r>
    </w:p>
    <w:p w14:paraId="17D2E395">
      <w:pPr>
        <w:widowControl/>
        <w:adjustRightInd w:val="0"/>
        <w:snapToGrid w:val="0"/>
        <w:spacing w:line="360" w:lineRule="auto"/>
        <w:ind w:firstLine="480" w:firstLineChars="200"/>
        <w:rPr>
          <w:kern w:val="0"/>
          <w:sz w:val="24"/>
        </w:rPr>
      </w:pPr>
      <w:r>
        <w:rPr>
          <w:rFonts w:hint="eastAsia"/>
          <w:kern w:val="0"/>
          <w:sz w:val="24"/>
        </w:rPr>
        <w:t>1）A类基金份额的认购</w:t>
      </w:r>
    </w:p>
    <w:p w14:paraId="70020AB2">
      <w:pPr>
        <w:widowControl/>
        <w:adjustRightInd w:val="0"/>
        <w:snapToGrid w:val="0"/>
        <w:spacing w:line="360" w:lineRule="auto"/>
        <w:ind w:firstLine="480" w:firstLineChars="200"/>
        <w:rPr>
          <w:sz w:val="24"/>
        </w:rPr>
      </w:pPr>
      <w:r>
        <w:rPr>
          <w:rFonts w:hint="eastAsia"/>
          <w:color w:val="000000"/>
          <w:kern w:val="0"/>
          <w:sz w:val="24"/>
        </w:rPr>
        <w:t>基金的认购</w:t>
      </w:r>
      <w:r>
        <w:rPr>
          <w:sz w:val="24"/>
        </w:rPr>
        <w:t>金额</w:t>
      </w:r>
      <w:r>
        <w:rPr>
          <w:rFonts w:hint="eastAsia"/>
          <w:color w:val="000000"/>
          <w:kern w:val="0"/>
          <w:sz w:val="24"/>
        </w:rPr>
        <w:t>包括认购费用和净认购金额。计算公式为：</w:t>
      </w:r>
    </w:p>
    <w:p w14:paraId="2708CEDF">
      <w:pPr>
        <w:widowControl/>
        <w:adjustRightInd w:val="0"/>
        <w:snapToGrid w:val="0"/>
        <w:spacing w:line="360" w:lineRule="auto"/>
        <w:ind w:firstLine="480" w:firstLineChars="200"/>
        <w:rPr>
          <w:sz w:val="24"/>
        </w:rPr>
      </w:pPr>
      <w:r>
        <w:rPr>
          <w:sz w:val="24"/>
        </w:rPr>
        <w:t>认购总金额=申请总金额</w:t>
      </w:r>
    </w:p>
    <w:p w14:paraId="4B078888">
      <w:pPr>
        <w:widowControl/>
        <w:adjustRightInd w:val="0"/>
        <w:snapToGrid w:val="0"/>
        <w:spacing w:line="360" w:lineRule="auto"/>
        <w:ind w:firstLine="480" w:firstLineChars="200"/>
        <w:rPr>
          <w:sz w:val="24"/>
        </w:rPr>
      </w:pPr>
      <w:r>
        <w:rPr>
          <w:sz w:val="24"/>
        </w:rPr>
        <w:t>净认购金额=认购总金额/（1+认购费率）</w:t>
      </w:r>
    </w:p>
    <w:p w14:paraId="72B05628">
      <w:pPr>
        <w:widowControl/>
        <w:adjustRightInd w:val="0"/>
        <w:snapToGrid w:val="0"/>
        <w:spacing w:line="360" w:lineRule="auto"/>
        <w:ind w:firstLine="480" w:firstLineChars="200"/>
        <w:rPr>
          <w:sz w:val="24"/>
        </w:rPr>
      </w:pPr>
      <w:r>
        <w:rPr>
          <w:sz w:val="24"/>
        </w:rPr>
        <w:t>（注：</w:t>
      </w:r>
      <w:r>
        <w:rPr>
          <w:rFonts w:hint="eastAsia" w:ascii="宋体" w:hAnsi="宋体" w:cs="宋体"/>
          <w:sz w:val="24"/>
        </w:rPr>
        <w:t>①</w:t>
      </w:r>
      <w:r>
        <w:rPr>
          <w:sz w:val="24"/>
        </w:rPr>
        <w:t>对于适用固定金额认购费用的认购，净认购金额＝认购总金额－固定认购费用金额</w:t>
      </w:r>
      <w:r>
        <w:rPr>
          <w:rFonts w:hint="eastAsia"/>
          <w:sz w:val="24"/>
        </w:rPr>
        <w:t>；</w:t>
      </w:r>
      <w:r>
        <w:rPr>
          <w:rFonts w:hint="eastAsia" w:ascii="宋体" w:hAnsi="宋体" w:cs="宋体"/>
          <w:sz w:val="24"/>
        </w:rPr>
        <w:t>②</w:t>
      </w:r>
      <w:r>
        <w:rPr>
          <w:rFonts w:hint="eastAsia"/>
          <w:sz w:val="24"/>
        </w:rPr>
        <w:t>对于通过直销机构认购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sz w:val="24"/>
        </w:rPr>
        <w:t>基金份额的，认购费率均</w:t>
      </w:r>
      <w:r>
        <w:rPr>
          <w:rFonts w:hint="eastAsia" w:ascii="Times New Roman" w:hAnsi="Times New Roman"/>
          <w:sz w:val="24"/>
        </w:rPr>
        <w:t>为0</w:t>
      </w:r>
      <w:r>
        <w:rPr>
          <w:sz w:val="24"/>
        </w:rPr>
        <w:t>）</w:t>
      </w:r>
    </w:p>
    <w:p w14:paraId="2B0ED28F">
      <w:pPr>
        <w:widowControl/>
        <w:adjustRightInd w:val="0"/>
        <w:snapToGrid w:val="0"/>
        <w:spacing w:line="360" w:lineRule="auto"/>
        <w:ind w:firstLine="480" w:firstLineChars="200"/>
        <w:rPr>
          <w:sz w:val="24"/>
        </w:rPr>
      </w:pPr>
      <w:r>
        <w:rPr>
          <w:sz w:val="24"/>
        </w:rPr>
        <w:t>认购费用=认购总金额-净认购金额</w:t>
      </w:r>
    </w:p>
    <w:p w14:paraId="6F66DB86">
      <w:pPr>
        <w:widowControl/>
        <w:adjustRightInd w:val="0"/>
        <w:snapToGrid w:val="0"/>
        <w:spacing w:line="360" w:lineRule="auto"/>
        <w:ind w:firstLine="480" w:firstLineChars="200"/>
        <w:rPr>
          <w:sz w:val="24"/>
        </w:rPr>
      </w:pPr>
      <w:r>
        <w:rPr>
          <w:sz w:val="24"/>
        </w:rPr>
        <w:t>（注：对于适用固定金额认购费用的认购，认购费用＝固定认购费用金额）</w:t>
      </w:r>
    </w:p>
    <w:p w14:paraId="7758815D">
      <w:pPr>
        <w:widowControl/>
        <w:adjustRightInd w:val="0"/>
        <w:snapToGrid w:val="0"/>
        <w:spacing w:line="360" w:lineRule="auto"/>
        <w:ind w:firstLine="480" w:firstLineChars="200"/>
        <w:rPr>
          <w:sz w:val="24"/>
        </w:rPr>
      </w:pPr>
      <w:r>
        <w:rPr>
          <w:sz w:val="24"/>
        </w:rPr>
        <w:t>认购份额=净认购金额/基金份额初始面值+认购利息/基金份额初始面值</w:t>
      </w:r>
    </w:p>
    <w:p w14:paraId="69DAE5DB">
      <w:pPr>
        <w:widowControl/>
        <w:adjustRightInd w:val="0"/>
        <w:snapToGrid w:val="0"/>
        <w:spacing w:line="360" w:lineRule="auto"/>
        <w:ind w:firstLine="480" w:firstLineChars="200"/>
        <w:rPr>
          <w:sz w:val="24"/>
        </w:rPr>
      </w:pPr>
      <w:r>
        <w:rPr>
          <w:sz w:val="24"/>
        </w:rPr>
        <w:t>认购份额的计算</w:t>
      </w:r>
      <w:r>
        <w:rPr>
          <w:rFonts w:hint="eastAsia"/>
          <w:sz w:val="24"/>
        </w:rPr>
        <w:t>结果</w:t>
      </w:r>
      <w:r>
        <w:rPr>
          <w:sz w:val="24"/>
        </w:rPr>
        <w:t>保留到小数点后2位，小数点2位以后的部分四舍五入，由此误差产生的收益或损失由基金财产承担。</w:t>
      </w:r>
    </w:p>
    <w:p w14:paraId="5524291D">
      <w:pPr>
        <w:widowControl/>
        <w:adjustRightInd w:val="0"/>
        <w:snapToGrid w:val="0"/>
        <w:spacing w:line="360" w:lineRule="auto"/>
        <w:ind w:firstLine="480" w:firstLineChars="200"/>
        <w:rPr>
          <w:rFonts w:hint="eastAsia"/>
          <w:sz w:val="24"/>
        </w:rPr>
      </w:pPr>
      <w:r>
        <w:rPr>
          <w:rFonts w:hint="eastAsia"/>
          <w:sz w:val="24"/>
        </w:rPr>
        <w:t>例一：某投资者通过直销机构认购本基金A类基金份额100,000.00元，且该认购申请被全额确认，假定该笔认购金额产生的利息为10.00元，认购费率为0，则可认购基金份额为：</w:t>
      </w:r>
    </w:p>
    <w:p w14:paraId="0FC48E2C">
      <w:pPr>
        <w:widowControl/>
        <w:adjustRightInd w:val="0"/>
        <w:snapToGrid w:val="0"/>
        <w:spacing w:line="360" w:lineRule="auto"/>
        <w:ind w:firstLine="480" w:firstLineChars="200"/>
        <w:rPr>
          <w:rFonts w:hint="eastAsia"/>
          <w:sz w:val="24"/>
        </w:rPr>
      </w:pPr>
      <w:r>
        <w:rPr>
          <w:rFonts w:hint="eastAsia"/>
          <w:sz w:val="24"/>
        </w:rPr>
        <w:t>认购总金额=100,000.00元</w:t>
      </w:r>
    </w:p>
    <w:p w14:paraId="32E8F414">
      <w:pPr>
        <w:widowControl/>
        <w:adjustRightInd w:val="0"/>
        <w:snapToGrid w:val="0"/>
        <w:spacing w:line="360" w:lineRule="auto"/>
        <w:ind w:firstLine="480" w:firstLineChars="200"/>
        <w:rPr>
          <w:rFonts w:hint="eastAsia"/>
          <w:sz w:val="24"/>
        </w:rPr>
      </w:pPr>
      <w:r>
        <w:rPr>
          <w:rFonts w:hint="eastAsia"/>
          <w:sz w:val="24"/>
        </w:rPr>
        <w:t>净认购金额＝100,000.00/（1＋0）＝100,000.00元</w:t>
      </w:r>
    </w:p>
    <w:p w14:paraId="7CEC7928">
      <w:pPr>
        <w:widowControl/>
        <w:adjustRightInd w:val="0"/>
        <w:snapToGrid w:val="0"/>
        <w:spacing w:line="360" w:lineRule="auto"/>
        <w:ind w:firstLine="480" w:firstLineChars="200"/>
        <w:rPr>
          <w:rFonts w:hint="eastAsia"/>
          <w:sz w:val="24"/>
        </w:rPr>
      </w:pPr>
      <w:r>
        <w:rPr>
          <w:rFonts w:hint="eastAsia"/>
          <w:sz w:val="24"/>
        </w:rPr>
        <w:t>认购费用＝100,000.00-100,000.00=0.00元</w:t>
      </w:r>
    </w:p>
    <w:p w14:paraId="63536C66">
      <w:pPr>
        <w:widowControl/>
        <w:adjustRightInd w:val="0"/>
        <w:snapToGrid w:val="0"/>
        <w:spacing w:line="360" w:lineRule="auto"/>
        <w:ind w:firstLine="480" w:firstLineChars="200"/>
        <w:rPr>
          <w:rFonts w:hint="eastAsia"/>
          <w:sz w:val="24"/>
        </w:rPr>
      </w:pPr>
      <w:r>
        <w:rPr>
          <w:rFonts w:hint="eastAsia"/>
          <w:sz w:val="24"/>
        </w:rPr>
        <w:t>认购份额＝100,000.00/1.00＋10.00/1.00＝100,010.00份</w:t>
      </w:r>
    </w:p>
    <w:p w14:paraId="7CBA0451">
      <w:pPr>
        <w:widowControl/>
        <w:adjustRightInd w:val="0"/>
        <w:snapToGrid w:val="0"/>
        <w:spacing w:line="360" w:lineRule="auto"/>
        <w:ind w:firstLine="480" w:firstLineChars="200"/>
        <w:rPr>
          <w:rFonts w:hint="eastAsia"/>
          <w:sz w:val="24"/>
        </w:rPr>
      </w:pPr>
      <w:r>
        <w:rPr>
          <w:rFonts w:hint="eastAsia"/>
          <w:sz w:val="24"/>
        </w:rPr>
        <w:t>即：若该投资者通过直销机构认购本基金A类基金份额100,000.00元，且该认购申请被全额确认，假定该笔认购金额产生的利息为10.00元，则可得到100,010.00份A类基金份额。</w:t>
      </w:r>
    </w:p>
    <w:p w14:paraId="2317D67C">
      <w:pPr>
        <w:widowControl/>
        <w:adjustRightInd w:val="0"/>
        <w:snapToGrid w:val="0"/>
        <w:spacing w:line="360" w:lineRule="auto"/>
        <w:ind w:firstLine="480" w:firstLineChars="200"/>
        <w:rPr>
          <w:rFonts w:hint="eastAsia"/>
          <w:sz w:val="24"/>
        </w:rPr>
      </w:pPr>
      <w:r>
        <w:rPr>
          <w:rFonts w:hint="eastAsia"/>
          <w:sz w:val="24"/>
        </w:rPr>
        <w:t>例二：某投资者通过其他销售机构投资100,000.00元认购本基金A类基金份额，且该认购申请被全额确认，所对应的认购费率为0.3%。假定该笔认购金额产生利息50.00元。则认购份额为：</w:t>
      </w:r>
    </w:p>
    <w:p w14:paraId="383706CB">
      <w:pPr>
        <w:widowControl/>
        <w:adjustRightInd w:val="0"/>
        <w:snapToGrid w:val="0"/>
        <w:spacing w:line="360" w:lineRule="auto"/>
        <w:ind w:firstLine="480" w:firstLineChars="200"/>
        <w:rPr>
          <w:rFonts w:hint="eastAsia"/>
          <w:sz w:val="24"/>
        </w:rPr>
      </w:pPr>
      <w:r>
        <w:rPr>
          <w:rFonts w:hint="eastAsia"/>
          <w:sz w:val="24"/>
        </w:rPr>
        <w:t>认购总金额＝100,000.00元</w:t>
      </w:r>
    </w:p>
    <w:p w14:paraId="21D9AC1B">
      <w:pPr>
        <w:widowControl/>
        <w:adjustRightInd w:val="0"/>
        <w:snapToGrid w:val="0"/>
        <w:spacing w:line="360" w:lineRule="auto"/>
        <w:ind w:firstLine="480" w:firstLineChars="200"/>
        <w:rPr>
          <w:rFonts w:hint="eastAsia"/>
          <w:sz w:val="24"/>
        </w:rPr>
      </w:pPr>
      <w:r>
        <w:rPr>
          <w:rFonts w:hint="eastAsia"/>
          <w:sz w:val="24"/>
        </w:rPr>
        <w:t>净认购金额＝100,000.00/（1＋0.3%）＝99,700.90元</w:t>
      </w:r>
    </w:p>
    <w:p w14:paraId="0E8A576A">
      <w:pPr>
        <w:widowControl/>
        <w:adjustRightInd w:val="0"/>
        <w:snapToGrid w:val="0"/>
        <w:spacing w:line="360" w:lineRule="auto"/>
        <w:ind w:firstLine="480" w:firstLineChars="200"/>
        <w:rPr>
          <w:rFonts w:hint="eastAsia"/>
          <w:sz w:val="24"/>
        </w:rPr>
      </w:pPr>
      <w:r>
        <w:rPr>
          <w:rFonts w:hint="eastAsia"/>
          <w:sz w:val="24"/>
        </w:rPr>
        <w:t>认购费用＝100,000.00－99,700.90＝299.10元</w:t>
      </w:r>
    </w:p>
    <w:p w14:paraId="73BEDCAE">
      <w:pPr>
        <w:widowControl/>
        <w:adjustRightInd w:val="0"/>
        <w:snapToGrid w:val="0"/>
        <w:spacing w:line="360" w:lineRule="auto"/>
        <w:ind w:firstLine="480" w:firstLineChars="200"/>
        <w:rPr>
          <w:rFonts w:hint="eastAsia"/>
          <w:sz w:val="24"/>
        </w:rPr>
      </w:pPr>
      <w:r>
        <w:rPr>
          <w:rFonts w:hint="eastAsia"/>
          <w:sz w:val="24"/>
        </w:rPr>
        <w:t>认购份额＝99,700.90/1.00＋50.00/1.00＝99,750.90份</w:t>
      </w:r>
    </w:p>
    <w:p w14:paraId="058A251D">
      <w:pPr>
        <w:widowControl/>
        <w:adjustRightInd w:val="0"/>
        <w:snapToGrid w:val="0"/>
        <w:spacing w:line="360" w:lineRule="auto"/>
        <w:ind w:firstLine="480" w:firstLineChars="200"/>
        <w:rPr>
          <w:sz w:val="24"/>
        </w:rPr>
      </w:pPr>
      <w:r>
        <w:rPr>
          <w:rFonts w:hint="eastAsia"/>
          <w:sz w:val="24"/>
        </w:rPr>
        <w:t>即：若该投资者通过其他销售机构投资100,000.00元认购本基金A类基金份额，且该认购申请被全额确认，假定该笔认购金额产生利息50.00元，可得到99,750.90份A类基金份额。</w:t>
      </w:r>
    </w:p>
    <w:p w14:paraId="0C538616">
      <w:pPr>
        <w:widowControl/>
        <w:adjustRightInd w:val="0"/>
        <w:snapToGrid w:val="0"/>
        <w:spacing w:line="360" w:lineRule="auto"/>
        <w:ind w:firstLine="480" w:firstLineChars="200"/>
        <w:rPr>
          <w:sz w:val="24"/>
        </w:rPr>
      </w:pPr>
      <w:r>
        <w:rPr>
          <w:rFonts w:hint="eastAsia"/>
          <w:sz w:val="24"/>
        </w:rPr>
        <w:t>2）C类基金份额的认购</w:t>
      </w:r>
    </w:p>
    <w:p w14:paraId="583CFA04">
      <w:pPr>
        <w:widowControl/>
        <w:adjustRightInd w:val="0"/>
        <w:snapToGrid w:val="0"/>
        <w:spacing w:line="360" w:lineRule="auto"/>
        <w:ind w:firstLine="480" w:firstLineChars="200"/>
        <w:rPr>
          <w:sz w:val="24"/>
        </w:rPr>
      </w:pPr>
      <w:r>
        <w:rPr>
          <w:rFonts w:hint="eastAsia"/>
          <w:sz w:val="24"/>
        </w:rPr>
        <w:t>如果投资者选择认购本基金的C类基金份额，则认购份额的计算方式如下：</w:t>
      </w:r>
    </w:p>
    <w:p w14:paraId="048837D3">
      <w:pPr>
        <w:widowControl/>
        <w:adjustRightInd w:val="0"/>
        <w:snapToGrid w:val="0"/>
        <w:spacing w:line="360" w:lineRule="auto"/>
        <w:ind w:firstLine="480" w:firstLineChars="200"/>
        <w:rPr>
          <w:sz w:val="24"/>
        </w:rPr>
      </w:pPr>
      <w:r>
        <w:rPr>
          <w:rFonts w:hint="eastAsia"/>
          <w:sz w:val="24"/>
        </w:rPr>
        <w:t>认购总金额=申请总金额</w:t>
      </w:r>
    </w:p>
    <w:p w14:paraId="5175CCB5">
      <w:pPr>
        <w:widowControl/>
        <w:adjustRightInd w:val="0"/>
        <w:snapToGrid w:val="0"/>
        <w:spacing w:line="360" w:lineRule="auto"/>
        <w:ind w:firstLine="480" w:firstLineChars="200"/>
        <w:rPr>
          <w:sz w:val="24"/>
        </w:rPr>
      </w:pPr>
      <w:r>
        <w:rPr>
          <w:rFonts w:hint="eastAsia"/>
          <w:sz w:val="24"/>
        </w:rPr>
        <w:t>认购份额=认购总金额/基金份额初始面值＋认购利息/基金份额初始面值</w:t>
      </w:r>
    </w:p>
    <w:p w14:paraId="381EA6DE">
      <w:pPr>
        <w:widowControl/>
        <w:adjustRightInd w:val="0"/>
        <w:snapToGrid w:val="0"/>
        <w:spacing w:line="360" w:lineRule="auto"/>
        <w:ind w:firstLine="480" w:firstLineChars="200"/>
        <w:rPr>
          <w:sz w:val="24"/>
        </w:rPr>
      </w:pPr>
      <w:r>
        <w:rPr>
          <w:rFonts w:hint="eastAsia"/>
          <w:sz w:val="24"/>
        </w:rPr>
        <w:t>认购份额的计算结果保留到小数点后2位，小数点2位以后的部分四舍五入，由此误差产生的收益或损失由基金财产承担，产生的收益归基金财产所有。</w:t>
      </w:r>
    </w:p>
    <w:p w14:paraId="5B507CF9">
      <w:pPr>
        <w:widowControl/>
        <w:adjustRightInd w:val="0"/>
        <w:snapToGrid w:val="0"/>
        <w:spacing w:line="360" w:lineRule="auto"/>
        <w:ind w:firstLine="480" w:firstLineChars="200"/>
        <w:rPr>
          <w:sz w:val="24"/>
        </w:rPr>
      </w:pPr>
      <w:r>
        <w:rPr>
          <w:rFonts w:hint="eastAsia"/>
          <w:sz w:val="24"/>
        </w:rPr>
        <w:t>例三：某投资者认购本基金C类基金份额100,000.00元，且该认购申请被全额确认。假定该笔认购金额产生利息50.00元。则认购份额为：</w:t>
      </w:r>
    </w:p>
    <w:p w14:paraId="66F6B59F">
      <w:pPr>
        <w:widowControl/>
        <w:adjustRightInd w:val="0"/>
        <w:snapToGrid w:val="0"/>
        <w:spacing w:line="360" w:lineRule="auto"/>
        <w:ind w:firstLine="480" w:firstLineChars="200"/>
        <w:rPr>
          <w:sz w:val="24"/>
        </w:rPr>
      </w:pPr>
      <w:r>
        <w:rPr>
          <w:rFonts w:hint="eastAsia"/>
          <w:sz w:val="24"/>
        </w:rPr>
        <w:t>认购总金额=100,000.00元</w:t>
      </w:r>
    </w:p>
    <w:p w14:paraId="4A6BB945">
      <w:pPr>
        <w:widowControl/>
        <w:adjustRightInd w:val="0"/>
        <w:snapToGrid w:val="0"/>
        <w:spacing w:line="360" w:lineRule="auto"/>
        <w:ind w:firstLine="480" w:firstLineChars="200"/>
        <w:rPr>
          <w:sz w:val="24"/>
        </w:rPr>
      </w:pPr>
      <w:r>
        <w:rPr>
          <w:rFonts w:hint="eastAsia"/>
          <w:sz w:val="24"/>
        </w:rPr>
        <w:t>认购份额＝100,000.00/1.00＋50.00/1.00＝100,050.00份</w:t>
      </w:r>
    </w:p>
    <w:p w14:paraId="16B37EFC">
      <w:pPr>
        <w:widowControl/>
        <w:adjustRightInd w:val="0"/>
        <w:snapToGrid w:val="0"/>
        <w:spacing w:line="360" w:lineRule="auto"/>
        <w:ind w:firstLine="480" w:firstLineChars="200"/>
        <w:rPr>
          <w:sz w:val="24"/>
        </w:rPr>
      </w:pPr>
      <w:r>
        <w:rPr>
          <w:rFonts w:hint="eastAsia"/>
          <w:sz w:val="24"/>
        </w:rPr>
        <w:t>即：若该投资者投资100,000.00元认购本基金C类基金份额，且该认购申请被全额确认。假定该笔认购金额产生利息50.00元，可得到100,050.00份C类基金份额。</w:t>
      </w:r>
    </w:p>
    <w:p w14:paraId="7130F8F2">
      <w:pPr>
        <w:adjustRightInd w:val="0"/>
        <w:snapToGrid w:val="0"/>
        <w:spacing w:line="360" w:lineRule="auto"/>
        <w:ind w:firstLine="480" w:firstLineChars="200"/>
        <w:rPr>
          <w:sz w:val="24"/>
        </w:rPr>
      </w:pPr>
      <w:r>
        <w:rPr>
          <w:sz w:val="24"/>
        </w:rPr>
        <w:t>4、认购的程序</w:t>
      </w:r>
    </w:p>
    <w:p w14:paraId="526D51B3">
      <w:pPr>
        <w:adjustRightInd w:val="0"/>
        <w:snapToGrid w:val="0"/>
        <w:spacing w:line="360" w:lineRule="auto"/>
        <w:ind w:firstLine="480" w:firstLineChars="200"/>
        <w:rPr>
          <w:sz w:val="24"/>
        </w:rPr>
      </w:pPr>
      <w:r>
        <w:rPr>
          <w:sz w:val="24"/>
        </w:rPr>
        <w:t>（1）申请方式：书面申请或基金管理人公告的其他方式。</w:t>
      </w:r>
    </w:p>
    <w:p w14:paraId="6D39A9B1">
      <w:pPr>
        <w:adjustRightInd w:val="0"/>
        <w:snapToGrid w:val="0"/>
        <w:spacing w:line="360" w:lineRule="auto"/>
        <w:ind w:firstLine="480" w:firstLineChars="200"/>
        <w:rPr>
          <w:sz w:val="24"/>
        </w:rPr>
      </w:pPr>
      <w:r>
        <w:rPr>
          <w:sz w:val="24"/>
        </w:rPr>
        <w:t>（2）认购款项支付：投资人认购时，采用全额缴款方式。</w:t>
      </w:r>
    </w:p>
    <w:p w14:paraId="6BC2F050">
      <w:pPr>
        <w:widowControl/>
        <w:adjustRightInd w:val="0"/>
        <w:snapToGrid w:val="0"/>
        <w:spacing w:line="360" w:lineRule="auto"/>
        <w:ind w:firstLine="480" w:firstLineChars="200"/>
        <w:rPr>
          <w:sz w:val="24"/>
          <w:szCs w:val="21"/>
        </w:rPr>
      </w:pPr>
      <w:r>
        <w:rPr>
          <w:sz w:val="24"/>
          <w:szCs w:val="21"/>
        </w:rPr>
        <w:t>5、认购的确认</w:t>
      </w:r>
    </w:p>
    <w:p w14:paraId="09087F05">
      <w:pPr>
        <w:widowControl/>
        <w:adjustRightInd w:val="0"/>
        <w:snapToGrid w:val="0"/>
        <w:spacing w:line="360" w:lineRule="auto"/>
        <w:ind w:firstLine="480" w:firstLineChars="200"/>
        <w:rPr>
          <w:sz w:val="24"/>
          <w:szCs w:val="21"/>
        </w:rPr>
      </w:pPr>
      <w:r>
        <w:rPr>
          <w:sz w:val="24"/>
          <w:szCs w:val="21"/>
        </w:rPr>
        <w:t>当日（T日）在规定时间内提交的申请，投资人通常可在T+2日后（包括该日）到</w:t>
      </w:r>
      <w:r>
        <w:rPr>
          <w:rFonts w:hint="eastAsia"/>
          <w:sz w:val="24"/>
          <w:szCs w:val="21"/>
        </w:rPr>
        <w:t>销售</w:t>
      </w:r>
      <w:r>
        <w:rPr>
          <w:sz w:val="24"/>
          <w:szCs w:val="21"/>
        </w:rPr>
        <w:t>网点查询交易情况。</w:t>
      </w:r>
      <w:r>
        <w:rPr>
          <w:rFonts w:hint="eastAsia"/>
          <w:sz w:val="24"/>
          <w:szCs w:val="21"/>
        </w:rPr>
        <w:t>销售机构对认购申请的受理并不代表该申请一定成功，而仅代表销售机构确实接收到认购申请。认购的确认以登记机构的确认结果为准</w:t>
      </w:r>
      <w:r>
        <w:rPr>
          <w:sz w:val="24"/>
          <w:szCs w:val="21"/>
        </w:rPr>
        <w:t>。</w:t>
      </w:r>
      <w:r>
        <w:rPr>
          <w:rFonts w:hAnsi="宋体"/>
          <w:sz w:val="24"/>
        </w:rPr>
        <w:t>对于认购申请及认购份额的确认情况，投资人应及时查询。</w:t>
      </w:r>
      <w:r>
        <w:rPr>
          <w:sz w:val="24"/>
          <w:szCs w:val="21"/>
        </w:rPr>
        <w:t>投资人可以在基金合同生效后到原认购网点打印认购成交确认凭证。</w:t>
      </w:r>
    </w:p>
    <w:p w14:paraId="2C563D50">
      <w:pPr>
        <w:widowControl/>
        <w:adjustRightInd w:val="0"/>
        <w:snapToGrid w:val="0"/>
        <w:spacing w:line="360" w:lineRule="auto"/>
        <w:ind w:firstLine="480" w:firstLineChars="200"/>
        <w:rPr>
          <w:sz w:val="24"/>
          <w:szCs w:val="21"/>
        </w:rPr>
      </w:pPr>
      <w:r>
        <w:rPr>
          <w:sz w:val="24"/>
          <w:szCs w:val="21"/>
        </w:rPr>
        <w:t>投资人开户和认购所需提交的文件和办理的具体程序，请参阅基金份额发售公告。</w:t>
      </w:r>
    </w:p>
    <w:p w14:paraId="7C0FBFC0">
      <w:pPr>
        <w:widowControl/>
        <w:adjustRightInd w:val="0"/>
        <w:snapToGrid w:val="0"/>
        <w:spacing w:line="360" w:lineRule="auto"/>
        <w:ind w:firstLine="480" w:firstLineChars="200"/>
        <w:rPr>
          <w:sz w:val="24"/>
          <w:szCs w:val="21"/>
        </w:rPr>
      </w:pPr>
      <w:r>
        <w:rPr>
          <w:sz w:val="24"/>
          <w:szCs w:val="21"/>
        </w:rPr>
        <w:t>6、募集期利息的处理方式</w:t>
      </w:r>
    </w:p>
    <w:p w14:paraId="0AC94037">
      <w:pPr>
        <w:widowControl/>
        <w:adjustRightInd w:val="0"/>
        <w:snapToGrid w:val="0"/>
        <w:spacing w:line="360" w:lineRule="auto"/>
        <w:ind w:firstLine="480" w:firstLineChars="200"/>
        <w:rPr>
          <w:sz w:val="24"/>
          <w:szCs w:val="21"/>
        </w:rPr>
      </w:pPr>
      <w:r>
        <w:rPr>
          <w:sz w:val="24"/>
          <w:szCs w:val="21"/>
        </w:rPr>
        <w:t>本基金基金合同生效前，投资人的有效认购款项只能存入专门账户，任何人不得动用。有效认购款项在募集期间产生的利息将折算为</w:t>
      </w:r>
      <w:r>
        <w:rPr>
          <w:rFonts w:hint="eastAsia"/>
          <w:bCs/>
          <w:sz w:val="24"/>
        </w:rPr>
        <w:t>相应类别</w:t>
      </w:r>
      <w:r>
        <w:rPr>
          <w:sz w:val="24"/>
          <w:szCs w:val="21"/>
        </w:rPr>
        <w:t>基金份额归基金份额持有人所有。</w:t>
      </w:r>
    </w:p>
    <w:p w14:paraId="13F24554">
      <w:pPr>
        <w:adjustRightInd w:val="0"/>
        <w:snapToGrid w:val="0"/>
        <w:spacing w:line="360" w:lineRule="auto"/>
        <w:ind w:firstLine="480" w:firstLineChars="20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7" w:name="_Hlt91264042"/>
      <w:bookmarkEnd w:id="17"/>
      <w:bookmarkStart w:id="18" w:name="_Hlt91264078"/>
      <w:bookmarkEnd w:id="18"/>
      <w:bookmarkStart w:id="19" w:name="_Hlt90801570"/>
      <w:bookmarkEnd w:id="19"/>
      <w:bookmarkStart w:id="20" w:name="_Hlt90455312"/>
      <w:bookmarkEnd w:id="20"/>
      <w:bookmarkStart w:id="21" w:name="_Hlt91148053"/>
      <w:bookmarkEnd w:id="21"/>
      <w:bookmarkStart w:id="22" w:name="_Toc109537384"/>
      <w:r>
        <w:rPr>
          <w:sz w:val="24"/>
          <w:szCs w:val="21"/>
        </w:rPr>
        <w:t>。</w:t>
      </w:r>
    </w:p>
    <w:p w14:paraId="131492B9">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23" w:name="_Toc50983775"/>
      <w:bookmarkStart w:id="24" w:name="_Hlk120802662"/>
      <w:r>
        <w:rPr>
          <w:rFonts w:hint="eastAsia" w:ascii="宋体" w:hAnsi="宋体"/>
          <w:b/>
          <w:kern w:val="0"/>
          <w:sz w:val="30"/>
        </w:rPr>
        <w:t>七、基金合同的生效</w:t>
      </w:r>
      <w:bookmarkEnd w:id="23"/>
    </w:p>
    <w:bookmarkEnd w:id="22"/>
    <w:p w14:paraId="5D906C1F">
      <w:pPr>
        <w:pStyle w:val="4"/>
        <w:autoSpaceDE w:val="0"/>
        <w:autoSpaceDN w:val="0"/>
        <w:adjustRightInd w:val="0"/>
        <w:snapToGrid w:val="0"/>
        <w:spacing w:line="360" w:lineRule="auto"/>
        <w:ind w:firstLine="482"/>
        <w:rPr>
          <w:b/>
          <w:sz w:val="24"/>
        </w:rPr>
      </w:pPr>
      <w:bookmarkStart w:id="25" w:name="_Hlt88901074"/>
      <w:bookmarkEnd w:id="25"/>
      <w:bookmarkStart w:id="26" w:name="_Toc57530272"/>
      <w:bookmarkStart w:id="27" w:name="_Toc15118260"/>
      <w:bookmarkStart w:id="28" w:name="_Toc79392603"/>
      <w:bookmarkStart w:id="29" w:name="_Toc109537386"/>
      <w:bookmarkStart w:id="30" w:name="_Hlk120873475"/>
      <w:r>
        <w:rPr>
          <w:rFonts w:hAnsi="宋体"/>
          <w:b/>
          <w:sz w:val="24"/>
        </w:rPr>
        <w:t>（一）基金备案的条件</w:t>
      </w:r>
    </w:p>
    <w:p w14:paraId="4BD049C6">
      <w:pPr>
        <w:pStyle w:val="4"/>
        <w:autoSpaceDE w:val="0"/>
        <w:autoSpaceDN w:val="0"/>
        <w:adjustRightInd w:val="0"/>
        <w:snapToGrid w:val="0"/>
        <w:spacing w:line="360" w:lineRule="auto"/>
        <w:ind w:firstLine="480"/>
        <w:rPr>
          <w:rFonts w:hAnsi="宋体"/>
          <w:sz w:val="24"/>
        </w:rPr>
      </w:pPr>
      <w:r>
        <w:rPr>
          <w:rFonts w:hint="eastAsia" w:hAnsi="宋体"/>
          <w:sz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933D77C">
      <w:pPr>
        <w:adjustRightInd w:val="0"/>
        <w:snapToGrid w:val="0"/>
        <w:spacing w:line="360" w:lineRule="auto"/>
        <w:ind w:firstLine="480" w:firstLineChars="200"/>
        <w:rPr>
          <w:rFonts w:hAnsi="宋体"/>
          <w:sz w:val="24"/>
        </w:rPr>
      </w:pPr>
      <w:r>
        <w:rPr>
          <w:rFonts w:hint="eastAsia"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05BD3B0">
      <w:pPr>
        <w:adjustRightInd w:val="0"/>
        <w:snapToGrid w:val="0"/>
        <w:spacing w:line="360" w:lineRule="auto"/>
        <w:ind w:firstLine="482" w:firstLineChars="200"/>
        <w:rPr>
          <w:bCs/>
          <w:sz w:val="24"/>
        </w:rPr>
      </w:pPr>
      <w:r>
        <w:rPr>
          <w:rFonts w:hAnsi="宋体"/>
          <w:b/>
          <w:sz w:val="24"/>
        </w:rPr>
        <w:t>（二）</w:t>
      </w:r>
      <w:r>
        <w:rPr>
          <w:b/>
          <w:bCs/>
          <w:sz w:val="24"/>
        </w:rPr>
        <w:t>基金合同不能生效时募集资金的处理方式</w:t>
      </w:r>
    </w:p>
    <w:p w14:paraId="5F029B2A">
      <w:pPr>
        <w:adjustRightInd w:val="0"/>
        <w:snapToGrid w:val="0"/>
        <w:spacing w:line="360" w:lineRule="auto"/>
        <w:ind w:firstLine="480" w:firstLineChars="200"/>
        <w:rPr>
          <w:rFonts w:hAnsi="宋体"/>
          <w:sz w:val="24"/>
        </w:rPr>
      </w:pPr>
      <w:r>
        <w:rPr>
          <w:rFonts w:hint="eastAsia" w:hAnsi="宋体"/>
          <w:sz w:val="24"/>
        </w:rPr>
        <w:t>如果募集期限届满，未满足基金备案条件，基金管理人应当承担下列责任：</w:t>
      </w:r>
    </w:p>
    <w:p w14:paraId="4C40F359">
      <w:pPr>
        <w:adjustRightInd w:val="0"/>
        <w:snapToGrid w:val="0"/>
        <w:spacing w:line="360" w:lineRule="auto"/>
        <w:ind w:firstLine="480" w:firstLineChars="200"/>
        <w:rPr>
          <w:rFonts w:hAnsi="宋体"/>
          <w:sz w:val="24"/>
        </w:rPr>
      </w:pPr>
      <w:r>
        <w:rPr>
          <w:rFonts w:hint="eastAsia" w:hAnsi="宋体"/>
          <w:sz w:val="24"/>
        </w:rPr>
        <w:t>1、以其固有财产承担因募集行为而产生的债务和费用；</w:t>
      </w:r>
    </w:p>
    <w:p w14:paraId="60051D4F">
      <w:pPr>
        <w:adjustRightInd w:val="0"/>
        <w:snapToGrid w:val="0"/>
        <w:spacing w:line="360" w:lineRule="auto"/>
        <w:ind w:firstLine="480" w:firstLineChars="200"/>
        <w:rPr>
          <w:rFonts w:hAnsi="宋体"/>
          <w:sz w:val="24"/>
        </w:rPr>
      </w:pPr>
      <w:r>
        <w:rPr>
          <w:rFonts w:hint="eastAsia" w:hAnsi="宋体"/>
          <w:sz w:val="24"/>
        </w:rPr>
        <w:t>2、在基金募集期限届满后30日内返还投资者已缴纳的款项，并加计银行同期活期存款利息；</w:t>
      </w:r>
    </w:p>
    <w:p w14:paraId="08A1DED7">
      <w:pPr>
        <w:adjustRightInd w:val="0"/>
        <w:snapToGrid w:val="0"/>
        <w:spacing w:line="360" w:lineRule="auto"/>
        <w:ind w:firstLine="480" w:firstLineChars="200"/>
        <w:rPr>
          <w:rFonts w:hAnsi="宋体"/>
          <w:sz w:val="24"/>
        </w:rPr>
      </w:pPr>
      <w:r>
        <w:rPr>
          <w:rFonts w:hint="eastAsia" w:hAnsi="宋体"/>
          <w:sz w:val="24"/>
        </w:rPr>
        <w:t>3、如基金募集失败，基金管理人、基金托管人及销售机构不得请求报酬。基金管理人、基金托管人和销售机构为基金募集支付之一切费用应由各方各自承担。</w:t>
      </w:r>
    </w:p>
    <w:p w14:paraId="200B25FB">
      <w:pPr>
        <w:adjustRightInd w:val="0"/>
        <w:snapToGrid w:val="0"/>
        <w:spacing w:line="360" w:lineRule="auto"/>
        <w:ind w:firstLine="482" w:firstLineChars="200"/>
        <w:rPr>
          <w:b/>
          <w:sz w:val="24"/>
        </w:rPr>
      </w:pPr>
      <w:r>
        <w:rPr>
          <w:rFonts w:hAnsi="宋体"/>
          <w:b/>
          <w:sz w:val="24"/>
        </w:rPr>
        <w:t>（三）基金存续期内的基金份额持有人数量和资产规模</w:t>
      </w:r>
    </w:p>
    <w:bookmarkEnd w:id="26"/>
    <w:bookmarkEnd w:id="27"/>
    <w:bookmarkEnd w:id="28"/>
    <w:p w14:paraId="71F37BD5">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《基金合同》生效后，连续20个工作日出现基金份额持有人数量不满200人或者基金资产净值低于5000万元情形的，基金管理人应当在定期报告中予以披露；</w:t>
      </w:r>
      <w:r>
        <w:rPr>
          <w:rFonts w:hint="eastAsia"/>
          <w:bCs/>
          <w:sz w:val="24"/>
        </w:rPr>
        <w:t>连续60个工作日出现前述情形的，基金管理人应当在10个工作日内向中国证监会报告并提出解决方案，如持续运作、转换运作方式、与其他基金合并或者终止基金合同等，并在6个月内召集基金份额持有人大会。</w:t>
      </w:r>
    </w:p>
    <w:p w14:paraId="25EA69A2">
      <w:pPr>
        <w:widowControl/>
        <w:adjustRightInd w:val="0"/>
        <w:snapToGrid w:val="0"/>
        <w:spacing w:line="360" w:lineRule="auto"/>
        <w:ind w:firstLine="482"/>
        <w:rPr>
          <w:rFonts w:ascii="宋体" w:hAnsi="宋体"/>
          <w:kern w:val="0"/>
          <w:sz w:val="24"/>
          <w:szCs w:val="24"/>
        </w:rPr>
      </w:pPr>
      <w:r>
        <w:rPr>
          <w:rFonts w:hint="eastAsia" w:ascii="宋体" w:hAnsi="宋体"/>
          <w:kern w:val="0"/>
          <w:sz w:val="24"/>
          <w:szCs w:val="24"/>
        </w:rPr>
        <w:t>法律法规或中国证监会另有规定时，从其规定。</w:t>
      </w:r>
    </w:p>
    <w:p w14:paraId="59316D8A"/>
    <w:p w14:paraId="59573952">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24"/>
      <w:bookmarkStart w:id="31" w:name="_Toc50983776"/>
      <w:bookmarkStart w:id="32" w:name="_Hlk120803999"/>
      <w:r>
        <w:rPr>
          <w:rFonts w:hint="eastAsia" w:ascii="宋体" w:hAnsi="宋体"/>
          <w:b/>
          <w:kern w:val="0"/>
          <w:sz w:val="30"/>
        </w:rPr>
        <w:t>八、基金份额的申购与赎回</w:t>
      </w:r>
      <w:bookmarkEnd w:id="29"/>
      <w:bookmarkEnd w:id="31"/>
    </w:p>
    <w:p w14:paraId="1F85BE9D">
      <w:pPr>
        <w:widowControl/>
        <w:adjustRightInd w:val="0"/>
        <w:snapToGrid w:val="0"/>
        <w:spacing w:line="360" w:lineRule="auto"/>
        <w:ind w:firstLine="482" w:firstLineChars="200"/>
        <w:rPr>
          <w:b/>
          <w:kern w:val="0"/>
          <w:sz w:val="24"/>
          <w:szCs w:val="24"/>
        </w:rPr>
      </w:pPr>
      <w:r>
        <w:rPr>
          <w:rFonts w:hAnsi="宋体"/>
          <w:b/>
          <w:kern w:val="0"/>
          <w:sz w:val="24"/>
          <w:szCs w:val="24"/>
        </w:rPr>
        <w:t>（一）申购和赎回的场所</w:t>
      </w:r>
    </w:p>
    <w:p w14:paraId="673B6AD2">
      <w:pPr>
        <w:pStyle w:val="4"/>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14:paraId="6DFAEF91">
      <w:pPr>
        <w:pStyle w:val="4"/>
        <w:autoSpaceDE w:val="0"/>
        <w:autoSpaceDN w:val="0"/>
        <w:adjustRightInd w:val="0"/>
        <w:snapToGrid w:val="0"/>
        <w:spacing w:line="360" w:lineRule="auto"/>
        <w:ind w:firstLine="480"/>
        <w:rPr>
          <w:sz w:val="24"/>
          <w:szCs w:val="24"/>
        </w:rPr>
      </w:pPr>
      <w:r>
        <w:rPr>
          <w:sz w:val="24"/>
          <w:szCs w:val="24"/>
        </w:rPr>
        <w:t>1</w:t>
      </w:r>
      <w:r>
        <w:rPr>
          <w:rFonts w:hAnsi="宋体"/>
          <w:sz w:val="24"/>
          <w:szCs w:val="24"/>
        </w:rPr>
        <w:t>、本基金管理人的直销机构</w:t>
      </w:r>
    </w:p>
    <w:p w14:paraId="33225FCA">
      <w:pPr>
        <w:widowControl/>
        <w:adjustRightInd w:val="0"/>
        <w:snapToGrid w:val="0"/>
        <w:spacing w:line="360" w:lineRule="auto"/>
        <w:ind w:firstLine="480" w:firstLineChars="200"/>
        <w:rPr>
          <w:kern w:val="0"/>
          <w:sz w:val="24"/>
          <w:szCs w:val="24"/>
        </w:rPr>
      </w:pPr>
      <w:r>
        <w:rPr>
          <w:rFonts w:hAnsi="宋体"/>
          <w:kern w:val="0"/>
          <w:sz w:val="24"/>
          <w:szCs w:val="24"/>
        </w:rPr>
        <w:t>本基金直销机构为</w:t>
      </w:r>
      <w:r>
        <w:rPr>
          <w:rFonts w:hint="eastAsia" w:hAnsi="宋体"/>
          <w:sz w:val="24"/>
          <w:szCs w:val="24"/>
        </w:rPr>
        <w:t>基金管理人直销柜台以及基金管理人</w:t>
      </w:r>
      <w:r>
        <w:rPr>
          <w:rFonts w:hAnsi="宋体"/>
          <w:kern w:val="0"/>
          <w:sz w:val="24"/>
          <w:szCs w:val="24"/>
        </w:rPr>
        <w:t>的网上直销交易平台。</w:t>
      </w:r>
    </w:p>
    <w:p w14:paraId="6CC4A85E">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名称：交银施罗德基金管理有限公司</w:t>
      </w:r>
    </w:p>
    <w:p w14:paraId="5DC3003D">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住所：中国（上海）自由贸易试验区银城中路188号交通银行大楼二层（裙）</w:t>
      </w:r>
    </w:p>
    <w:p w14:paraId="4F2E2C68">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办公地址：上海市浦东新区世纪大道8号国金中心二期21-22楼</w:t>
      </w:r>
    </w:p>
    <w:p w14:paraId="3913FED8">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电话：（021）6105</w:t>
      </w:r>
      <w:r>
        <w:rPr>
          <w:rStyle w:val="31"/>
          <w:color w:val="auto"/>
          <w:sz w:val="24"/>
          <w:szCs w:val="24"/>
          <w:u w:val="none"/>
        </w:rPr>
        <w:t>5724</w:t>
      </w:r>
    </w:p>
    <w:p w14:paraId="512BED05">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传真：（021）61055054</w:t>
      </w:r>
    </w:p>
    <w:p w14:paraId="5612C3ED">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联系人：傅</w:t>
      </w:r>
      <w:r>
        <w:rPr>
          <w:rStyle w:val="31"/>
          <w:color w:val="auto"/>
          <w:sz w:val="24"/>
          <w:szCs w:val="24"/>
          <w:u w:val="none"/>
        </w:rPr>
        <w:t>鲸</w:t>
      </w:r>
    </w:p>
    <w:p w14:paraId="24E999B7">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客户服务电话：400-700-5000（免长途话费），（021）61055000</w:t>
      </w:r>
    </w:p>
    <w:p w14:paraId="09D43FD3">
      <w:pPr>
        <w:pStyle w:val="4"/>
        <w:autoSpaceDE w:val="0"/>
        <w:autoSpaceDN w:val="0"/>
        <w:adjustRightInd w:val="0"/>
        <w:snapToGrid w:val="0"/>
        <w:spacing w:line="360" w:lineRule="auto"/>
        <w:ind w:firstLine="480"/>
        <w:rPr>
          <w:sz w:val="24"/>
          <w:szCs w:val="24"/>
        </w:rPr>
      </w:pPr>
      <w:r>
        <w:rPr>
          <w:rStyle w:val="31"/>
          <w:rFonts w:hint="eastAsia"/>
          <w:color w:val="auto"/>
          <w:sz w:val="24"/>
          <w:szCs w:val="24"/>
          <w:u w:val="none"/>
        </w:rPr>
        <w:t>网址：www.fund001.com</w:t>
      </w:r>
    </w:p>
    <w:p w14:paraId="7F71422B">
      <w:pPr>
        <w:widowControl/>
        <w:adjustRightInd w:val="0"/>
        <w:snapToGrid w:val="0"/>
        <w:spacing w:line="360" w:lineRule="auto"/>
        <w:ind w:firstLine="480" w:firstLineChars="200"/>
        <w:rPr>
          <w:rFonts w:hAnsi="宋体"/>
          <w:kern w:val="0"/>
          <w:sz w:val="24"/>
          <w:szCs w:val="24"/>
        </w:rPr>
      </w:pPr>
      <w:r>
        <w:rPr>
          <w:rFonts w:hAnsi="宋体"/>
          <w:kern w:val="0"/>
          <w:sz w:val="24"/>
          <w:szCs w:val="24"/>
        </w:rPr>
        <w:t>个人投资者可以通过</w:t>
      </w:r>
      <w:r>
        <w:rPr>
          <w:rFonts w:hint="eastAsia" w:hAnsi="宋体"/>
          <w:sz w:val="24"/>
          <w:szCs w:val="24"/>
        </w:rPr>
        <w:t>基金管理人</w:t>
      </w:r>
      <w:r>
        <w:rPr>
          <w:rFonts w:hAnsi="宋体"/>
          <w:kern w:val="0"/>
          <w:sz w:val="24"/>
          <w:szCs w:val="24"/>
        </w:rPr>
        <w:t>网上直销交易平台办理开户、本基金的申购、赎回等业务，具体交易细则请参阅</w:t>
      </w:r>
      <w:r>
        <w:rPr>
          <w:rFonts w:hint="eastAsia" w:hAnsi="宋体"/>
          <w:sz w:val="24"/>
          <w:szCs w:val="24"/>
        </w:rPr>
        <w:t>基金管理人</w:t>
      </w:r>
      <w:r>
        <w:rPr>
          <w:rFonts w:hAnsi="宋体"/>
          <w:kern w:val="0"/>
          <w:sz w:val="24"/>
          <w:szCs w:val="24"/>
        </w:rPr>
        <w:t>网站。</w:t>
      </w:r>
    </w:p>
    <w:p w14:paraId="420D7C25">
      <w:pPr>
        <w:pStyle w:val="4"/>
        <w:autoSpaceDE w:val="0"/>
        <w:autoSpaceDN w:val="0"/>
        <w:adjustRightInd w:val="0"/>
        <w:snapToGrid w:val="0"/>
        <w:spacing w:line="360" w:lineRule="auto"/>
        <w:ind w:firstLine="480"/>
      </w:pPr>
      <w:r>
        <w:rPr>
          <w:rFonts w:hAnsi="宋体"/>
          <w:kern w:val="0"/>
          <w:sz w:val="24"/>
          <w:szCs w:val="24"/>
        </w:rPr>
        <w:t>网上直销交易平台网址：</w:t>
      </w:r>
      <w:r>
        <w:rPr>
          <w:rStyle w:val="31"/>
          <w:color w:val="auto"/>
          <w:sz w:val="24"/>
          <w:szCs w:val="24"/>
          <w:u w:val="none"/>
        </w:rPr>
        <w:t>www.fund001.com</w:t>
      </w:r>
    </w:p>
    <w:p w14:paraId="5AF5DB42">
      <w:pPr>
        <w:pStyle w:val="4"/>
        <w:autoSpaceDE w:val="0"/>
        <w:autoSpaceDN w:val="0"/>
        <w:adjustRightInd w:val="0"/>
        <w:snapToGrid w:val="0"/>
        <w:spacing w:line="360" w:lineRule="auto"/>
        <w:ind w:firstLine="480"/>
        <w:rPr>
          <w:kern w:val="0"/>
          <w:sz w:val="24"/>
          <w:szCs w:val="24"/>
        </w:rPr>
      </w:pPr>
      <w:r>
        <w:rPr>
          <w:kern w:val="0"/>
          <w:sz w:val="24"/>
        </w:rPr>
        <w:t>2、</w:t>
      </w:r>
      <w:r>
        <w:rPr>
          <w:rFonts w:hint="eastAsia"/>
          <w:kern w:val="0"/>
          <w:sz w:val="24"/>
        </w:rPr>
        <w:t>除基金管理人之外的其他销售</w:t>
      </w:r>
      <w:r>
        <w:rPr>
          <w:kern w:val="0"/>
          <w:sz w:val="24"/>
          <w:szCs w:val="24"/>
        </w:rPr>
        <w:t>机构</w:t>
      </w:r>
    </w:p>
    <w:p w14:paraId="4E54F230">
      <w:pPr>
        <w:adjustRightInd w:val="0"/>
        <w:snapToGrid w:val="0"/>
        <w:spacing w:line="360" w:lineRule="auto"/>
        <w:ind w:firstLine="480" w:firstLineChars="20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rPr>
        <w:t>基金管理人</w:t>
      </w:r>
      <w:r>
        <w:rPr>
          <w:kern w:val="0"/>
          <w:sz w:val="24"/>
          <w:szCs w:val="24"/>
        </w:rPr>
        <w:t>客户服务电话进行咨询。</w:t>
      </w:r>
    </w:p>
    <w:p w14:paraId="0B65DFC4">
      <w:pPr>
        <w:adjustRightInd w:val="0"/>
        <w:snapToGrid w:val="0"/>
        <w:spacing w:line="360" w:lineRule="auto"/>
        <w:ind w:firstLine="480" w:firstLineChars="20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14:paraId="75DE1852">
      <w:pPr>
        <w:adjustRightInd w:val="0"/>
        <w:snapToGrid w:val="0"/>
        <w:spacing w:line="360" w:lineRule="auto"/>
        <w:ind w:firstLine="480" w:firstLineChars="20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14:paraId="392288AC">
      <w:pPr>
        <w:adjustRightInd w:val="0"/>
        <w:snapToGrid w:val="0"/>
        <w:spacing w:line="360" w:lineRule="auto"/>
        <w:ind w:firstLine="482" w:firstLineChars="200"/>
        <w:rPr>
          <w:sz w:val="24"/>
          <w:szCs w:val="24"/>
        </w:rPr>
      </w:pPr>
      <w:r>
        <w:rPr>
          <w:rFonts w:hAnsi="宋体"/>
          <w:b/>
          <w:kern w:val="0"/>
          <w:sz w:val="24"/>
          <w:szCs w:val="24"/>
        </w:rPr>
        <w:t>（二）申购和赎回的开放日及时间</w:t>
      </w:r>
    </w:p>
    <w:p w14:paraId="2BB762EF">
      <w:pPr>
        <w:adjustRightInd w:val="0"/>
        <w:snapToGrid w:val="0"/>
        <w:spacing w:line="360" w:lineRule="auto"/>
        <w:ind w:firstLine="480" w:firstLineChars="200"/>
        <w:rPr>
          <w:bCs/>
          <w:sz w:val="24"/>
          <w:szCs w:val="24"/>
        </w:rPr>
      </w:pPr>
      <w:r>
        <w:rPr>
          <w:bCs/>
          <w:sz w:val="24"/>
          <w:szCs w:val="24"/>
        </w:rPr>
        <w:t>1、开放日及开放时间</w:t>
      </w:r>
    </w:p>
    <w:p w14:paraId="01E6B91B">
      <w:pPr>
        <w:adjustRightInd w:val="0"/>
        <w:snapToGrid w:val="0"/>
        <w:spacing w:line="360" w:lineRule="auto"/>
        <w:ind w:firstLine="480" w:firstLineChars="200"/>
        <w:rPr>
          <w:sz w:val="24"/>
          <w:szCs w:val="24"/>
        </w:rPr>
      </w:pPr>
      <w:r>
        <w:rPr>
          <w:rFonts w:hint="eastAsia"/>
          <w:sz w:val="24"/>
          <w:szCs w:val="24"/>
        </w:rPr>
        <w:t>投资人在开放日办理基金份额的申购</w:t>
      </w:r>
      <w:r>
        <w:rPr>
          <w:rFonts w:hint="eastAsia"/>
          <w:bCs/>
          <w:sz w:val="24"/>
        </w:rPr>
        <w:t>及/或赎回，</w:t>
      </w:r>
      <w:r>
        <w:rPr>
          <w:rFonts w:hint="eastAsia"/>
          <w:sz w:val="24"/>
          <w:szCs w:val="24"/>
        </w:rPr>
        <w:t>具体办理时间为上海证券交易所、深圳证券交易所的正常交易日的交易时间</w:t>
      </w:r>
      <w:r>
        <w:rPr>
          <w:rFonts w:hint="eastAsia"/>
          <w:bCs/>
          <w:sz w:val="24"/>
        </w:rPr>
        <w:t>（若该工作日为非港股通交易日，则本基金可不开放）</w:t>
      </w:r>
      <w:r>
        <w:rPr>
          <w:rFonts w:hint="eastAsia"/>
          <w:sz w:val="24"/>
          <w:szCs w:val="24"/>
        </w:rPr>
        <w:t>，但基金管理人根据法律法规、中国证监会的要求或基金合同的规定公告暂停申购、赎回时除外。</w:t>
      </w:r>
    </w:p>
    <w:p w14:paraId="12F1FD40">
      <w:pPr>
        <w:adjustRightInd w:val="0"/>
        <w:snapToGrid w:val="0"/>
        <w:spacing w:line="360" w:lineRule="auto"/>
        <w:ind w:firstLine="480" w:firstLineChars="200"/>
        <w:rPr>
          <w:bCs/>
          <w:sz w:val="24"/>
          <w:szCs w:val="24"/>
        </w:rPr>
      </w:pPr>
      <w:r>
        <w:rPr>
          <w:rFonts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2F131CE9">
      <w:pPr>
        <w:adjustRightInd w:val="0"/>
        <w:snapToGrid w:val="0"/>
        <w:spacing w:line="360" w:lineRule="auto"/>
        <w:ind w:firstLine="480" w:firstLineChars="200"/>
        <w:rPr>
          <w:bCs/>
          <w:sz w:val="24"/>
          <w:szCs w:val="24"/>
        </w:rPr>
      </w:pPr>
      <w:r>
        <w:rPr>
          <w:bCs/>
          <w:sz w:val="24"/>
          <w:szCs w:val="24"/>
        </w:rPr>
        <w:t>2、申购、赎回开始日及业务办理时间</w:t>
      </w:r>
    </w:p>
    <w:p w14:paraId="7DF595E9">
      <w:pPr>
        <w:adjustRightInd w:val="0"/>
        <w:snapToGrid w:val="0"/>
        <w:spacing w:line="360" w:lineRule="auto"/>
        <w:ind w:firstLine="480" w:firstLineChars="200"/>
        <w:rPr>
          <w:sz w:val="24"/>
          <w:szCs w:val="24"/>
        </w:rPr>
      </w:pPr>
      <w:r>
        <w:rPr>
          <w:rFonts w:hint="eastAsia"/>
          <w:sz w:val="24"/>
          <w:szCs w:val="24"/>
        </w:rPr>
        <w:t>基金管理人可根据实际情况依法决定本基金开始办理申购的具体日期，具体业务办理时间在申购开始公告中规定。</w:t>
      </w:r>
    </w:p>
    <w:p w14:paraId="49EC2F54">
      <w:pPr>
        <w:adjustRightInd w:val="0"/>
        <w:snapToGrid w:val="0"/>
        <w:spacing w:line="360" w:lineRule="auto"/>
        <w:ind w:firstLine="480" w:firstLineChars="200"/>
        <w:rPr>
          <w:sz w:val="24"/>
          <w:szCs w:val="24"/>
        </w:rPr>
      </w:pPr>
      <w:r>
        <w:rPr>
          <w:rFonts w:hint="eastAsia"/>
          <w:bCs/>
          <w:sz w:val="24"/>
        </w:rPr>
        <w:t>基金管理人自基金合同生效之日起不超过3个月</w:t>
      </w:r>
      <w:r>
        <w:rPr>
          <w:rFonts w:hint="eastAsia"/>
          <w:sz w:val="24"/>
          <w:szCs w:val="24"/>
        </w:rPr>
        <w:t>开始办理赎回，</w:t>
      </w:r>
      <w:r>
        <w:rPr>
          <w:rFonts w:hint="eastAsia"/>
          <w:bCs/>
          <w:sz w:val="24"/>
        </w:rPr>
        <w:t>具体业务办理时间在赎回开始公告中规定。</w:t>
      </w:r>
    </w:p>
    <w:p w14:paraId="52BC2BBE">
      <w:pPr>
        <w:adjustRightInd w:val="0"/>
        <w:snapToGrid w:val="0"/>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14:paraId="4ACE4F44">
      <w:pPr>
        <w:adjustRightInd w:val="0"/>
        <w:snapToGrid w:val="0"/>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3E445FAE">
      <w:pPr>
        <w:adjustRightInd w:val="0"/>
        <w:snapToGrid w:val="0"/>
        <w:spacing w:line="360" w:lineRule="auto"/>
        <w:ind w:firstLine="482" w:firstLineChars="200"/>
        <w:rPr>
          <w:sz w:val="24"/>
          <w:szCs w:val="24"/>
        </w:rPr>
      </w:pPr>
      <w:r>
        <w:rPr>
          <w:rFonts w:hAnsi="宋体"/>
          <w:b/>
          <w:kern w:val="0"/>
          <w:sz w:val="24"/>
          <w:szCs w:val="24"/>
        </w:rPr>
        <w:t>（三）申购</w:t>
      </w:r>
      <w:r>
        <w:rPr>
          <w:rFonts w:hint="eastAsia" w:hAnsi="宋体"/>
          <w:b/>
          <w:kern w:val="0"/>
          <w:sz w:val="24"/>
          <w:szCs w:val="24"/>
        </w:rPr>
        <w:t>与</w:t>
      </w:r>
      <w:r>
        <w:rPr>
          <w:rFonts w:hAnsi="宋体"/>
          <w:b/>
          <w:kern w:val="0"/>
          <w:sz w:val="24"/>
          <w:szCs w:val="24"/>
        </w:rPr>
        <w:t>赎回的原则</w:t>
      </w:r>
    </w:p>
    <w:p w14:paraId="5F154E2F">
      <w:pPr>
        <w:adjustRightInd w:val="0"/>
        <w:snapToGrid w:val="0"/>
        <w:spacing w:line="360" w:lineRule="auto"/>
        <w:ind w:firstLine="480" w:firstLineChars="200"/>
        <w:rPr>
          <w:sz w:val="24"/>
          <w:szCs w:val="24"/>
        </w:rPr>
      </w:pPr>
      <w:r>
        <w:rPr>
          <w:rFonts w:hint="eastAsia"/>
          <w:sz w:val="24"/>
          <w:szCs w:val="24"/>
        </w:rPr>
        <w:t>1、“未知价”原则，即申购、赎回价格以申请当日收市后计算的基金份额净值为基准进行计算；</w:t>
      </w:r>
    </w:p>
    <w:p w14:paraId="7ABADEB3">
      <w:pPr>
        <w:adjustRightInd w:val="0"/>
        <w:snapToGrid w:val="0"/>
        <w:spacing w:line="360" w:lineRule="auto"/>
        <w:ind w:firstLine="480" w:firstLineChars="200"/>
        <w:rPr>
          <w:sz w:val="24"/>
          <w:szCs w:val="24"/>
        </w:rPr>
      </w:pPr>
      <w:r>
        <w:rPr>
          <w:rFonts w:hint="eastAsia"/>
          <w:sz w:val="24"/>
          <w:szCs w:val="24"/>
        </w:rPr>
        <w:t>2、“金额申购、份额赎回”原则，即申购以金额申请，赎回以份额申请；</w:t>
      </w:r>
    </w:p>
    <w:p w14:paraId="5CB04CFF">
      <w:pPr>
        <w:adjustRightInd w:val="0"/>
        <w:snapToGrid w:val="0"/>
        <w:spacing w:line="360" w:lineRule="auto"/>
        <w:ind w:firstLine="480" w:firstLineChars="200"/>
        <w:rPr>
          <w:sz w:val="24"/>
          <w:szCs w:val="24"/>
        </w:rPr>
      </w:pPr>
      <w:r>
        <w:rPr>
          <w:rFonts w:hint="eastAsia"/>
          <w:sz w:val="24"/>
          <w:szCs w:val="24"/>
        </w:rPr>
        <w:t>3、当日的申购与赎回申请可以在基金管理人规定的时间以内撤销，但申请经登记机构受理的不得撤销；</w:t>
      </w:r>
    </w:p>
    <w:p w14:paraId="0609283F">
      <w:pPr>
        <w:adjustRightInd w:val="0"/>
        <w:snapToGrid w:val="0"/>
        <w:spacing w:line="360" w:lineRule="auto"/>
        <w:ind w:firstLine="480" w:firstLineChars="200"/>
        <w:rPr>
          <w:sz w:val="24"/>
          <w:szCs w:val="24"/>
        </w:rPr>
      </w:pPr>
      <w:r>
        <w:rPr>
          <w:rFonts w:hint="eastAsia"/>
          <w:sz w:val="24"/>
          <w:szCs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19EA7F94">
      <w:pPr>
        <w:adjustRightInd w:val="0"/>
        <w:snapToGrid w:val="0"/>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14:paraId="16058DDE">
      <w:pPr>
        <w:adjustRightInd w:val="0"/>
        <w:snapToGrid w:val="0"/>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bookmarkEnd w:id="30"/>
    <w:p w14:paraId="5718637F">
      <w:pPr>
        <w:widowControl/>
        <w:adjustRightInd w:val="0"/>
        <w:snapToGrid w:val="0"/>
        <w:spacing w:line="360" w:lineRule="auto"/>
        <w:ind w:firstLine="482" w:firstLineChars="200"/>
        <w:rPr>
          <w:b/>
          <w:kern w:val="0"/>
          <w:sz w:val="24"/>
          <w:szCs w:val="24"/>
        </w:rPr>
      </w:pPr>
      <w:r>
        <w:rPr>
          <w:rFonts w:hAnsi="宋体"/>
          <w:b/>
          <w:kern w:val="0"/>
          <w:sz w:val="24"/>
          <w:szCs w:val="24"/>
        </w:rPr>
        <w:t>（四）申购和赎回的数额限定</w:t>
      </w:r>
    </w:p>
    <w:p w14:paraId="738FE4F5">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、申购金额的限制</w:t>
      </w:r>
    </w:p>
    <w:p w14:paraId="72765994">
      <w:pPr>
        <w:widowControl/>
        <w:adjustRightInd w:val="0"/>
        <w:snapToGrid w:val="0"/>
        <w:spacing w:line="360" w:lineRule="auto"/>
        <w:ind w:firstLine="480" w:firstLineChars="200"/>
        <w:rPr>
          <w:kern w:val="0"/>
          <w:sz w:val="24"/>
          <w:szCs w:val="24"/>
        </w:rPr>
      </w:pPr>
      <w:r>
        <w:rPr>
          <w:rFonts w:hint="eastAsia"/>
          <w:kern w:val="0"/>
          <w:sz w:val="24"/>
          <w:szCs w:val="24"/>
        </w:rPr>
        <w:t>直销机构首次申购的最低金额为单笔100万元，追加申购的最低金额为单笔10万元</w:t>
      </w:r>
      <w:r>
        <w:rPr>
          <w:kern w:val="0"/>
          <w:sz w:val="24"/>
          <w:szCs w:val="24"/>
        </w:rPr>
        <w:t>；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w:t>
      </w:r>
      <w:r>
        <w:rPr>
          <w:rFonts w:hint="eastAsia"/>
          <w:kern w:val="0"/>
          <w:sz w:val="24"/>
          <w:szCs w:val="24"/>
        </w:rPr>
        <w:t>其他销售机构</w:t>
      </w:r>
      <w:r>
        <w:rPr>
          <w:kern w:val="0"/>
          <w:sz w:val="24"/>
          <w:szCs w:val="24"/>
        </w:rPr>
        <w:t>接受申购申请的最低金额为单笔1元，如果</w:t>
      </w:r>
      <w:r>
        <w:rPr>
          <w:rFonts w:hint="eastAsia"/>
          <w:kern w:val="0"/>
          <w:sz w:val="24"/>
          <w:szCs w:val="24"/>
        </w:rPr>
        <w:t>销售</w:t>
      </w:r>
      <w:r>
        <w:rPr>
          <w:kern w:val="0"/>
          <w:sz w:val="24"/>
          <w:szCs w:val="24"/>
        </w:rPr>
        <w:t>机构业务规则规定的最低单笔申购金额高于1元，以</w:t>
      </w:r>
      <w:r>
        <w:rPr>
          <w:rFonts w:hint="eastAsia"/>
          <w:kern w:val="0"/>
          <w:sz w:val="24"/>
          <w:szCs w:val="24"/>
        </w:rPr>
        <w:t>该销售</w:t>
      </w:r>
      <w:r>
        <w:rPr>
          <w:kern w:val="0"/>
          <w:sz w:val="24"/>
          <w:szCs w:val="24"/>
        </w:rPr>
        <w:t>机构的规定为准。</w:t>
      </w:r>
    </w:p>
    <w:p w14:paraId="03CC8321">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、赎回份额的限制</w:t>
      </w:r>
    </w:p>
    <w:p w14:paraId="0A1A496F">
      <w:pPr>
        <w:widowControl/>
        <w:adjustRightInd w:val="0"/>
        <w:snapToGrid w:val="0"/>
        <w:spacing w:line="360" w:lineRule="auto"/>
        <w:ind w:firstLine="480" w:firstLineChars="20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int="eastAsia" w:hAnsi="宋体"/>
          <w:kern w:val="0"/>
          <w:sz w:val="24"/>
          <w:szCs w:val="24"/>
        </w:rPr>
        <w:t>，如果销售机构业务规则规定的最低单笔赎回份额高于1份，以该销售机构的规定为准。</w:t>
      </w:r>
    </w:p>
    <w:p w14:paraId="47872062">
      <w:pPr>
        <w:widowControl/>
        <w:adjustRightInd w:val="0"/>
        <w:snapToGrid w:val="0"/>
        <w:spacing w:line="360" w:lineRule="auto"/>
        <w:ind w:firstLine="480" w:firstLineChars="200"/>
        <w:rPr>
          <w:kern w:val="0"/>
          <w:sz w:val="24"/>
          <w:szCs w:val="24"/>
        </w:rPr>
      </w:pPr>
      <w:bookmarkStart w:id="33" w:name="OLE_LINK6"/>
      <w:r>
        <w:rPr>
          <w:kern w:val="0"/>
          <w:sz w:val="24"/>
          <w:szCs w:val="24"/>
        </w:rPr>
        <w:t>3</w:t>
      </w:r>
      <w:r>
        <w:rPr>
          <w:rFonts w:hAnsi="宋体"/>
          <w:kern w:val="0"/>
          <w:sz w:val="24"/>
          <w:szCs w:val="24"/>
        </w:rPr>
        <w:t>、最低</w:t>
      </w:r>
      <w:r>
        <w:rPr>
          <w:rFonts w:hint="eastAsia" w:hAnsi="宋体"/>
          <w:kern w:val="0"/>
          <w:sz w:val="24"/>
          <w:szCs w:val="24"/>
        </w:rPr>
        <w:t>基金份额</w:t>
      </w:r>
      <w:r>
        <w:rPr>
          <w:rFonts w:hAnsi="宋体"/>
          <w:kern w:val="0"/>
          <w:sz w:val="24"/>
          <w:szCs w:val="24"/>
        </w:rPr>
        <w:t>余额的限制</w:t>
      </w:r>
    </w:p>
    <w:p w14:paraId="7CA534EC">
      <w:pPr>
        <w:widowControl/>
        <w:adjustRightInd w:val="0"/>
        <w:snapToGrid w:val="0"/>
        <w:spacing w:line="360" w:lineRule="auto"/>
        <w:ind w:firstLine="480" w:firstLineChars="200"/>
        <w:rPr>
          <w:rFonts w:hAnsi="宋体"/>
          <w:sz w:val="24"/>
          <w:szCs w:val="24"/>
        </w:rPr>
      </w:pPr>
      <w:r>
        <w:rPr>
          <w:rFonts w:hint="eastAsia" w:hAnsi="宋体"/>
          <w:kern w:val="0"/>
          <w:sz w:val="24"/>
          <w:szCs w:val="24"/>
        </w:rPr>
        <w:t>每个工作日投资人在单个基金交易账户保留的本基金基金份额余额少于1份时，若当日该账户同时有基金份额减少类业务（如赎回、转换出等）被确认，则基金管理人有权将投资人在该账户保留的本基金基金份额一次性全部赎回。</w:t>
      </w:r>
      <w:bookmarkEnd w:id="33"/>
    </w:p>
    <w:p w14:paraId="70712155">
      <w:pPr>
        <w:widowControl/>
        <w:adjustRightInd w:val="0"/>
        <w:snapToGrid w:val="0"/>
        <w:spacing w:line="360" w:lineRule="auto"/>
        <w:ind w:firstLine="480" w:firstLineChars="200"/>
        <w:rPr>
          <w:rFonts w:hAnsi="宋体"/>
          <w:sz w:val="24"/>
          <w:szCs w:val="24"/>
        </w:rPr>
      </w:pPr>
      <w:r>
        <w:rPr>
          <w:rFonts w:hint="eastAsia" w:hAnsi="宋体"/>
          <w:sz w:val="24"/>
          <w:szCs w:val="24"/>
        </w:rPr>
        <w:t>4、基金管理人可以规定本基金的总规模上限、单个投资人累计持有的基金份额上限，具体规定请参见相关公告。</w:t>
      </w:r>
    </w:p>
    <w:p w14:paraId="49B777AA">
      <w:pPr>
        <w:widowControl/>
        <w:adjustRightInd w:val="0"/>
        <w:snapToGrid w:val="0"/>
        <w:spacing w:line="360" w:lineRule="auto"/>
        <w:ind w:firstLine="480" w:firstLineChars="200"/>
        <w:rPr>
          <w:rFonts w:hAnsi="宋体"/>
          <w:sz w:val="24"/>
          <w:szCs w:val="24"/>
        </w:rPr>
      </w:pPr>
      <w:bookmarkStart w:id="34" w:name="_Hlk120873655"/>
      <w:r>
        <w:rPr>
          <w:rFonts w:hAnsi="宋体"/>
          <w:sz w:val="24"/>
          <w:szCs w:val="24"/>
        </w:rPr>
        <w:t>5、</w:t>
      </w:r>
      <w:r>
        <w:rPr>
          <w:rFonts w:hint="eastAsia"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28382037">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w:t>
      </w:r>
      <w:r>
        <w:rPr>
          <w:rFonts w:hint="eastAsia" w:hAnsi="宋体"/>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int="eastAsia" w:hAnsi="宋体"/>
          <w:kern w:val="0"/>
          <w:sz w:val="24"/>
          <w:szCs w:val="24"/>
        </w:rPr>
        <w:t>实施</w:t>
      </w:r>
      <w:r>
        <w:rPr>
          <w:rFonts w:hAnsi="宋体"/>
          <w:kern w:val="0"/>
          <w:sz w:val="24"/>
          <w:szCs w:val="24"/>
        </w:rPr>
        <w:t>前依照《信息披露办法》的有关规定在规定媒介上公告。</w:t>
      </w:r>
    </w:p>
    <w:p w14:paraId="0E55462F">
      <w:pPr>
        <w:adjustRightInd w:val="0"/>
        <w:snapToGrid w:val="0"/>
        <w:spacing w:line="360" w:lineRule="auto"/>
        <w:ind w:firstLine="482" w:firstLineChars="200"/>
        <w:rPr>
          <w:sz w:val="24"/>
          <w:szCs w:val="24"/>
        </w:rPr>
      </w:pPr>
      <w:r>
        <w:rPr>
          <w:rFonts w:hAnsi="宋体"/>
          <w:b/>
          <w:kern w:val="0"/>
          <w:sz w:val="24"/>
          <w:szCs w:val="24"/>
        </w:rPr>
        <w:t>（五）申购和赎回的程序</w:t>
      </w:r>
    </w:p>
    <w:p w14:paraId="61530D84">
      <w:pPr>
        <w:adjustRightInd w:val="0"/>
        <w:snapToGrid w:val="0"/>
        <w:spacing w:line="360" w:lineRule="auto"/>
        <w:ind w:firstLine="480" w:firstLineChars="200"/>
        <w:rPr>
          <w:sz w:val="24"/>
          <w:szCs w:val="24"/>
        </w:rPr>
      </w:pPr>
      <w:r>
        <w:rPr>
          <w:sz w:val="24"/>
          <w:szCs w:val="24"/>
        </w:rPr>
        <w:t>1</w:t>
      </w:r>
      <w:r>
        <w:rPr>
          <w:rFonts w:hAnsi="宋体"/>
          <w:sz w:val="24"/>
          <w:szCs w:val="24"/>
        </w:rPr>
        <w:t>、申购和赎回的申请方式</w:t>
      </w:r>
    </w:p>
    <w:p w14:paraId="7931DCC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26BE9639">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申购和赎回的款项支付</w:t>
      </w:r>
    </w:p>
    <w:p w14:paraId="0477F72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452009F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份额持有人递交赎回申请，赎回成立；基金登记机构确认赎回时，赎回生效。投资者赎回申请生效后，基金管理人将在T＋7日（包括该日）内支付赎回款项。在发生巨额赎回或基金合同载明的其他暂停赎回或延缓支付赎回款项的情形时，款项的支付办法参照基金合同有关条款处理。</w:t>
      </w:r>
    </w:p>
    <w:p w14:paraId="17267263">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w:t>
      </w:r>
      <w:r>
        <w:rPr>
          <w:rFonts w:hAnsi="宋体"/>
          <w:kern w:val="0"/>
          <w:sz w:val="24"/>
          <w:szCs w:val="24"/>
        </w:rPr>
        <w:t>申购和赎回申请的确认</w:t>
      </w:r>
    </w:p>
    <w:p w14:paraId="2C57763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14:paraId="7B2C75C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基金管理人可在法律法规允许的范围内，依法对上述申购和赎回申请的确认时间进行调整，并必须在调整实施日前按照《信息披露办法》的有关规定在规定媒介上公告。</w:t>
      </w:r>
    </w:p>
    <w:p w14:paraId="56C3B903">
      <w:pPr>
        <w:pStyle w:val="4"/>
        <w:autoSpaceDE w:val="0"/>
        <w:autoSpaceDN w:val="0"/>
        <w:adjustRightInd w:val="0"/>
        <w:snapToGrid w:val="0"/>
        <w:spacing w:line="360" w:lineRule="auto"/>
        <w:ind w:firstLine="480"/>
        <w:rPr>
          <w:rFonts w:hAnsi="宋体"/>
          <w:kern w:val="0"/>
          <w:sz w:val="24"/>
          <w:szCs w:val="24"/>
        </w:rPr>
      </w:pPr>
      <w:r>
        <w:rPr>
          <w:rFonts w:hint="eastAsia" w:hAnsi="宋体"/>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bookmarkEnd w:id="34"/>
    <w:p w14:paraId="32609D92">
      <w:pPr>
        <w:pStyle w:val="4"/>
        <w:autoSpaceDE w:val="0"/>
        <w:autoSpaceDN w:val="0"/>
        <w:adjustRightInd w:val="0"/>
        <w:snapToGrid w:val="0"/>
        <w:spacing w:line="360" w:lineRule="auto"/>
        <w:ind w:firstLine="480"/>
        <w:rPr>
          <w:sz w:val="24"/>
          <w:szCs w:val="24"/>
        </w:rPr>
      </w:pPr>
      <w:r>
        <w:rPr>
          <w:sz w:val="24"/>
          <w:szCs w:val="24"/>
        </w:rPr>
        <w:t>4</w:t>
      </w:r>
      <w:r>
        <w:rPr>
          <w:rFonts w:hAnsi="宋体"/>
          <w:sz w:val="24"/>
          <w:szCs w:val="24"/>
        </w:rPr>
        <w:t>、申购和赎回的登记</w:t>
      </w:r>
    </w:p>
    <w:p w14:paraId="4EC536FA">
      <w:pPr>
        <w:widowControl/>
        <w:adjustRightInd w:val="0"/>
        <w:snapToGrid w:val="0"/>
        <w:spacing w:line="360" w:lineRule="auto"/>
        <w:ind w:firstLine="480" w:firstLineChars="20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日为投资人增加权益并办理登记手续。投资人应及时查询有关申请的确认情况。</w:t>
      </w:r>
    </w:p>
    <w:p w14:paraId="65BACD5B">
      <w:pPr>
        <w:widowControl/>
        <w:adjustRightInd w:val="0"/>
        <w:snapToGrid w:val="0"/>
        <w:spacing w:line="360" w:lineRule="auto"/>
        <w:ind w:firstLine="480" w:firstLineChars="20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日为投资人扣除权益并办理相应的登记手续。</w:t>
      </w:r>
    </w:p>
    <w:p w14:paraId="4CEB247E">
      <w:pPr>
        <w:widowControl/>
        <w:adjustRightInd w:val="0"/>
        <w:snapToGrid w:val="0"/>
        <w:spacing w:line="360" w:lineRule="auto"/>
        <w:ind w:firstLine="480" w:firstLineChars="20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14:paraId="3EF5E6B7">
      <w:pPr>
        <w:widowControl/>
        <w:adjustRightInd w:val="0"/>
        <w:snapToGrid w:val="0"/>
        <w:spacing w:line="360" w:lineRule="auto"/>
        <w:ind w:firstLine="482" w:firstLineChars="200"/>
        <w:rPr>
          <w:b/>
          <w:kern w:val="0"/>
          <w:sz w:val="24"/>
          <w:szCs w:val="24"/>
        </w:rPr>
      </w:pPr>
      <w:r>
        <w:rPr>
          <w:rFonts w:hAnsi="宋体"/>
          <w:b/>
          <w:kern w:val="0"/>
          <w:sz w:val="24"/>
          <w:szCs w:val="24"/>
        </w:rPr>
        <w:t>（六）基金的申购费和赎回费</w:t>
      </w:r>
    </w:p>
    <w:p w14:paraId="16F9278B">
      <w:pPr>
        <w:widowControl/>
        <w:adjustRightInd w:val="0"/>
        <w:snapToGrid w:val="0"/>
        <w:spacing w:line="360" w:lineRule="auto"/>
        <w:ind w:firstLine="480" w:firstLineChars="200"/>
        <w:rPr>
          <w:rFonts w:hAnsi="宋体"/>
          <w:sz w:val="24"/>
          <w:szCs w:val="24"/>
        </w:rPr>
      </w:pPr>
      <w:r>
        <w:rPr>
          <w:rFonts w:hAnsi="宋体"/>
          <w:sz w:val="24"/>
          <w:szCs w:val="24"/>
        </w:rPr>
        <w:t>1、申购费用</w:t>
      </w:r>
    </w:p>
    <w:p w14:paraId="3E9F8ECC">
      <w:pPr>
        <w:widowControl/>
        <w:adjustRightInd w:val="0"/>
        <w:snapToGrid w:val="0"/>
        <w:spacing w:line="360" w:lineRule="auto"/>
        <w:ind w:firstLine="480" w:firstLineChars="200"/>
        <w:rPr>
          <w:rFonts w:hint="eastAsia" w:hAnsi="宋体"/>
          <w:sz w:val="24"/>
          <w:szCs w:val="24"/>
        </w:rPr>
      </w:pPr>
      <w:r>
        <w:rPr>
          <w:rFonts w:hint="eastAsia" w:hAnsi="宋体"/>
          <w:sz w:val="24"/>
          <w:szCs w:val="24"/>
        </w:rPr>
        <w:t>本基金基金份额分为A类基金份额和C类基金份额。投资人申购A类基金份额在申购时支付申购费用（其中，通过直销机构申购时不支付申购费用），申购C类基金份额不支付申购费用。</w:t>
      </w:r>
    </w:p>
    <w:p w14:paraId="43A4E485">
      <w:pPr>
        <w:widowControl/>
        <w:adjustRightInd w:val="0"/>
        <w:snapToGrid w:val="0"/>
        <w:spacing w:line="360" w:lineRule="auto"/>
        <w:ind w:firstLine="480" w:firstLineChars="200"/>
        <w:rPr>
          <w:rFonts w:hint="eastAsia" w:hAnsi="宋体"/>
          <w:sz w:val="24"/>
          <w:szCs w:val="24"/>
        </w:rPr>
      </w:pPr>
      <w:r>
        <w:rPr>
          <w:rFonts w:hint="eastAsia" w:hAnsi="宋体"/>
          <w:sz w:val="24"/>
          <w:szCs w:val="24"/>
        </w:rPr>
        <w:t>通过直销机构申购本基金A类基金份额不收取申购费；通过其他销售机构申购A类基金份额的，申购费用由A类基金份额申购人承担，投资人可以多次申购本基金，申购费用按A类基金份额的每笔申购申请单独计算。申购费用不列入基金财产，主要用于本基金的市场推广、销售等各项费用。</w:t>
      </w:r>
    </w:p>
    <w:p w14:paraId="011BF8E4">
      <w:pPr>
        <w:widowControl/>
        <w:adjustRightInd w:val="0"/>
        <w:snapToGrid w:val="0"/>
        <w:spacing w:line="360" w:lineRule="auto"/>
        <w:ind w:firstLine="480" w:firstLineChars="200"/>
        <w:rPr>
          <w:rFonts w:hAnsi="宋体"/>
          <w:sz w:val="24"/>
          <w:szCs w:val="24"/>
        </w:rPr>
      </w:pPr>
      <w:r>
        <w:rPr>
          <w:rFonts w:hint="eastAsia" w:hAnsi="宋体"/>
          <w:sz w:val="24"/>
          <w:szCs w:val="24"/>
        </w:rPr>
        <w:t>通过其他销售机构申购本基金A类基金份额的申购费率如下</w:t>
      </w:r>
    </w:p>
    <w:tbl>
      <w:tblPr>
        <w:tblStyle w:val="28"/>
        <w:tblW w:w="7339" w:type="dxa"/>
        <w:tblInd w:w="59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937"/>
        <w:gridCol w:w="3402"/>
      </w:tblGrid>
      <w:tr w14:paraId="184F917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trPr>
        <w:tc>
          <w:tcPr>
            <w:tcW w:w="3937" w:type="dxa"/>
            <w:shd w:val="clear" w:color="auto" w:fill="FFFFFF"/>
            <w:vAlign w:val="center"/>
          </w:tcPr>
          <w:p w14:paraId="64E8C907">
            <w:pPr>
              <w:keepNext w:val="0"/>
              <w:keepLines w:val="0"/>
              <w:suppressLineNumbers w:val="0"/>
              <w:adjustRightInd w:val="0"/>
              <w:snapToGrid w:val="0"/>
              <w:spacing w:before="0" w:beforeAutospacing="0" w:after="0" w:afterAutospacing="0"/>
              <w:ind w:left="0" w:right="0"/>
              <w:jc w:val="center"/>
              <w:rPr>
                <w:rFonts w:hint="eastAsia"/>
                <w:b/>
                <w:sz w:val="24"/>
                <w:szCs w:val="20"/>
              </w:rPr>
            </w:pPr>
            <w:r>
              <w:rPr>
                <w:rFonts w:hint="eastAsia"/>
                <w:b/>
                <w:sz w:val="24"/>
                <w:szCs w:val="20"/>
              </w:rPr>
              <w:t>申购金额（含申购费）</w:t>
            </w:r>
          </w:p>
        </w:tc>
        <w:tc>
          <w:tcPr>
            <w:tcW w:w="3402" w:type="dxa"/>
            <w:shd w:val="clear" w:color="auto" w:fill="FFFFFF"/>
            <w:vAlign w:val="center"/>
          </w:tcPr>
          <w:p w14:paraId="7DAC258F">
            <w:pPr>
              <w:keepNext w:val="0"/>
              <w:keepLines w:val="0"/>
              <w:suppressLineNumbers w:val="0"/>
              <w:adjustRightInd w:val="0"/>
              <w:snapToGrid w:val="0"/>
              <w:spacing w:before="0" w:beforeAutospacing="0" w:after="0" w:afterAutospacing="0"/>
              <w:ind w:left="0" w:right="0"/>
              <w:jc w:val="center"/>
              <w:rPr>
                <w:rFonts w:hint="eastAsia"/>
                <w:b/>
                <w:sz w:val="24"/>
                <w:szCs w:val="20"/>
              </w:rPr>
            </w:pPr>
            <w:r>
              <w:rPr>
                <w:rFonts w:hint="eastAsia"/>
                <w:b/>
                <w:sz w:val="24"/>
                <w:szCs w:val="20"/>
              </w:rPr>
              <w:t>A类基金份额申购费率</w:t>
            </w:r>
          </w:p>
        </w:tc>
      </w:tr>
      <w:tr w14:paraId="498B653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937" w:type="dxa"/>
          </w:tcPr>
          <w:p w14:paraId="64CEA381">
            <w:pPr>
              <w:keepNext w:val="0"/>
              <w:keepLines w:val="0"/>
              <w:suppressLineNumbers w:val="0"/>
              <w:adjustRightInd w:val="0"/>
              <w:snapToGrid w:val="0"/>
              <w:spacing w:before="0" w:beforeAutospacing="0" w:after="0" w:afterAutospacing="0"/>
              <w:ind w:left="0" w:right="0"/>
              <w:rPr>
                <w:rFonts w:hint="eastAsia"/>
                <w:sz w:val="24"/>
                <w:szCs w:val="20"/>
              </w:rPr>
            </w:pPr>
            <w:r>
              <w:rPr>
                <w:rFonts w:hint="eastAsia"/>
                <w:sz w:val="24"/>
                <w:szCs w:val="20"/>
              </w:rPr>
              <w:t>100</w:t>
            </w:r>
            <w:r>
              <w:rPr>
                <w:rFonts w:hint="eastAsia"/>
                <w:sz w:val="24"/>
                <w:szCs w:val="20"/>
                <w:lang w:val="en-US" w:eastAsia="zh-CN"/>
              </w:rPr>
              <w:t>0</w:t>
            </w:r>
            <w:r>
              <w:rPr>
                <w:rFonts w:hint="eastAsia"/>
                <w:sz w:val="24"/>
                <w:szCs w:val="20"/>
              </w:rPr>
              <w:t>万元以下</w:t>
            </w:r>
          </w:p>
        </w:tc>
        <w:tc>
          <w:tcPr>
            <w:tcW w:w="3402" w:type="dxa"/>
            <w:vAlign w:val="center"/>
          </w:tcPr>
          <w:p w14:paraId="100BE42F">
            <w:pPr>
              <w:keepNext w:val="0"/>
              <w:keepLines w:val="0"/>
              <w:suppressLineNumbers w:val="0"/>
              <w:adjustRightInd w:val="0"/>
              <w:snapToGrid w:val="0"/>
              <w:spacing w:before="0" w:beforeAutospacing="0" w:after="0" w:afterAutospacing="0"/>
              <w:ind w:left="0" w:right="0"/>
              <w:jc w:val="center"/>
              <w:rPr>
                <w:rFonts w:hint="eastAsia"/>
                <w:sz w:val="24"/>
                <w:szCs w:val="20"/>
              </w:rPr>
            </w:pPr>
            <w:r>
              <w:rPr>
                <w:rFonts w:hint="eastAsia"/>
                <w:sz w:val="24"/>
                <w:szCs w:val="20"/>
              </w:rPr>
              <w:t>0.</w:t>
            </w:r>
            <w:r>
              <w:rPr>
                <w:rFonts w:hint="eastAsia"/>
                <w:sz w:val="24"/>
                <w:szCs w:val="20"/>
                <w:lang w:val="en-US" w:eastAsia="zh-CN"/>
              </w:rPr>
              <w:t>3</w:t>
            </w:r>
            <w:r>
              <w:rPr>
                <w:rFonts w:hint="eastAsia"/>
                <w:sz w:val="24"/>
                <w:szCs w:val="20"/>
              </w:rPr>
              <w:t>%</w:t>
            </w:r>
          </w:p>
        </w:tc>
      </w:tr>
      <w:tr w14:paraId="7418EF4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385" w:hRule="atLeast"/>
        </w:trPr>
        <w:tc>
          <w:tcPr>
            <w:tcW w:w="3937" w:type="dxa"/>
          </w:tcPr>
          <w:p w14:paraId="232ABC75">
            <w:pPr>
              <w:keepNext w:val="0"/>
              <w:keepLines w:val="0"/>
              <w:suppressLineNumbers w:val="0"/>
              <w:adjustRightInd w:val="0"/>
              <w:snapToGrid w:val="0"/>
              <w:spacing w:before="0" w:beforeAutospacing="0" w:after="0" w:afterAutospacing="0"/>
              <w:ind w:left="0" w:right="0"/>
              <w:rPr>
                <w:rFonts w:hint="eastAsia"/>
                <w:sz w:val="24"/>
                <w:szCs w:val="20"/>
              </w:rPr>
            </w:pPr>
            <w:r>
              <w:rPr>
                <w:rFonts w:hint="eastAsia"/>
                <w:sz w:val="24"/>
                <w:szCs w:val="20"/>
                <w:lang w:val="en-US" w:eastAsia="zh-CN"/>
              </w:rPr>
              <w:t>10</w:t>
            </w:r>
            <w:r>
              <w:rPr>
                <w:rFonts w:hint="eastAsia"/>
                <w:sz w:val="24"/>
                <w:szCs w:val="20"/>
              </w:rPr>
              <w:t>00万元以上（含</w:t>
            </w:r>
            <w:r>
              <w:rPr>
                <w:rFonts w:hint="eastAsia"/>
                <w:sz w:val="24"/>
                <w:szCs w:val="20"/>
                <w:lang w:val="en-US" w:eastAsia="zh-CN"/>
              </w:rPr>
              <w:t>10</w:t>
            </w:r>
            <w:r>
              <w:rPr>
                <w:rFonts w:hint="eastAsia"/>
                <w:sz w:val="24"/>
                <w:szCs w:val="20"/>
              </w:rPr>
              <w:t>00万元）</w:t>
            </w:r>
          </w:p>
        </w:tc>
        <w:tc>
          <w:tcPr>
            <w:tcW w:w="3402" w:type="dxa"/>
          </w:tcPr>
          <w:p w14:paraId="1CAD5ECA">
            <w:pPr>
              <w:keepNext w:val="0"/>
              <w:keepLines w:val="0"/>
              <w:suppressLineNumbers w:val="0"/>
              <w:adjustRightInd w:val="0"/>
              <w:snapToGrid w:val="0"/>
              <w:spacing w:before="0" w:beforeAutospacing="0" w:after="0" w:afterAutospacing="0"/>
              <w:ind w:left="0" w:right="0"/>
              <w:jc w:val="center"/>
              <w:rPr>
                <w:rFonts w:hint="eastAsia" w:hAnsi="宋体"/>
                <w:sz w:val="24"/>
                <w:szCs w:val="20"/>
              </w:rPr>
            </w:pPr>
            <w:r>
              <w:rPr>
                <w:rFonts w:hint="eastAsia" w:hAnsi="宋体"/>
                <w:sz w:val="24"/>
                <w:szCs w:val="20"/>
              </w:rPr>
              <w:t>每笔交易</w:t>
            </w:r>
            <w:r>
              <w:rPr>
                <w:rFonts w:hint="eastAsia"/>
                <w:sz w:val="24"/>
                <w:szCs w:val="20"/>
              </w:rPr>
              <w:t>1000</w:t>
            </w:r>
            <w:r>
              <w:rPr>
                <w:rFonts w:hint="eastAsia" w:hAnsi="宋体"/>
                <w:sz w:val="24"/>
                <w:szCs w:val="20"/>
              </w:rPr>
              <w:t>元</w:t>
            </w:r>
          </w:p>
        </w:tc>
      </w:tr>
    </w:tbl>
    <w:p w14:paraId="76FF8DD4">
      <w:pPr>
        <w:widowControl/>
        <w:adjustRightInd w:val="0"/>
        <w:snapToGrid w:val="0"/>
        <w:spacing w:before="143" w:beforeLines="50" w:line="360" w:lineRule="auto"/>
        <w:ind w:firstLine="480" w:firstLineChars="200"/>
        <w:rPr>
          <w:sz w:val="24"/>
          <w:szCs w:val="24"/>
        </w:rPr>
      </w:pPr>
      <w:r>
        <w:rPr>
          <w:rFonts w:hint="eastAsia" w:hAnsi="宋体"/>
          <w:sz w:val="24"/>
          <w:szCs w:val="24"/>
        </w:rPr>
        <w:t>持有A类基金份额的投资人因红利自动再投资而产生的A类基金份额，不收取相应的申购费用。</w:t>
      </w:r>
    </w:p>
    <w:p w14:paraId="3646D68A">
      <w:pPr>
        <w:widowControl/>
        <w:adjustRightInd w:val="0"/>
        <w:snapToGrid w:val="0"/>
        <w:spacing w:before="0" w:beforeLines="-2147483648" w:line="360" w:lineRule="auto"/>
        <w:ind w:firstLine="480" w:firstLineChars="200"/>
        <w:rPr>
          <w:rFonts w:hint="eastAsia" w:hAnsi="宋体"/>
          <w:kern w:val="2"/>
          <w:sz w:val="24"/>
          <w:szCs w:val="24"/>
        </w:rPr>
      </w:pPr>
      <w:r>
        <w:rPr>
          <w:rFonts w:hAnsi="宋体"/>
          <w:sz w:val="24"/>
          <w:szCs w:val="24"/>
        </w:rPr>
        <w:t>2、赎回费用</w:t>
      </w:r>
    </w:p>
    <w:p w14:paraId="565448BA">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投资者赎回</w:t>
      </w:r>
      <w:r>
        <w:rPr>
          <w:rFonts w:ascii="Times New Roman" w:hAnsi="Times New Roman"/>
          <w:sz w:val="24"/>
        </w:rPr>
        <w:t>A</w:t>
      </w:r>
      <w:r>
        <w:rPr>
          <w:rFonts w:hint="eastAsia" w:ascii="Times New Roman" w:hAnsi="Times New Roman"/>
          <w:sz w:val="24"/>
        </w:rPr>
        <w:t>类基金份额或</w:t>
      </w:r>
      <w:r>
        <w:rPr>
          <w:rFonts w:ascii="Times New Roman" w:hAnsi="Times New Roman"/>
          <w:sz w:val="24"/>
        </w:rPr>
        <w:t>C</w:t>
      </w:r>
      <w:r>
        <w:rPr>
          <w:rFonts w:hint="eastAsia" w:ascii="Times New Roman" w:hAnsi="Times New Roman"/>
          <w:sz w:val="24"/>
        </w:rPr>
        <w:t>类基金份额收取赎回费用，该费用随基金份额的持有时间增加而递减。本基金</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类基金份额的赎回费用由赎回该类基金份额的基金份额持有人承担，在基金份额持有人赎回基金份额时收取</w:t>
      </w:r>
      <w:r>
        <w:rPr>
          <w:rFonts w:hint="eastAsia" w:ascii="Times New Roman" w:hAnsi="Times New Roman"/>
          <w:sz w:val="24"/>
          <w:lang w:eastAsia="zh-CN"/>
        </w:rPr>
        <w:t>，</w:t>
      </w:r>
      <w:r>
        <w:rPr>
          <w:rFonts w:hint="eastAsia" w:ascii="Times New Roman" w:hAnsi="Times New Roman"/>
          <w:sz w:val="24"/>
        </w:rPr>
        <w:t>赎回费用全额计入基金财产。</w:t>
      </w:r>
    </w:p>
    <w:p w14:paraId="5FE4BC5F">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lang w:val="en-US" w:eastAsia="zh-CN"/>
        </w:rPr>
        <w:t>对</w:t>
      </w:r>
      <w:r>
        <w:rPr>
          <w:rFonts w:hint="eastAsia"/>
          <w:sz w:val="24"/>
          <w:lang w:val="en-US" w:eastAsia="zh-CN"/>
        </w:rPr>
        <w:t>于</w:t>
      </w:r>
      <w:r>
        <w:rPr>
          <w:rFonts w:hint="eastAsia" w:ascii="Times New Roman" w:hAnsi="Times New Roman"/>
          <w:sz w:val="24"/>
          <w:lang w:val="en-US" w:eastAsia="zh-CN"/>
        </w:rPr>
        <w:t>个人投资者，</w:t>
      </w: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类基金份额和C类基金份额的赎回费率如下：</w:t>
      </w:r>
    </w:p>
    <w:tbl>
      <w:tblPr>
        <w:tblStyle w:val="28"/>
        <w:tblW w:w="4286" w:type="pct"/>
        <w:tblInd w:w="0" w:type="dxa"/>
        <w:tblLayout w:type="autofit"/>
        <w:tblCellMar>
          <w:top w:w="0" w:type="dxa"/>
          <w:left w:w="0" w:type="dxa"/>
          <w:bottom w:w="0" w:type="dxa"/>
          <w:right w:w="0" w:type="dxa"/>
        </w:tblCellMar>
      </w:tblPr>
      <w:tblGrid>
        <w:gridCol w:w="3707"/>
        <w:gridCol w:w="3708"/>
      </w:tblGrid>
      <w:tr w14:paraId="67C41D5A">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14:paraId="54937644">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持有期限</w:t>
            </w:r>
          </w:p>
        </w:tc>
        <w:tc>
          <w:tcPr>
            <w:tcW w:w="2500" w:type="pct"/>
            <w:tcBorders>
              <w:top w:val="single" w:color="auto" w:sz="4" w:space="0"/>
              <w:left w:val="single" w:color="auto" w:sz="4" w:space="0"/>
              <w:bottom w:val="single" w:color="auto" w:sz="4" w:space="0"/>
              <w:right w:val="single" w:color="auto" w:sz="4" w:space="0"/>
            </w:tcBorders>
            <w:vAlign w:val="center"/>
          </w:tcPr>
          <w:p w14:paraId="107502AB">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赎回费率</w:t>
            </w:r>
          </w:p>
        </w:tc>
      </w:tr>
      <w:tr w14:paraId="1C89924E">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14:paraId="71CC55C5">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7日以内</w:t>
            </w:r>
          </w:p>
        </w:tc>
        <w:tc>
          <w:tcPr>
            <w:tcW w:w="2500" w:type="pct"/>
            <w:tcBorders>
              <w:top w:val="single" w:color="auto" w:sz="4" w:space="0"/>
              <w:left w:val="single" w:color="auto" w:sz="4" w:space="0"/>
              <w:bottom w:val="single" w:color="auto" w:sz="4" w:space="0"/>
              <w:right w:val="single" w:color="auto" w:sz="4" w:space="0"/>
            </w:tcBorders>
            <w:vAlign w:val="center"/>
          </w:tcPr>
          <w:p w14:paraId="6CB9733A">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1.5%</w:t>
            </w:r>
          </w:p>
        </w:tc>
      </w:tr>
      <w:tr w14:paraId="6C7E8D11">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14:paraId="07279977">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7日以上（含）</w:t>
            </w:r>
          </w:p>
        </w:tc>
        <w:tc>
          <w:tcPr>
            <w:tcW w:w="2500" w:type="pct"/>
            <w:tcBorders>
              <w:top w:val="single" w:color="auto" w:sz="4" w:space="0"/>
              <w:left w:val="single" w:color="auto" w:sz="4" w:space="0"/>
              <w:bottom w:val="single" w:color="auto" w:sz="4" w:space="0"/>
              <w:right w:val="single" w:color="auto" w:sz="4" w:space="0"/>
            </w:tcBorders>
            <w:vAlign w:val="center"/>
          </w:tcPr>
          <w:p w14:paraId="4E7921CE">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0</w:t>
            </w:r>
          </w:p>
        </w:tc>
      </w:tr>
    </w:tbl>
    <w:p w14:paraId="3DCEC61B">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lang w:val="en-US" w:eastAsia="zh-CN"/>
        </w:rPr>
        <w:t>对</w:t>
      </w:r>
      <w:r>
        <w:rPr>
          <w:rFonts w:hint="eastAsia"/>
          <w:sz w:val="24"/>
          <w:lang w:val="en-US" w:eastAsia="zh-CN"/>
        </w:rPr>
        <w:t>于</w:t>
      </w:r>
      <w:r>
        <w:rPr>
          <w:rFonts w:hint="eastAsia" w:ascii="Times New Roman" w:hAnsi="Times New Roman"/>
          <w:sz w:val="24"/>
          <w:lang w:val="en-US" w:eastAsia="zh-CN"/>
        </w:rPr>
        <w:t>机构投资者，</w:t>
      </w: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类基金份额和C类基金份额的赎回费率如下：</w:t>
      </w:r>
    </w:p>
    <w:tbl>
      <w:tblPr>
        <w:tblStyle w:val="28"/>
        <w:tblW w:w="4291" w:type="pct"/>
        <w:tblInd w:w="0" w:type="dxa"/>
        <w:tblLayout w:type="autofit"/>
        <w:tblCellMar>
          <w:top w:w="0" w:type="dxa"/>
          <w:left w:w="0" w:type="dxa"/>
          <w:bottom w:w="0" w:type="dxa"/>
          <w:right w:w="0" w:type="dxa"/>
        </w:tblCellMar>
      </w:tblPr>
      <w:tblGrid>
        <w:gridCol w:w="3711"/>
        <w:gridCol w:w="3712"/>
      </w:tblGrid>
      <w:tr w14:paraId="79EB4087">
        <w:trPr>
          <w:cantSplit/>
          <w:trHeight w:val="375" w:hRule="atLeast"/>
        </w:trPr>
        <w:tc>
          <w:tcPr>
            <w:tcW w:w="2499" w:type="pct"/>
            <w:tcBorders>
              <w:top w:val="single" w:color="auto" w:sz="4" w:space="0"/>
              <w:left w:val="single" w:color="auto" w:sz="4" w:space="0"/>
              <w:bottom w:val="single" w:color="auto" w:sz="4" w:space="0"/>
              <w:right w:val="single" w:color="auto" w:sz="4" w:space="0"/>
            </w:tcBorders>
            <w:vAlign w:val="center"/>
          </w:tcPr>
          <w:p w14:paraId="3F61EB05">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持有期限</w:t>
            </w:r>
          </w:p>
        </w:tc>
        <w:tc>
          <w:tcPr>
            <w:tcW w:w="2500" w:type="pct"/>
            <w:tcBorders>
              <w:top w:val="single" w:color="auto" w:sz="4" w:space="0"/>
              <w:left w:val="single" w:color="auto" w:sz="4" w:space="0"/>
              <w:bottom w:val="single" w:color="auto" w:sz="4" w:space="0"/>
              <w:right w:val="single" w:color="auto" w:sz="4" w:space="0"/>
            </w:tcBorders>
            <w:vAlign w:val="center"/>
          </w:tcPr>
          <w:p w14:paraId="00DAD58A">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赎回费率</w:t>
            </w:r>
          </w:p>
        </w:tc>
      </w:tr>
      <w:tr w14:paraId="43D5474F">
        <w:trPr>
          <w:cantSplit/>
          <w:trHeight w:val="375" w:hRule="atLeast"/>
        </w:trPr>
        <w:tc>
          <w:tcPr>
            <w:tcW w:w="2499" w:type="pct"/>
            <w:tcBorders>
              <w:top w:val="single" w:color="auto" w:sz="4" w:space="0"/>
              <w:left w:val="single" w:color="auto" w:sz="4" w:space="0"/>
              <w:bottom w:val="single" w:color="auto" w:sz="4" w:space="0"/>
              <w:right w:val="single" w:color="auto" w:sz="4" w:space="0"/>
            </w:tcBorders>
            <w:vAlign w:val="center"/>
          </w:tcPr>
          <w:p w14:paraId="3EE7ADAD">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7日以内</w:t>
            </w:r>
          </w:p>
        </w:tc>
        <w:tc>
          <w:tcPr>
            <w:tcW w:w="2500" w:type="pct"/>
            <w:tcBorders>
              <w:top w:val="single" w:color="auto" w:sz="4" w:space="0"/>
              <w:left w:val="single" w:color="auto" w:sz="4" w:space="0"/>
              <w:bottom w:val="single" w:color="auto" w:sz="4" w:space="0"/>
              <w:right w:val="single" w:color="auto" w:sz="4" w:space="0"/>
            </w:tcBorders>
            <w:vAlign w:val="center"/>
          </w:tcPr>
          <w:p w14:paraId="30AD13E4">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1.5%</w:t>
            </w:r>
          </w:p>
        </w:tc>
      </w:tr>
      <w:tr w14:paraId="66187F20">
        <w:tblPrEx>
          <w:tblCellMar>
            <w:top w:w="0" w:type="dxa"/>
            <w:left w:w="0" w:type="dxa"/>
            <w:bottom w:w="0" w:type="dxa"/>
            <w:right w:w="0" w:type="dxa"/>
          </w:tblCellMar>
        </w:tblPrEx>
        <w:trPr>
          <w:cantSplit/>
          <w:trHeight w:val="375" w:hRule="atLeast"/>
        </w:trPr>
        <w:tc>
          <w:tcPr>
            <w:tcW w:w="2499" w:type="pct"/>
            <w:tcBorders>
              <w:top w:val="single" w:color="auto" w:sz="4" w:space="0"/>
              <w:left w:val="single" w:color="auto" w:sz="4" w:space="0"/>
              <w:bottom w:val="single" w:color="auto" w:sz="4" w:space="0"/>
              <w:right w:val="single" w:color="auto" w:sz="4" w:space="0"/>
            </w:tcBorders>
            <w:vAlign w:val="center"/>
          </w:tcPr>
          <w:p w14:paraId="4473ADF5">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7日（含）</w:t>
            </w:r>
            <w:r>
              <w:rPr>
                <w:rFonts w:hint="eastAsia"/>
                <w:sz w:val="24"/>
                <w:szCs w:val="24"/>
              </w:rPr>
              <w:t>—</w:t>
            </w:r>
            <w:r>
              <w:rPr>
                <w:rFonts w:hint="eastAsia" w:ascii="Times New Roman" w:hAnsi="Times New Roman"/>
                <w:color w:val="000000"/>
                <w:kern w:val="0"/>
                <w:sz w:val="25"/>
                <w:szCs w:val="24"/>
                <w:lang w:val="en-US" w:eastAsia="zh-CN"/>
              </w:rPr>
              <w:t>30日</w:t>
            </w:r>
          </w:p>
        </w:tc>
        <w:tc>
          <w:tcPr>
            <w:tcW w:w="2500" w:type="pct"/>
            <w:tcBorders>
              <w:top w:val="single" w:color="auto" w:sz="4" w:space="0"/>
              <w:left w:val="single" w:color="auto" w:sz="4" w:space="0"/>
              <w:bottom w:val="single" w:color="auto" w:sz="4" w:space="0"/>
              <w:right w:val="single" w:color="auto" w:sz="4" w:space="0"/>
            </w:tcBorders>
            <w:vAlign w:val="top"/>
          </w:tcPr>
          <w:p w14:paraId="7CD56BE6">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1.0%</w:t>
            </w:r>
          </w:p>
        </w:tc>
      </w:tr>
      <w:tr w14:paraId="15978FAF">
        <w:tblPrEx>
          <w:tblCellMar>
            <w:top w:w="0" w:type="dxa"/>
            <w:left w:w="0" w:type="dxa"/>
            <w:bottom w:w="0" w:type="dxa"/>
            <w:right w:w="0" w:type="dxa"/>
          </w:tblCellMar>
        </w:tblPrEx>
        <w:trPr>
          <w:cantSplit/>
          <w:trHeight w:val="375" w:hRule="atLeast"/>
        </w:trPr>
        <w:tc>
          <w:tcPr>
            <w:tcW w:w="2499" w:type="pct"/>
            <w:tcBorders>
              <w:top w:val="single" w:color="auto" w:sz="4" w:space="0"/>
              <w:left w:val="single" w:color="auto" w:sz="4" w:space="0"/>
              <w:bottom w:val="single" w:color="auto" w:sz="4" w:space="0"/>
              <w:right w:val="single" w:color="auto" w:sz="4" w:space="0"/>
            </w:tcBorders>
            <w:vAlign w:val="center"/>
          </w:tcPr>
          <w:p w14:paraId="4FBF51D8">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color w:val="000000"/>
                <w:kern w:val="0"/>
                <w:sz w:val="25"/>
                <w:szCs w:val="24"/>
                <w:lang w:val="en-US" w:eastAsia="zh-CN"/>
              </w:rPr>
              <w:t>3</w:t>
            </w:r>
            <w:r>
              <w:rPr>
                <w:rFonts w:hint="eastAsia" w:ascii="Times New Roman" w:hAnsi="Times New Roman"/>
                <w:color w:val="000000"/>
                <w:kern w:val="0"/>
                <w:sz w:val="25"/>
                <w:szCs w:val="24"/>
                <w:lang w:val="en-US" w:eastAsia="zh-CN"/>
              </w:rPr>
              <w:t>0日以上（含）</w:t>
            </w:r>
          </w:p>
        </w:tc>
        <w:tc>
          <w:tcPr>
            <w:tcW w:w="2500" w:type="pct"/>
            <w:tcBorders>
              <w:top w:val="single" w:color="auto" w:sz="4" w:space="0"/>
              <w:left w:val="single" w:color="auto" w:sz="4" w:space="0"/>
              <w:bottom w:val="single" w:color="auto" w:sz="4" w:space="0"/>
              <w:right w:val="single" w:color="auto" w:sz="4" w:space="0"/>
            </w:tcBorders>
            <w:vAlign w:val="top"/>
          </w:tcPr>
          <w:p w14:paraId="1B9EF5C7">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0</w:t>
            </w:r>
          </w:p>
        </w:tc>
      </w:tr>
    </w:tbl>
    <w:p w14:paraId="41837186">
      <w:pPr>
        <w:widowControl/>
        <w:adjustRightInd w:val="0"/>
        <w:snapToGrid w:val="0"/>
        <w:spacing w:line="360" w:lineRule="auto"/>
        <w:ind w:firstLine="480" w:firstLineChars="200"/>
        <w:rPr>
          <w:rFonts w:hint="eastAsia" w:hAnsi="宋体"/>
          <w:kern w:val="0"/>
          <w:sz w:val="24"/>
          <w:szCs w:val="24"/>
        </w:rPr>
      </w:pPr>
    </w:p>
    <w:p w14:paraId="59EE5BE8">
      <w:pPr>
        <w:widowControl/>
        <w:adjustRightInd w:val="0"/>
        <w:snapToGrid w:val="0"/>
        <w:spacing w:before="143" w:beforeLines="50" w:line="360" w:lineRule="auto"/>
        <w:ind w:firstLine="480" w:firstLineChars="200"/>
        <w:rPr>
          <w:rFonts w:hAnsi="宋体"/>
          <w:kern w:val="0"/>
          <w:sz w:val="24"/>
          <w:szCs w:val="24"/>
        </w:rPr>
      </w:pPr>
      <w:bookmarkStart w:id="35" w:name="_Hlk120873722"/>
      <w:r>
        <w:rPr>
          <w:rFonts w:hAnsi="宋体"/>
          <w:kern w:val="0"/>
          <w:sz w:val="24"/>
          <w:szCs w:val="24"/>
        </w:rPr>
        <w:t>3、基金管理人可以在基金合同约定的范围内调整费率或收费方式，并最迟应于新的费率或收费方式实施日前依照《信息披露办法》的有关规定在规定媒介上公告。</w:t>
      </w:r>
    </w:p>
    <w:p w14:paraId="4123B34C">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269C3ABA">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销售服务费率。</w:t>
      </w:r>
    </w:p>
    <w:bookmarkEnd w:id="35"/>
    <w:p w14:paraId="75089DE4">
      <w:pPr>
        <w:widowControl/>
        <w:adjustRightInd w:val="0"/>
        <w:snapToGrid w:val="0"/>
        <w:spacing w:line="360" w:lineRule="auto"/>
        <w:ind w:firstLine="482" w:firstLineChars="200"/>
        <w:rPr>
          <w:b/>
          <w:kern w:val="0"/>
          <w:sz w:val="24"/>
          <w:szCs w:val="24"/>
        </w:rPr>
      </w:pPr>
      <w:bookmarkStart w:id="36" w:name="_Hlt90458725"/>
      <w:bookmarkEnd w:id="36"/>
      <w:bookmarkStart w:id="37" w:name="_Hlt81024033"/>
      <w:bookmarkEnd w:id="37"/>
      <w:bookmarkStart w:id="38" w:name="_Hlt91144389"/>
      <w:bookmarkEnd w:id="38"/>
      <w:r>
        <w:rPr>
          <w:rFonts w:hAnsi="宋体"/>
          <w:b/>
          <w:kern w:val="0"/>
          <w:sz w:val="24"/>
          <w:szCs w:val="24"/>
        </w:rPr>
        <w:t>（七）申购和赎回的数额和价格</w:t>
      </w:r>
    </w:p>
    <w:p w14:paraId="5A3E83F4">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1、申购和赎回数额、余额的处理方式</w:t>
      </w:r>
    </w:p>
    <w:p w14:paraId="16482D61">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w:t>
      </w:r>
      <w:r>
        <w:rPr>
          <w:sz w:val="24"/>
        </w:rPr>
        <w:t>A</w:t>
      </w:r>
      <w:r>
        <w:rPr>
          <w:rFonts w:hAnsi="宋体"/>
          <w:sz w:val="24"/>
        </w:rPr>
        <w:t>类基金份额</w:t>
      </w:r>
      <w:r>
        <w:rPr>
          <w:rFonts w:hint="eastAsia" w:hAnsi="宋体"/>
          <w:sz w:val="24"/>
        </w:rPr>
        <w:t>或C类基金份额</w:t>
      </w:r>
      <w:r>
        <w:rPr>
          <w:rFonts w:hAnsi="宋体"/>
          <w:kern w:val="0"/>
          <w:sz w:val="24"/>
          <w:szCs w:val="24"/>
        </w:rPr>
        <w:t>的有效份额为净申购金额除以当日</w:t>
      </w:r>
      <w:r>
        <w:rPr>
          <w:rFonts w:hint="eastAsia"/>
          <w:bCs/>
          <w:sz w:val="24"/>
        </w:rPr>
        <w:t>该类基金份额</w:t>
      </w:r>
      <w:r>
        <w:rPr>
          <w:rFonts w:hAnsi="宋体"/>
          <w:kern w:val="0"/>
          <w:sz w:val="24"/>
          <w:szCs w:val="24"/>
        </w:rPr>
        <w:t>的基金份额净值，有效份额单位为份，</w:t>
      </w:r>
      <w:r>
        <w:rPr>
          <w:rFonts w:hint="eastAsia" w:hAnsi="宋体"/>
          <w:kern w:val="0"/>
          <w:sz w:val="24"/>
          <w:szCs w:val="24"/>
        </w:rPr>
        <w:t>申购份额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14:paraId="28355B6E">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sz w:val="24"/>
        </w:rPr>
        <w:t>A</w:t>
      </w:r>
      <w:r>
        <w:rPr>
          <w:rFonts w:hAnsi="宋体"/>
          <w:sz w:val="24"/>
        </w:rPr>
        <w:t>类</w:t>
      </w:r>
      <w:r>
        <w:rPr>
          <w:rFonts w:hint="eastAsia" w:hAnsi="宋体"/>
          <w:sz w:val="24"/>
        </w:rPr>
        <w:t>基金份额或C类基金份额的</w:t>
      </w:r>
      <w:r>
        <w:rPr>
          <w:rFonts w:hAnsi="宋体"/>
          <w:kern w:val="0"/>
          <w:sz w:val="24"/>
          <w:szCs w:val="24"/>
        </w:rPr>
        <w:t>赎回金额为按实际确认的有效赎回份额乘以当日</w:t>
      </w:r>
      <w:r>
        <w:rPr>
          <w:rFonts w:hint="eastAsia"/>
          <w:bCs/>
          <w:sz w:val="24"/>
        </w:rPr>
        <w:t>该类基金份额的</w:t>
      </w:r>
      <w:r>
        <w:rPr>
          <w:rFonts w:hAnsi="宋体"/>
          <w:kern w:val="0"/>
          <w:sz w:val="24"/>
          <w:szCs w:val="24"/>
        </w:rPr>
        <w:t>基金份额净值并扣除</w:t>
      </w:r>
      <w:r>
        <w:rPr>
          <w:rFonts w:hint="eastAsia" w:hAnsi="宋体"/>
          <w:kern w:val="0"/>
          <w:sz w:val="24"/>
          <w:szCs w:val="24"/>
          <w:lang w:val="en-US" w:eastAsia="zh-CN"/>
        </w:rPr>
        <w:t>或加上</w:t>
      </w:r>
      <w:r>
        <w:rPr>
          <w:rFonts w:hAnsi="宋体"/>
          <w:kern w:val="0"/>
          <w:sz w:val="24"/>
          <w:szCs w:val="24"/>
        </w:rPr>
        <w:t>相应的费用（如有），赎回金额单位为元。</w:t>
      </w:r>
      <w:r>
        <w:rPr>
          <w:rFonts w:hint="eastAsia" w:hAnsi="宋体"/>
          <w:kern w:val="0"/>
          <w:sz w:val="24"/>
          <w:szCs w:val="24"/>
        </w:rPr>
        <w:t>赎回金额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14:paraId="66C355CF">
      <w:pPr>
        <w:widowControl/>
        <w:adjustRightInd w:val="0"/>
        <w:snapToGrid w:val="0"/>
        <w:spacing w:line="360" w:lineRule="auto"/>
        <w:ind w:firstLine="480" w:firstLineChars="200"/>
        <w:rPr>
          <w:rFonts w:hAnsi="宋体"/>
          <w:kern w:val="0"/>
          <w:sz w:val="24"/>
          <w:szCs w:val="24"/>
        </w:rPr>
      </w:pPr>
      <w:r>
        <w:rPr>
          <w:rFonts w:hAnsi="宋体"/>
          <w:kern w:val="0"/>
          <w:sz w:val="24"/>
          <w:szCs w:val="24"/>
        </w:rPr>
        <w:t>2、申购份额的计算</w:t>
      </w:r>
    </w:p>
    <w:p w14:paraId="4B1E583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本基金采用金额申购的方式。</w:t>
      </w:r>
    </w:p>
    <w:p w14:paraId="786E161C">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A类基金份额的申购</w:t>
      </w:r>
    </w:p>
    <w:p w14:paraId="7232C21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14:paraId="626D8D9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净申购金额=申购总金额/（1+申购费率）</w:t>
      </w:r>
    </w:p>
    <w:p w14:paraId="7E66CE0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w:t>
      </w:r>
      <w:r>
        <w:rPr>
          <w:rFonts w:hint="eastAsia" w:ascii="Times New Roman" w:hAnsi="Times New Roman"/>
          <w:sz w:val="24"/>
        </w:rPr>
        <w:t>①</w:t>
      </w:r>
      <w:r>
        <w:rPr>
          <w:rFonts w:hint="eastAsia" w:hAnsi="宋体"/>
          <w:kern w:val="0"/>
          <w:sz w:val="24"/>
          <w:szCs w:val="24"/>
        </w:rPr>
        <w:t>对于适用固定金额申购费用的申购，净申购金额＝申购总金额－固定申购费用金额；</w:t>
      </w:r>
      <w:r>
        <w:rPr>
          <w:rFonts w:hint="eastAsia" w:ascii="宋体" w:hAnsi="宋体" w:cs="宋体"/>
          <w:kern w:val="0"/>
          <w:sz w:val="24"/>
          <w:szCs w:val="24"/>
        </w:rPr>
        <w:t>②对于通过直销机构申购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ascii="宋体" w:hAnsi="宋体" w:cs="宋体"/>
          <w:kern w:val="0"/>
          <w:sz w:val="24"/>
          <w:szCs w:val="24"/>
        </w:rPr>
        <w:t>基金份额的，申购费率均为0</w:t>
      </w:r>
      <w:r>
        <w:rPr>
          <w:rFonts w:hint="eastAsia" w:hAnsi="宋体"/>
          <w:kern w:val="0"/>
          <w:sz w:val="24"/>
          <w:szCs w:val="24"/>
        </w:rPr>
        <w:t>）</w:t>
      </w:r>
    </w:p>
    <w:p w14:paraId="2C1E829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申购费用=申购总金额-净申购金额</w:t>
      </w:r>
    </w:p>
    <w:p w14:paraId="650F723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（注：对于适用固定金额申购费用的申购，申购费用＝固定申购费用金额）</w:t>
      </w:r>
    </w:p>
    <w:p w14:paraId="61502D4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r>
        <w:rPr>
          <w:rFonts w:hint="eastAsia" w:ascii="宋体" w:hAnsi="宋体"/>
          <w:sz w:val="24"/>
        </w:rPr>
        <w:t>净申购金额</w:t>
      </w:r>
      <w:r>
        <w:rPr>
          <w:rFonts w:hint="eastAsia" w:hAnsi="宋体"/>
          <w:kern w:val="0"/>
          <w:sz w:val="24"/>
          <w:szCs w:val="24"/>
        </w:rPr>
        <w:t>/T日A类基金份额净值</w:t>
      </w:r>
    </w:p>
    <w:p w14:paraId="3195C5D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例四：某投资者通过直销机构投资100,000.00元申购本基金A类基金份额，假设申购当日A类基金份额净值为1.0400元，申购费率为0，则其可得到的申购份额为：</w:t>
      </w:r>
    </w:p>
    <w:p w14:paraId="455B56D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申购总金额＝100,000.00元</w:t>
      </w:r>
    </w:p>
    <w:p w14:paraId="0BB974B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净申购金额=100,000.00/（1+0）=100,000.00元</w:t>
      </w:r>
    </w:p>
    <w:p w14:paraId="03A25FF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申购费用=100,000.00-100,000.00=0.00元</w:t>
      </w:r>
    </w:p>
    <w:p w14:paraId="1776102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申购份额=100,000.00/1.0400=96,153.85份</w:t>
      </w:r>
    </w:p>
    <w:p w14:paraId="1DD99386">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即：该投资者通过直销机构投资100,000.00元申购本基金A类基金份额，假设申购当日A类基金份额净值为1.0400元，则其可得到96,153.85份A类基金份额。</w:t>
      </w:r>
    </w:p>
    <w:p w14:paraId="0482F792">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例五：某投资者通过其他销售机构投资100,000.00元申购本基金的A类基金份额，假设申购当日A类基金份额净值为1.0400元，申购费率为0.3%，则其可得到的申购份额为：</w:t>
      </w:r>
    </w:p>
    <w:p w14:paraId="3F18756D">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申购总金额＝100,000.00元</w:t>
      </w:r>
    </w:p>
    <w:p w14:paraId="4CCD0DE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净申购金额=100,000.00/（1+0.3%）=99,700.90元</w:t>
      </w:r>
    </w:p>
    <w:p w14:paraId="6354DB77">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申购费用=100,000.00-99,700.90=299.10元</w:t>
      </w:r>
    </w:p>
    <w:p w14:paraId="3945C8A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申购份额=99,700.90/1.0400=95,866.25份</w:t>
      </w:r>
    </w:p>
    <w:p w14:paraId="6253C5B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即：该投资者通过其他销售机构投资100,000.00元申购本基金A类基金份额，假设申购当日A类基金份额净值为1.0400元，则其可得到95,866.25份A类基金份额。</w:t>
      </w:r>
    </w:p>
    <w:p w14:paraId="0A1209BD">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C类基金份额的申购</w:t>
      </w:r>
    </w:p>
    <w:p w14:paraId="531D926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如果投资者选择申购C类基金份额，则申购份额的计算方法如下：</w:t>
      </w:r>
    </w:p>
    <w:p w14:paraId="0FBAF25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14:paraId="157B5F9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申购份额=申购总金额/T日C类基金份额净值</w:t>
      </w:r>
    </w:p>
    <w:p w14:paraId="21E3156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例六：某投资者投资100,000</w:t>
      </w:r>
      <w:r>
        <w:rPr>
          <w:rFonts w:hAnsi="宋体"/>
          <w:kern w:val="0"/>
          <w:sz w:val="24"/>
          <w:szCs w:val="24"/>
        </w:rPr>
        <w:t>.00</w:t>
      </w:r>
      <w:r>
        <w:rPr>
          <w:rFonts w:hint="eastAsia" w:hAnsi="宋体"/>
          <w:kern w:val="0"/>
          <w:sz w:val="24"/>
          <w:szCs w:val="24"/>
        </w:rPr>
        <w:t>元申购本基金的C类基金份额，假设申购当日C类基金份额净值为1.0400元，则其可得到的申购份额为：</w:t>
      </w:r>
    </w:p>
    <w:p w14:paraId="5A24F18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申购总金额=100,000</w:t>
      </w:r>
      <w:r>
        <w:rPr>
          <w:rFonts w:hAnsi="宋体"/>
          <w:kern w:val="0"/>
          <w:sz w:val="24"/>
          <w:szCs w:val="24"/>
        </w:rPr>
        <w:t>.00</w:t>
      </w:r>
      <w:r>
        <w:rPr>
          <w:rFonts w:hint="eastAsia" w:hAnsi="宋体"/>
          <w:kern w:val="0"/>
          <w:sz w:val="24"/>
          <w:szCs w:val="24"/>
        </w:rPr>
        <w:t>元</w:t>
      </w:r>
    </w:p>
    <w:p w14:paraId="5A9B31F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申购份额＝100,000</w:t>
      </w:r>
      <w:r>
        <w:rPr>
          <w:rFonts w:hAnsi="宋体"/>
          <w:kern w:val="0"/>
          <w:sz w:val="24"/>
          <w:szCs w:val="24"/>
        </w:rPr>
        <w:t>.00</w:t>
      </w:r>
      <w:r>
        <w:rPr>
          <w:rFonts w:hint="eastAsia" w:hAnsi="宋体"/>
          <w:kern w:val="0"/>
          <w:sz w:val="24"/>
          <w:szCs w:val="24"/>
        </w:rPr>
        <w:t>/1.0400＝96,153.85份</w:t>
      </w:r>
    </w:p>
    <w:p w14:paraId="3475846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即：该投资者投资100,000.</w:t>
      </w:r>
      <w:r>
        <w:rPr>
          <w:rFonts w:hAnsi="宋体"/>
          <w:kern w:val="0"/>
          <w:sz w:val="24"/>
          <w:szCs w:val="24"/>
        </w:rPr>
        <w:t>00</w:t>
      </w:r>
      <w:r>
        <w:rPr>
          <w:rFonts w:hint="eastAsia" w:hAnsi="宋体"/>
          <w:kern w:val="0"/>
          <w:sz w:val="24"/>
          <w:szCs w:val="24"/>
        </w:rPr>
        <w:t>元申购本基金的C类基金份额，假设申购当日C类基金份额净值为1.0400元，则其可得到96,153.85份C类基金份额。</w:t>
      </w:r>
    </w:p>
    <w:p w14:paraId="7BE0B1B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3、赎回金额的计算</w:t>
      </w:r>
    </w:p>
    <w:p w14:paraId="2DD47E9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本基金采用“份额赎回”的方式。</w:t>
      </w:r>
    </w:p>
    <w:p w14:paraId="5FC1F25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赎回费用=赎回份额×T日该类基金份额净值×赎回费率</w:t>
      </w:r>
    </w:p>
    <w:p w14:paraId="11FBCAD5">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赎回金额=赎回份额×T日该类基金份额净值-赎回费用+该笔赎回确认应返还的销售服务费（如有）</w:t>
      </w:r>
    </w:p>
    <w:p w14:paraId="0A3B696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其中，对于投资</w:t>
      </w:r>
      <w:r>
        <w:rPr>
          <w:rFonts w:hint="eastAsia" w:hAnsi="宋体"/>
          <w:kern w:val="0"/>
          <w:sz w:val="24"/>
          <w:szCs w:val="24"/>
          <w:lang w:val="en-US" w:eastAsia="zh-CN"/>
        </w:rPr>
        <w:t>者</w:t>
      </w:r>
      <w:r>
        <w:rPr>
          <w:rFonts w:hint="eastAsia" w:hAnsi="宋体"/>
          <w:kern w:val="0"/>
          <w:sz w:val="24"/>
          <w:szCs w:val="24"/>
        </w:rPr>
        <w:t>通过直销机构认购/申购的C类基金份额所计提的销售服务费，或者通过其他销售机构认购/申购的C类基金份额持续持有超过一年后所计提的销售服务费，将在投资人赎回相应基金份额时随赎回款一并返还给投资</w:t>
      </w:r>
      <w:r>
        <w:rPr>
          <w:rFonts w:hint="eastAsia" w:hAnsi="宋体"/>
          <w:kern w:val="0"/>
          <w:sz w:val="24"/>
          <w:szCs w:val="24"/>
          <w:lang w:val="en-US" w:eastAsia="zh-CN"/>
        </w:rPr>
        <w:t>者</w:t>
      </w:r>
      <w:r>
        <w:rPr>
          <w:rFonts w:hint="eastAsia" w:hAnsi="宋体"/>
          <w:kern w:val="0"/>
          <w:sz w:val="24"/>
          <w:szCs w:val="24"/>
        </w:rPr>
        <w:t>。</w:t>
      </w:r>
    </w:p>
    <w:p w14:paraId="763A907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w:t>
      </w:r>
      <w:r>
        <w:rPr>
          <w:rFonts w:hint="eastAsia" w:hAnsi="宋体"/>
          <w:kern w:val="0"/>
          <w:sz w:val="24"/>
          <w:szCs w:val="24"/>
          <w:lang w:val="en-US" w:eastAsia="zh-CN"/>
        </w:rPr>
        <w:t>七</w:t>
      </w:r>
      <w:r>
        <w:rPr>
          <w:rFonts w:hint="eastAsia" w:hAnsi="宋体"/>
          <w:kern w:val="0"/>
          <w:sz w:val="24"/>
          <w:szCs w:val="24"/>
        </w:rPr>
        <w:t>：某个人投资者赎回持有的10,000</w:t>
      </w:r>
      <w:r>
        <w:rPr>
          <w:rFonts w:hAnsi="宋体"/>
          <w:kern w:val="0"/>
          <w:sz w:val="24"/>
          <w:szCs w:val="24"/>
        </w:rPr>
        <w:t>.00</w:t>
      </w:r>
      <w:r>
        <w:rPr>
          <w:rFonts w:hint="eastAsia" w:hAnsi="宋体"/>
          <w:kern w:val="0"/>
          <w:sz w:val="24"/>
          <w:szCs w:val="24"/>
        </w:rPr>
        <w:t>份A类基金份额，持有期限为7天，对应的赎回费率为0，假设赎回当日A类基金份额净值是1.0160元，则其可得到的赎回金额为：</w:t>
      </w:r>
    </w:p>
    <w:p w14:paraId="51F7CF9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赎回费用=10,000</w:t>
      </w:r>
      <w:r>
        <w:rPr>
          <w:rFonts w:hAnsi="宋体"/>
          <w:kern w:val="0"/>
          <w:sz w:val="24"/>
          <w:szCs w:val="24"/>
        </w:rPr>
        <w:t>.00</w:t>
      </w:r>
      <w:r>
        <w:rPr>
          <w:rFonts w:hint="eastAsia" w:hAnsi="宋体"/>
          <w:kern w:val="0"/>
          <w:sz w:val="24"/>
          <w:szCs w:val="24"/>
        </w:rPr>
        <w:t>×1.0160×0＝0</w:t>
      </w:r>
      <w:r>
        <w:rPr>
          <w:rFonts w:hAnsi="宋体"/>
          <w:kern w:val="0"/>
          <w:sz w:val="24"/>
          <w:szCs w:val="24"/>
        </w:rPr>
        <w:t>.00</w:t>
      </w:r>
      <w:r>
        <w:rPr>
          <w:rFonts w:hint="eastAsia" w:hAnsi="宋体"/>
          <w:kern w:val="0"/>
          <w:sz w:val="24"/>
          <w:szCs w:val="24"/>
        </w:rPr>
        <w:t>元</w:t>
      </w:r>
    </w:p>
    <w:p w14:paraId="02AC4B5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赎回金额=10,000</w:t>
      </w:r>
      <w:r>
        <w:rPr>
          <w:rFonts w:hAnsi="宋体"/>
          <w:kern w:val="0"/>
          <w:sz w:val="24"/>
          <w:szCs w:val="24"/>
        </w:rPr>
        <w:t>.00</w:t>
      </w:r>
      <w:r>
        <w:rPr>
          <w:rFonts w:hint="eastAsia" w:hAnsi="宋体"/>
          <w:kern w:val="0"/>
          <w:sz w:val="24"/>
          <w:szCs w:val="24"/>
        </w:rPr>
        <w:t>×1.0160-</w:t>
      </w:r>
      <w:r>
        <w:rPr>
          <w:rFonts w:hAnsi="宋体"/>
          <w:kern w:val="0"/>
          <w:sz w:val="24"/>
          <w:szCs w:val="24"/>
        </w:rPr>
        <w:t>0</w:t>
      </w:r>
      <w:r>
        <w:rPr>
          <w:rFonts w:hint="eastAsia" w:hAnsi="宋体"/>
          <w:kern w:val="0"/>
          <w:sz w:val="24"/>
          <w:szCs w:val="24"/>
        </w:rPr>
        <w:t>＝10,1</w:t>
      </w:r>
      <w:r>
        <w:rPr>
          <w:rFonts w:hAnsi="宋体"/>
          <w:kern w:val="0"/>
          <w:sz w:val="24"/>
          <w:szCs w:val="24"/>
        </w:rPr>
        <w:t>60</w:t>
      </w:r>
      <w:r>
        <w:rPr>
          <w:rFonts w:hint="eastAsia" w:hAnsi="宋体"/>
          <w:kern w:val="0"/>
          <w:sz w:val="24"/>
          <w:szCs w:val="24"/>
        </w:rPr>
        <w:t>.</w:t>
      </w:r>
      <w:r>
        <w:rPr>
          <w:rFonts w:hAnsi="宋体"/>
          <w:kern w:val="0"/>
          <w:sz w:val="24"/>
          <w:szCs w:val="24"/>
        </w:rPr>
        <w:t>0</w:t>
      </w:r>
      <w:r>
        <w:rPr>
          <w:rFonts w:hint="eastAsia" w:hAnsi="宋体"/>
          <w:kern w:val="0"/>
          <w:sz w:val="24"/>
          <w:szCs w:val="24"/>
        </w:rPr>
        <w:t>0元</w:t>
      </w:r>
    </w:p>
    <w:p w14:paraId="7F122BF9">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即：该个人投资者赎回本基金10,000</w:t>
      </w:r>
      <w:r>
        <w:rPr>
          <w:rFonts w:hAnsi="宋体"/>
          <w:kern w:val="0"/>
          <w:sz w:val="24"/>
          <w:szCs w:val="24"/>
        </w:rPr>
        <w:t>.00</w:t>
      </w:r>
      <w:r>
        <w:rPr>
          <w:rFonts w:hint="eastAsia" w:hAnsi="宋体"/>
          <w:kern w:val="0"/>
          <w:sz w:val="24"/>
          <w:szCs w:val="24"/>
        </w:rPr>
        <w:t>份A类基金份额，持有期限为7天，对应的赎回费率为0，假设赎回当日A类基金份额净值是1.0160元，则其可得到的赎回金额为10,1</w:t>
      </w:r>
      <w:r>
        <w:rPr>
          <w:rFonts w:hAnsi="宋体"/>
          <w:kern w:val="0"/>
          <w:sz w:val="24"/>
          <w:szCs w:val="24"/>
        </w:rPr>
        <w:t>60</w:t>
      </w:r>
      <w:r>
        <w:rPr>
          <w:rFonts w:hint="eastAsia" w:hAnsi="宋体"/>
          <w:kern w:val="0"/>
          <w:sz w:val="24"/>
          <w:szCs w:val="24"/>
        </w:rPr>
        <w:t>.</w:t>
      </w:r>
      <w:r>
        <w:rPr>
          <w:rFonts w:hAnsi="宋体"/>
          <w:kern w:val="0"/>
          <w:sz w:val="24"/>
          <w:szCs w:val="24"/>
        </w:rPr>
        <w:t>0</w:t>
      </w:r>
      <w:r>
        <w:rPr>
          <w:rFonts w:hint="eastAsia" w:hAnsi="宋体"/>
          <w:kern w:val="0"/>
          <w:sz w:val="24"/>
          <w:szCs w:val="24"/>
        </w:rPr>
        <w:t>0元。</w:t>
      </w:r>
    </w:p>
    <w:p w14:paraId="0E152B80">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例</w:t>
      </w:r>
      <w:r>
        <w:rPr>
          <w:rFonts w:hint="eastAsia" w:hAnsi="宋体"/>
          <w:kern w:val="0"/>
          <w:sz w:val="24"/>
          <w:szCs w:val="24"/>
          <w:lang w:val="en-US" w:eastAsia="zh-CN"/>
        </w:rPr>
        <w:t>八</w:t>
      </w:r>
      <w:r>
        <w:rPr>
          <w:rFonts w:hint="eastAsia" w:hAnsi="宋体"/>
          <w:kern w:val="0"/>
          <w:sz w:val="24"/>
          <w:szCs w:val="24"/>
        </w:rPr>
        <w:t>：某机构投资者赎回100,000.00份A类基金份额，持有期限为20日，对应的赎回费率为1.0%，假设赎回当日A类基金份额净值是1.0160元，则其可得到的赎回金额为：</w:t>
      </w:r>
    </w:p>
    <w:p w14:paraId="608E56CB">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赎回费用=100,000.00×1.0160×1.0%＝1,016.00元</w:t>
      </w:r>
    </w:p>
    <w:p w14:paraId="249E520A">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赎回金额=100,000.00×1.0160－1,016.00＝100,584.00元</w:t>
      </w:r>
    </w:p>
    <w:p w14:paraId="5536F7D2">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即：该机构投资者赎回100,000.00份A类基金份额，持有期限为20日，对应的赎回费率为1.0%，假设赎回当日A类基金份额净值是1.0160元，则其可得到的赎回金额为100,584.00元。</w:t>
      </w:r>
    </w:p>
    <w:p w14:paraId="114D8FC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w:t>
      </w:r>
      <w:r>
        <w:rPr>
          <w:rFonts w:hint="eastAsia" w:hAnsi="宋体"/>
          <w:kern w:val="0"/>
          <w:sz w:val="24"/>
          <w:szCs w:val="24"/>
          <w:lang w:val="en-US" w:eastAsia="zh-CN"/>
        </w:rPr>
        <w:t>九</w:t>
      </w:r>
      <w:r>
        <w:rPr>
          <w:rFonts w:hint="eastAsia" w:hAnsi="宋体"/>
          <w:kern w:val="0"/>
          <w:sz w:val="24"/>
          <w:szCs w:val="24"/>
        </w:rPr>
        <w:t>：某个人投资人通过直销机构申购本基金C类基金份额，持有9个月</w:t>
      </w:r>
      <w:r>
        <w:rPr>
          <w:rFonts w:hint="eastAsia" w:hAnsi="宋体"/>
          <w:kern w:val="0"/>
          <w:sz w:val="24"/>
          <w:szCs w:val="24"/>
          <w:lang w:eastAsia="zh-CN"/>
        </w:rPr>
        <w:t>，</w:t>
      </w:r>
      <w:r>
        <w:rPr>
          <w:rFonts w:hint="eastAsia" w:hAnsi="宋体"/>
          <w:kern w:val="0"/>
          <w:sz w:val="24"/>
          <w:szCs w:val="24"/>
        </w:rPr>
        <w:t>赎回100,000.00份，对应赎回费率为0，假设赎回当日C类基金份额净值是1.0170元，且假设该笔赎回确认应返还的销售服务费为10.00元（即通过直销机构认购、申购的C类基金份额计提的销售服务费，在投资者赎回相应基金份额时随赎回款一并返还），则其可得到的赎回金额为：</w:t>
      </w:r>
    </w:p>
    <w:p w14:paraId="2E33CB7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赎回费用＝0.00元</w:t>
      </w:r>
    </w:p>
    <w:p w14:paraId="549F27E3">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赎回金额＝100,000×1.0170－0.00+10.00＝101,710.00元</w:t>
      </w:r>
    </w:p>
    <w:p w14:paraId="58AFE389">
      <w:pPr>
        <w:widowControl/>
        <w:adjustRightInd w:val="0"/>
        <w:snapToGrid w:val="0"/>
        <w:spacing w:line="360" w:lineRule="auto"/>
        <w:ind w:firstLine="480" w:firstLineChars="200"/>
        <w:rPr>
          <w:rFonts w:hint="eastAsia" w:hAnsi="宋体" w:eastAsia="宋体"/>
          <w:kern w:val="0"/>
          <w:sz w:val="24"/>
          <w:szCs w:val="24"/>
          <w:lang w:val="en-US" w:eastAsia="zh-CN"/>
        </w:rPr>
      </w:pPr>
      <w:r>
        <w:rPr>
          <w:rFonts w:hint="eastAsia" w:hAnsi="宋体"/>
          <w:kern w:val="0"/>
          <w:sz w:val="24"/>
          <w:szCs w:val="24"/>
          <w:lang w:val="en-US" w:eastAsia="zh-CN"/>
        </w:rPr>
        <w:t>即：该</w:t>
      </w:r>
      <w:r>
        <w:rPr>
          <w:rFonts w:hint="eastAsia" w:hAnsi="宋体"/>
          <w:kern w:val="0"/>
          <w:sz w:val="24"/>
          <w:szCs w:val="24"/>
        </w:rPr>
        <w:t>个人投资人通过直销机构申购本基金C类基金份额，持有9个月</w:t>
      </w:r>
      <w:r>
        <w:rPr>
          <w:rFonts w:hint="eastAsia" w:hAnsi="宋体"/>
          <w:kern w:val="0"/>
          <w:sz w:val="24"/>
          <w:szCs w:val="24"/>
          <w:lang w:eastAsia="zh-CN"/>
        </w:rPr>
        <w:t>，</w:t>
      </w:r>
      <w:r>
        <w:rPr>
          <w:rFonts w:hint="eastAsia" w:hAnsi="宋体"/>
          <w:kern w:val="0"/>
          <w:sz w:val="24"/>
          <w:szCs w:val="24"/>
        </w:rPr>
        <w:t>赎回100,000.00份，对应赎回费率为0，假设赎回当日C类基金份额净值是1.0170元，且假设该笔赎回确认应返还的销售服务费为10.00元，则其可得到的赎回金额为101,710.00</w:t>
      </w:r>
      <w:r>
        <w:rPr>
          <w:rFonts w:hint="eastAsia" w:hAnsi="宋体"/>
          <w:kern w:val="0"/>
          <w:sz w:val="24"/>
          <w:szCs w:val="24"/>
          <w:lang w:val="en-US" w:eastAsia="zh-CN"/>
        </w:rPr>
        <w:t>元</w:t>
      </w:r>
      <w:r>
        <w:rPr>
          <w:rFonts w:hint="eastAsia" w:hAnsi="宋体"/>
          <w:kern w:val="0"/>
          <w:sz w:val="24"/>
          <w:szCs w:val="24"/>
          <w:lang w:eastAsia="zh-CN"/>
        </w:rPr>
        <w:t>。</w:t>
      </w:r>
    </w:p>
    <w:p w14:paraId="615656F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w:t>
      </w:r>
      <w:r>
        <w:rPr>
          <w:rFonts w:hint="eastAsia" w:hAnsi="宋体"/>
          <w:kern w:val="0"/>
          <w:sz w:val="24"/>
          <w:szCs w:val="24"/>
          <w:lang w:val="en-US" w:eastAsia="zh-CN"/>
        </w:rPr>
        <w:t>十</w:t>
      </w:r>
      <w:r>
        <w:rPr>
          <w:rFonts w:hint="eastAsia" w:hAnsi="宋体"/>
          <w:kern w:val="0"/>
          <w:sz w:val="24"/>
          <w:szCs w:val="24"/>
        </w:rPr>
        <w:t>：某个人投资人通过其他销售机构申购本基金C类基金份额，持有730日</w:t>
      </w:r>
      <w:r>
        <w:rPr>
          <w:rFonts w:hint="eastAsia" w:hAnsi="宋体"/>
          <w:kern w:val="0"/>
          <w:sz w:val="24"/>
          <w:szCs w:val="24"/>
          <w:lang w:eastAsia="zh-CN"/>
        </w:rPr>
        <w:t>，</w:t>
      </w:r>
      <w:r>
        <w:rPr>
          <w:rFonts w:hint="eastAsia" w:hAnsi="宋体"/>
          <w:kern w:val="0"/>
          <w:sz w:val="24"/>
          <w:szCs w:val="24"/>
        </w:rPr>
        <w:t>赎回100,000.00份，对应赎回费率为0，假设赎回当日C类基金份额净值是1.0170元，且假设该笔赎回确认应返还的销售服务费为20.00元（</w:t>
      </w:r>
      <w:r>
        <w:rPr>
          <w:rFonts w:hint="eastAsia" w:hAnsi="宋体"/>
          <w:sz w:val="24"/>
          <w:szCs w:val="24"/>
        </w:rPr>
        <w:t>即通过其他销售机构认购/申购的</w:t>
      </w:r>
      <w:r>
        <w:rPr>
          <w:rFonts w:hint="eastAsia" w:ascii="Times New Roman" w:hAnsi="Times New Roman"/>
          <w:sz w:val="24"/>
          <w:lang w:val="en-US" w:eastAsia="zh-CN"/>
        </w:rPr>
        <w:t>C</w:t>
      </w:r>
      <w:r>
        <w:rPr>
          <w:rFonts w:hint="eastAsia" w:hAnsi="宋体"/>
          <w:sz w:val="24"/>
          <w:szCs w:val="24"/>
        </w:rPr>
        <w:t>类基金份额持续持有超过一年后所计提的销售服务费</w:t>
      </w:r>
      <w:r>
        <w:rPr>
          <w:rFonts w:hint="eastAsia" w:hAnsi="宋体"/>
          <w:kern w:val="0"/>
          <w:sz w:val="24"/>
          <w:szCs w:val="24"/>
        </w:rPr>
        <w:t>，在投资者赎回相应基金份额时随赎回款一并返还），则其可得到的赎回金额为：</w:t>
      </w:r>
    </w:p>
    <w:p w14:paraId="5DDD90E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赎回费用＝0.00元</w:t>
      </w:r>
    </w:p>
    <w:p w14:paraId="213A4361">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赎回金额＝100,000×1.0170－0.00+20.00＝101,720.00元</w:t>
      </w:r>
    </w:p>
    <w:p w14:paraId="65A1AFD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lang w:val="en-US" w:eastAsia="zh-CN"/>
        </w:rPr>
        <w:t>即：该</w:t>
      </w:r>
      <w:r>
        <w:rPr>
          <w:rFonts w:hint="eastAsia" w:hAnsi="宋体"/>
          <w:kern w:val="0"/>
          <w:sz w:val="24"/>
          <w:szCs w:val="24"/>
        </w:rPr>
        <w:t>个人投资人通过其他销售机构申购本基金C类基金份额，持有</w:t>
      </w:r>
      <w:r>
        <w:rPr>
          <w:rFonts w:hint="eastAsia" w:hAnsi="宋体"/>
          <w:kern w:val="0"/>
          <w:sz w:val="24"/>
          <w:szCs w:val="24"/>
          <w:lang w:val="en-US" w:eastAsia="zh-CN"/>
        </w:rPr>
        <w:t>730日</w:t>
      </w:r>
      <w:r>
        <w:rPr>
          <w:rFonts w:hint="eastAsia" w:hAnsi="宋体"/>
          <w:kern w:val="0"/>
          <w:sz w:val="24"/>
          <w:szCs w:val="24"/>
          <w:lang w:eastAsia="zh-CN"/>
        </w:rPr>
        <w:t>，</w:t>
      </w:r>
      <w:r>
        <w:rPr>
          <w:rFonts w:hint="eastAsia" w:hAnsi="宋体"/>
          <w:kern w:val="0"/>
          <w:sz w:val="24"/>
          <w:szCs w:val="24"/>
        </w:rPr>
        <w:t>赎回100,000.00份，对应赎回费率为0，假设赎回当日C类基金份额净值是1.0170元，且假设该笔赎回确认应返还的销售服务费为</w:t>
      </w:r>
      <w:r>
        <w:rPr>
          <w:rFonts w:hint="eastAsia" w:hAnsi="宋体"/>
          <w:kern w:val="0"/>
          <w:sz w:val="24"/>
          <w:szCs w:val="24"/>
          <w:lang w:val="en-US" w:eastAsia="zh-CN"/>
        </w:rPr>
        <w:t>2</w:t>
      </w:r>
      <w:r>
        <w:rPr>
          <w:rFonts w:hint="eastAsia" w:hAnsi="宋体"/>
          <w:kern w:val="0"/>
          <w:sz w:val="24"/>
          <w:szCs w:val="24"/>
        </w:rPr>
        <w:t>0.00元，则其可得到的赎回金额为101,7</w:t>
      </w:r>
      <w:r>
        <w:rPr>
          <w:rFonts w:hint="eastAsia" w:hAnsi="宋体"/>
          <w:kern w:val="0"/>
          <w:sz w:val="24"/>
          <w:szCs w:val="24"/>
          <w:lang w:val="en-US" w:eastAsia="zh-CN"/>
        </w:rPr>
        <w:t>2</w:t>
      </w:r>
      <w:r>
        <w:rPr>
          <w:rFonts w:hint="eastAsia" w:hAnsi="宋体"/>
          <w:kern w:val="0"/>
          <w:sz w:val="24"/>
          <w:szCs w:val="24"/>
        </w:rPr>
        <w:t>0.00</w:t>
      </w:r>
      <w:r>
        <w:rPr>
          <w:rFonts w:hint="eastAsia" w:hAnsi="宋体"/>
          <w:kern w:val="0"/>
          <w:sz w:val="24"/>
          <w:szCs w:val="24"/>
          <w:lang w:val="en-US" w:eastAsia="zh-CN"/>
        </w:rPr>
        <w:t>元</w:t>
      </w:r>
      <w:r>
        <w:rPr>
          <w:rFonts w:hint="eastAsia" w:hAnsi="宋体"/>
          <w:kern w:val="0"/>
          <w:sz w:val="24"/>
          <w:szCs w:val="24"/>
          <w:lang w:eastAsia="zh-CN"/>
        </w:rPr>
        <w:t>。</w:t>
      </w:r>
    </w:p>
    <w:p w14:paraId="2B63FC84">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、基金份额净值的计算公式</w:t>
      </w:r>
    </w:p>
    <w:p w14:paraId="689A5B3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A类基金份额净值＝A类基金份额的基金资产净值总额/发行在外的A类基金份额总数</w:t>
      </w:r>
    </w:p>
    <w:p w14:paraId="0AE39EF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C类基金份额净值＝C类基金份额的基金资产净值总额/发行在外的C类基金份额总数</w:t>
      </w:r>
    </w:p>
    <w:p w14:paraId="6C03B317">
      <w:pPr>
        <w:widowControl/>
        <w:adjustRightInd w:val="0"/>
        <w:snapToGrid w:val="0"/>
        <w:spacing w:line="360" w:lineRule="auto"/>
        <w:ind w:firstLine="480" w:firstLineChars="200"/>
        <w:rPr>
          <w:kern w:val="0"/>
          <w:sz w:val="24"/>
          <w:szCs w:val="24"/>
        </w:rPr>
      </w:pPr>
      <w:r>
        <w:rPr>
          <w:rFonts w:hint="eastAsia" w:hAnsi="宋体"/>
          <w:kern w:val="0"/>
          <w:sz w:val="24"/>
          <w:szCs w:val="24"/>
        </w:rPr>
        <w:t>本基金T日的基金份额净值在当天收市后计算，并在T＋1日（包括该日）内公告。遇特殊情况，经履行适当程序，可以适当延迟计算或公告。本基金A类基金份额和C类基金份额的基金份额净值的计算，均保留到小数点后4位，小数点后第5位四舍五入，由此产生的收益或损失由基金财产承担</w:t>
      </w:r>
      <w:r>
        <w:rPr>
          <w:rFonts w:hAnsi="宋体"/>
          <w:sz w:val="24"/>
          <w:szCs w:val="24"/>
        </w:rPr>
        <w:t>。</w:t>
      </w:r>
    </w:p>
    <w:p w14:paraId="3D68A0B2">
      <w:pPr>
        <w:adjustRightInd w:val="0"/>
        <w:snapToGrid w:val="0"/>
        <w:spacing w:line="360" w:lineRule="auto"/>
        <w:ind w:firstLine="482" w:firstLineChars="200"/>
        <w:rPr>
          <w:rFonts w:hAnsi="宋体"/>
          <w:kern w:val="0"/>
          <w:sz w:val="24"/>
          <w:szCs w:val="24"/>
        </w:rPr>
      </w:pPr>
      <w:bookmarkStart w:id="39" w:name="_Toc79392615"/>
      <w:bookmarkStart w:id="40" w:name="_Hlk120874007"/>
      <w:r>
        <w:rPr>
          <w:rFonts w:hAnsi="宋体"/>
          <w:b/>
          <w:kern w:val="0"/>
          <w:sz w:val="24"/>
          <w:szCs w:val="24"/>
        </w:rPr>
        <w:t>（八）拒绝或暂停申购的情形</w:t>
      </w:r>
      <w:bookmarkEnd w:id="39"/>
    </w:p>
    <w:p w14:paraId="2FF09DAA">
      <w:pPr>
        <w:widowControl/>
        <w:adjustRightInd w:val="0"/>
        <w:snapToGrid w:val="0"/>
        <w:spacing w:line="360" w:lineRule="auto"/>
        <w:ind w:firstLine="480" w:firstLineChars="200"/>
        <w:rPr>
          <w:rFonts w:hAnsi="宋体"/>
          <w:kern w:val="0"/>
          <w:sz w:val="24"/>
          <w:szCs w:val="24"/>
        </w:rPr>
      </w:pPr>
      <w:bookmarkStart w:id="41" w:name="_Hlt70481650"/>
      <w:bookmarkEnd w:id="41"/>
      <w:r>
        <w:rPr>
          <w:rFonts w:hint="eastAsia" w:hAnsi="宋体"/>
          <w:kern w:val="0"/>
          <w:sz w:val="24"/>
          <w:szCs w:val="24"/>
        </w:rPr>
        <w:t>发生下列情况时，基金管理人可拒绝或暂停接受投资人的申购申请：</w:t>
      </w:r>
    </w:p>
    <w:p w14:paraId="5BD8C63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1、因不可抗力导致基金无法正常运作。</w:t>
      </w:r>
    </w:p>
    <w:p w14:paraId="66DB628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2、发生基金合同规定的暂停基金资产估值情况时，基金管理人可暂停接受投资人的申购申请。</w:t>
      </w:r>
    </w:p>
    <w:p w14:paraId="2ABEBEE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w:t>
      </w:r>
      <w:r>
        <w:rPr>
          <w:rFonts w:hint="eastAsia"/>
          <w:bCs/>
          <w:sz w:val="24"/>
        </w:rPr>
        <w:t>或港股通临时停市</w:t>
      </w:r>
      <w:r>
        <w:rPr>
          <w:rFonts w:hint="eastAsia" w:hAnsi="宋体"/>
          <w:kern w:val="0"/>
          <w:sz w:val="24"/>
          <w:szCs w:val="24"/>
        </w:rPr>
        <w:t>，导致基金管理人无法计算当日基金资产净值。</w:t>
      </w:r>
    </w:p>
    <w:p w14:paraId="71BA054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4、接受某笔或某些申购申请可能会影响或损害现有基金份额持有人利益时。</w:t>
      </w:r>
    </w:p>
    <w:p w14:paraId="73A27AE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5、基金资产规模过大，使基金管理人无法找到合适的投资品种，或其他可能对基金业绩产生负面影响，或发生其他损害现有基金份额持有人利益的情形。</w:t>
      </w:r>
    </w:p>
    <w:p w14:paraId="0631F8DC">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、当前一估值日基金资产净值50%以上的资产出现无可参考的活跃市场价格且采用估值技术仍导致公允价值存在重大不确定性时，经与基金托管人协商确认后，基金管理人应当暂停接受基金申购申请。</w:t>
      </w:r>
    </w:p>
    <w:p w14:paraId="135BF8AB">
      <w:pPr>
        <w:widowControl/>
        <w:adjustRightInd w:val="0"/>
        <w:snapToGrid w:val="0"/>
        <w:spacing w:line="360" w:lineRule="auto"/>
        <w:ind w:firstLine="480" w:firstLineChars="200"/>
        <w:rPr>
          <w:rFonts w:hAnsi="宋体"/>
          <w:kern w:val="0"/>
          <w:sz w:val="24"/>
          <w:szCs w:val="24"/>
        </w:rPr>
      </w:pPr>
      <w:r>
        <w:rPr>
          <w:bCs/>
          <w:sz w:val="24"/>
        </w:rPr>
        <w:t>7、</w:t>
      </w:r>
      <w:r>
        <w:rPr>
          <w:rFonts w:hint="eastAsia"/>
          <w:bCs/>
          <w:sz w:val="24"/>
        </w:rPr>
        <w:t>港股通交易每日额度不足。</w:t>
      </w:r>
    </w:p>
    <w:p w14:paraId="76B261E9">
      <w:pPr>
        <w:widowControl/>
        <w:adjustRightInd w:val="0"/>
        <w:snapToGrid w:val="0"/>
        <w:spacing w:line="360" w:lineRule="auto"/>
        <w:ind w:firstLine="480" w:firstLineChars="200"/>
        <w:rPr>
          <w:rFonts w:hAnsi="宋体"/>
          <w:kern w:val="0"/>
          <w:sz w:val="24"/>
          <w:szCs w:val="24"/>
        </w:rPr>
      </w:pPr>
      <w:r>
        <w:rPr>
          <w:rFonts w:hAnsi="宋体"/>
          <w:kern w:val="0"/>
          <w:sz w:val="24"/>
          <w:szCs w:val="24"/>
        </w:rPr>
        <w:t>8</w:t>
      </w:r>
      <w:r>
        <w:rPr>
          <w:rFonts w:hint="eastAsia" w:hAnsi="宋体"/>
          <w:kern w:val="0"/>
          <w:sz w:val="24"/>
          <w:szCs w:val="24"/>
        </w:rPr>
        <w:t>、基金管理人接受某笔或者某些申购申请有可能导致单一投资者持有基金份额的比例超过50%，或者变相规避50%集中度的。出现上述情形时，基金管理人有权将上述申购申请全部或部分确认失败。</w:t>
      </w:r>
    </w:p>
    <w:p w14:paraId="003327B2">
      <w:pPr>
        <w:widowControl/>
        <w:adjustRightInd w:val="0"/>
        <w:snapToGrid w:val="0"/>
        <w:spacing w:line="360" w:lineRule="auto"/>
        <w:ind w:firstLine="480" w:firstLineChars="200"/>
        <w:rPr>
          <w:rFonts w:hAnsi="宋体"/>
          <w:kern w:val="0"/>
          <w:sz w:val="24"/>
          <w:szCs w:val="24"/>
        </w:rPr>
      </w:pPr>
      <w:r>
        <w:rPr>
          <w:rFonts w:hAnsi="宋体"/>
          <w:kern w:val="0"/>
          <w:sz w:val="24"/>
          <w:szCs w:val="24"/>
        </w:rPr>
        <w:t>9</w:t>
      </w:r>
      <w:r>
        <w:rPr>
          <w:rFonts w:hint="eastAsia" w:hAnsi="宋体"/>
          <w:kern w:val="0"/>
          <w:sz w:val="24"/>
          <w:szCs w:val="24"/>
        </w:rPr>
        <w:t>、法律法规规定、中国证监会认定或基金合同约定的其他情形。</w:t>
      </w:r>
    </w:p>
    <w:p w14:paraId="320B9251">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发生上述第1、2、3、5、6、</w:t>
      </w:r>
      <w:r>
        <w:rPr>
          <w:rFonts w:hAnsi="宋体"/>
          <w:kern w:val="0"/>
          <w:sz w:val="24"/>
          <w:szCs w:val="24"/>
        </w:rPr>
        <w:t>7</w:t>
      </w:r>
      <w:r>
        <w:rPr>
          <w:rFonts w:hint="eastAsia" w:hAnsi="宋体"/>
          <w:kern w:val="0"/>
          <w:sz w:val="24"/>
          <w:szCs w:val="24"/>
        </w:rPr>
        <w:t>、</w:t>
      </w:r>
      <w:r>
        <w:rPr>
          <w:bCs/>
          <w:sz w:val="24"/>
        </w:rPr>
        <w:t>9</w:t>
      </w:r>
      <w:r>
        <w:rPr>
          <w:rFonts w:hint="eastAsia" w:hAnsi="宋体"/>
          <w:kern w:val="0"/>
          <w:sz w:val="24"/>
          <w:szCs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4F861A7F">
      <w:pPr>
        <w:widowControl/>
        <w:adjustRightInd w:val="0"/>
        <w:snapToGrid w:val="0"/>
        <w:spacing w:line="360" w:lineRule="auto"/>
        <w:ind w:firstLine="482" w:firstLineChars="200"/>
        <w:rPr>
          <w:b/>
          <w:kern w:val="0"/>
          <w:sz w:val="24"/>
          <w:szCs w:val="24"/>
        </w:rPr>
      </w:pPr>
      <w:r>
        <w:rPr>
          <w:rFonts w:hAnsi="宋体"/>
          <w:b/>
          <w:kern w:val="0"/>
          <w:sz w:val="24"/>
          <w:szCs w:val="24"/>
        </w:rPr>
        <w:t>（九）暂停赎回或延缓支付赎回款项的情形</w:t>
      </w:r>
    </w:p>
    <w:p w14:paraId="09570A26">
      <w:pPr>
        <w:widowControl/>
        <w:adjustRightInd w:val="0"/>
        <w:snapToGrid w:val="0"/>
        <w:spacing w:line="360" w:lineRule="auto"/>
        <w:ind w:firstLine="480" w:firstLineChars="200"/>
        <w:rPr>
          <w:rFonts w:hAnsi="宋体"/>
          <w:kern w:val="0"/>
          <w:sz w:val="24"/>
          <w:szCs w:val="24"/>
        </w:rPr>
      </w:pPr>
      <w:bookmarkStart w:id="42" w:name="_Toc79392616"/>
      <w:r>
        <w:rPr>
          <w:rFonts w:hint="eastAsia" w:hAnsi="宋体"/>
          <w:kern w:val="0"/>
          <w:sz w:val="24"/>
          <w:szCs w:val="24"/>
        </w:rPr>
        <w:t>发生下列情形时，基金管理人可暂停接受投资人的赎回申请或延缓支付赎回款项：</w:t>
      </w:r>
    </w:p>
    <w:p w14:paraId="2351DE3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1、因不可抗力导致基金管理人不能支付赎回款项。</w:t>
      </w:r>
    </w:p>
    <w:p w14:paraId="06A346D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2、发生基金合同规定的暂停基金资产估值情况时，基金管理人可暂停接受投资人的赎回申请或延缓支付赎回款项。</w:t>
      </w:r>
    </w:p>
    <w:p w14:paraId="18755FA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w:t>
      </w:r>
      <w:r>
        <w:rPr>
          <w:rFonts w:hint="eastAsia"/>
          <w:bCs/>
          <w:sz w:val="24"/>
        </w:rPr>
        <w:t>或港股通临时停市</w:t>
      </w:r>
      <w:r>
        <w:rPr>
          <w:rFonts w:hint="eastAsia" w:hAnsi="宋体"/>
          <w:kern w:val="0"/>
          <w:sz w:val="24"/>
          <w:szCs w:val="24"/>
        </w:rPr>
        <w:t>，导致基金管理人无法计算当日基金资产净值。</w:t>
      </w:r>
    </w:p>
    <w:p w14:paraId="0BB66C6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4、连续两个或两个以上开放日发生巨额赎回。</w:t>
      </w:r>
    </w:p>
    <w:p w14:paraId="7C11E76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5、发生继续接受赎回申请将损害现有基金份额持有人利益的情形时，基金管理人可暂停接受基金份额持有人的赎回申请。</w:t>
      </w:r>
    </w:p>
    <w:p w14:paraId="4075350A">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71A0C141">
      <w:pPr>
        <w:widowControl/>
        <w:adjustRightInd w:val="0"/>
        <w:snapToGrid w:val="0"/>
        <w:spacing w:line="360" w:lineRule="auto"/>
        <w:ind w:firstLine="480" w:firstLineChars="200"/>
        <w:rPr>
          <w:rFonts w:hAnsi="宋体"/>
          <w:kern w:val="0"/>
          <w:sz w:val="24"/>
          <w:szCs w:val="24"/>
        </w:rPr>
      </w:pPr>
      <w:r>
        <w:rPr>
          <w:rFonts w:hAnsi="宋体"/>
          <w:kern w:val="0"/>
          <w:sz w:val="24"/>
          <w:szCs w:val="24"/>
        </w:rPr>
        <w:t>7</w:t>
      </w:r>
      <w:r>
        <w:rPr>
          <w:rFonts w:hint="eastAsia" w:hAnsi="宋体"/>
          <w:kern w:val="0"/>
          <w:sz w:val="24"/>
          <w:szCs w:val="24"/>
        </w:rPr>
        <w:t>、法律法规规定、中国证监会认定或基金合同约定的其他情形。</w:t>
      </w:r>
    </w:p>
    <w:p w14:paraId="19215C4C">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发生上述情形之一且基金管理人决定暂停接受基金份额持有人的赎回申请或延缓支付赎回款项时，基金管理人应</w:t>
      </w:r>
      <w:r>
        <w:rPr>
          <w:rFonts w:hint="eastAsia"/>
          <w:bCs/>
          <w:sz w:val="24"/>
        </w:rPr>
        <w:t>及时</w:t>
      </w:r>
      <w:r>
        <w:rPr>
          <w:rFonts w:hint="eastAsia" w:hAnsi="宋体"/>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4F378A52">
      <w:pPr>
        <w:widowControl/>
        <w:adjustRightInd w:val="0"/>
        <w:snapToGrid w:val="0"/>
        <w:spacing w:line="360" w:lineRule="auto"/>
        <w:ind w:firstLine="482" w:firstLineChars="200"/>
        <w:rPr>
          <w:b/>
          <w:kern w:val="0"/>
          <w:sz w:val="24"/>
          <w:szCs w:val="24"/>
        </w:rPr>
      </w:pPr>
      <w:r>
        <w:rPr>
          <w:rFonts w:hAnsi="宋体"/>
          <w:b/>
          <w:kern w:val="0"/>
          <w:sz w:val="24"/>
          <w:szCs w:val="24"/>
        </w:rPr>
        <w:t>（十）巨额赎回的情形及处理方式</w:t>
      </w:r>
      <w:bookmarkEnd w:id="42"/>
    </w:p>
    <w:p w14:paraId="33D4D5D3">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w:t>
      </w:r>
      <w:r>
        <w:rPr>
          <w:rFonts w:hAnsi="宋体"/>
          <w:kern w:val="0"/>
          <w:sz w:val="24"/>
          <w:szCs w:val="24"/>
        </w:rPr>
        <w:t>巨额赎回的认定</w:t>
      </w:r>
    </w:p>
    <w:p w14:paraId="22B1A45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1D6E3E2C">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巨额赎回的处理方式</w:t>
      </w:r>
    </w:p>
    <w:p w14:paraId="0DCD9E10">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14:paraId="7AB7DAC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14:paraId="45E14DB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int="eastAsia" w:hAnsi="宋体"/>
          <w:kern w:val="0"/>
          <w:sz w:val="24"/>
          <w:szCs w:val="24"/>
        </w:rPr>
        <w:t>的基金份额净值为基础计算赎回金额，以此类推，直到全部赎回为止。如投资人在提交赎回申请时未作明确选择，投资人未能赎回部分作自动延期赎回处理。</w:t>
      </w:r>
    </w:p>
    <w:p w14:paraId="2DCDB43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14:paraId="6B90D7F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int="eastAsia" w:hAnsi="宋体"/>
          <w:kern w:val="0"/>
          <w:sz w:val="24"/>
          <w:szCs w:val="24"/>
        </w:rPr>
        <w:t>的基金份额净值为基础计算赎回金额，以此类推，直到全部赎回为止。</w:t>
      </w:r>
    </w:p>
    <w:p w14:paraId="5104B1F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610CBD7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14:paraId="729E4DFC">
      <w:pPr>
        <w:widowControl/>
        <w:adjustRightInd w:val="0"/>
        <w:snapToGrid w:val="0"/>
        <w:spacing w:line="360" w:lineRule="auto"/>
        <w:ind w:firstLine="480" w:firstLineChars="200"/>
        <w:rPr>
          <w:rFonts w:hAnsi="宋体"/>
          <w:i/>
          <w:kern w:val="0"/>
          <w:sz w:val="24"/>
          <w:u w:val="single"/>
        </w:rPr>
      </w:pPr>
      <w:r>
        <w:rPr>
          <w:rFonts w:hAnsi="宋体"/>
          <w:kern w:val="0"/>
          <w:sz w:val="24"/>
          <w:szCs w:val="24"/>
        </w:rPr>
        <w:t>3</w:t>
      </w:r>
      <w:r>
        <w:rPr>
          <w:rFonts w:hint="eastAsia" w:hAnsi="宋体"/>
          <w:kern w:val="0"/>
          <w:sz w:val="24"/>
          <w:szCs w:val="24"/>
        </w:rPr>
        <w:t>、</w:t>
      </w:r>
      <w:r>
        <w:rPr>
          <w:rFonts w:hAnsi="宋体"/>
          <w:kern w:val="0"/>
          <w:sz w:val="24"/>
          <w:szCs w:val="24"/>
        </w:rPr>
        <w:t>巨额赎回的公告</w:t>
      </w:r>
    </w:p>
    <w:p w14:paraId="4E18A1E5">
      <w:pPr>
        <w:widowControl/>
        <w:adjustRightInd w:val="0"/>
        <w:snapToGrid w:val="0"/>
        <w:spacing w:line="360" w:lineRule="auto"/>
        <w:ind w:firstLine="480" w:firstLineChars="200"/>
        <w:rPr>
          <w:rFonts w:hAnsi="宋体"/>
          <w:kern w:val="0"/>
          <w:sz w:val="24"/>
          <w:szCs w:val="24"/>
        </w:rPr>
      </w:pPr>
      <w:r>
        <w:rPr>
          <w:rFonts w:hAnsi="宋体"/>
          <w:kern w:val="0"/>
          <w:sz w:val="24"/>
          <w:szCs w:val="24"/>
        </w:rPr>
        <w:t>当发生上述</w:t>
      </w:r>
      <w:r>
        <w:rPr>
          <w:rFonts w:hint="eastAsia" w:hAnsi="宋体"/>
          <w:bCs/>
          <w:kern w:val="0"/>
          <w:sz w:val="24"/>
          <w:szCs w:val="24"/>
        </w:rPr>
        <w:t>巨额</w:t>
      </w:r>
      <w:r>
        <w:rPr>
          <w:rFonts w:hAnsi="宋体"/>
          <w:kern w:val="0"/>
          <w:sz w:val="24"/>
          <w:szCs w:val="24"/>
        </w:rPr>
        <w:t>赎回并延期办理时，基金管理人应当通过邮寄、传真</w:t>
      </w:r>
      <w:r>
        <w:rPr>
          <w:rFonts w:hint="eastAsia" w:hAnsi="宋体"/>
          <w:kern w:val="0"/>
          <w:sz w:val="24"/>
          <w:szCs w:val="24"/>
        </w:rPr>
        <w:t>、刊登公告或者通知销售机构代为告知等</w:t>
      </w:r>
      <w:r>
        <w:rPr>
          <w:rFonts w:hAnsi="宋体"/>
          <w:kern w:val="0"/>
          <w:sz w:val="24"/>
          <w:szCs w:val="24"/>
        </w:rPr>
        <w:t>方式在</w:t>
      </w:r>
      <w:r>
        <w:rPr>
          <w:rFonts w:hint="eastAsia" w:hAnsi="宋体"/>
          <w:kern w:val="0"/>
          <w:sz w:val="24"/>
          <w:szCs w:val="24"/>
        </w:rPr>
        <w:t>3</w:t>
      </w:r>
      <w:r>
        <w:rPr>
          <w:rFonts w:hAnsi="宋体"/>
          <w:kern w:val="0"/>
          <w:sz w:val="24"/>
          <w:szCs w:val="24"/>
        </w:rPr>
        <w:t>个交易日内通知基金份额持有人，说明有关处理方法，</w:t>
      </w:r>
      <w:r>
        <w:rPr>
          <w:rFonts w:hint="eastAsia"/>
          <w:bCs/>
          <w:sz w:val="24"/>
        </w:rPr>
        <w:t>并在两日内</w:t>
      </w:r>
      <w:r>
        <w:rPr>
          <w:rFonts w:hAnsi="宋体"/>
          <w:kern w:val="0"/>
          <w:sz w:val="24"/>
          <w:szCs w:val="24"/>
        </w:rPr>
        <w:t>在规定媒介上刊登公告。</w:t>
      </w:r>
    </w:p>
    <w:p w14:paraId="0907C844">
      <w:pPr>
        <w:widowControl/>
        <w:adjustRightInd w:val="0"/>
        <w:snapToGrid w:val="0"/>
        <w:spacing w:line="360" w:lineRule="auto"/>
        <w:ind w:firstLine="482" w:firstLineChars="200"/>
        <w:rPr>
          <w:b/>
          <w:kern w:val="0"/>
          <w:sz w:val="24"/>
          <w:szCs w:val="24"/>
        </w:rPr>
      </w:pPr>
      <w:bookmarkStart w:id="43" w:name="_Toc79392617"/>
      <w:r>
        <w:rPr>
          <w:rFonts w:hAnsi="宋体"/>
          <w:b/>
          <w:kern w:val="0"/>
          <w:sz w:val="24"/>
          <w:szCs w:val="24"/>
        </w:rPr>
        <w:t>（十一）暂停申购或赎回的公告和重新开放申购或赎回的公告</w:t>
      </w:r>
      <w:bookmarkEnd w:id="43"/>
    </w:p>
    <w:p w14:paraId="50E2F3F1">
      <w:pPr>
        <w:widowControl/>
        <w:adjustRightInd w:val="0"/>
        <w:snapToGrid w:val="0"/>
        <w:spacing w:line="360" w:lineRule="auto"/>
        <w:ind w:firstLine="480" w:firstLineChars="200"/>
        <w:rPr>
          <w:rFonts w:hAnsi="宋体"/>
          <w:kern w:val="0"/>
          <w:sz w:val="24"/>
          <w:szCs w:val="24"/>
        </w:rPr>
      </w:pPr>
      <w:bookmarkStart w:id="44" w:name="_Toc79392618"/>
      <w:bookmarkStart w:id="45" w:name="_Toc15118274"/>
      <w:bookmarkStart w:id="46" w:name="_Toc59441259"/>
      <w:r>
        <w:rPr>
          <w:rFonts w:hint="eastAsia" w:hAnsi="宋体"/>
          <w:kern w:val="0"/>
          <w:sz w:val="24"/>
          <w:szCs w:val="24"/>
        </w:rPr>
        <w:t>1、发生上述暂停申购或赎回情况的，基金管理人应在规定期限内在规定媒介上刊登暂停公告。</w:t>
      </w:r>
    </w:p>
    <w:p w14:paraId="658C659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2、如发生暂停的时间为1日，基金管理人应于重新开放日，在规定媒介上刊登基金重新开放申购或赎回公告，并公布最近1个开放日的各类基金份额的基金份额净值。</w:t>
      </w:r>
    </w:p>
    <w:p w14:paraId="115DF0A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44"/>
    <w:bookmarkEnd w:id="45"/>
    <w:bookmarkEnd w:id="46"/>
    <w:p w14:paraId="065FF8A4">
      <w:pPr>
        <w:widowControl/>
        <w:adjustRightInd w:val="0"/>
        <w:snapToGrid w:val="0"/>
        <w:spacing w:line="360" w:lineRule="auto"/>
        <w:ind w:firstLine="482" w:firstLineChars="200"/>
        <w:rPr>
          <w:b/>
          <w:kern w:val="0"/>
          <w:sz w:val="24"/>
          <w:szCs w:val="24"/>
        </w:rPr>
      </w:pPr>
      <w:bookmarkStart w:id="47" w:name="_Toc79392621"/>
      <w:r>
        <w:rPr>
          <w:rFonts w:hAnsi="宋体"/>
          <w:b/>
          <w:kern w:val="0"/>
          <w:sz w:val="24"/>
          <w:szCs w:val="24"/>
        </w:rPr>
        <w:t>（十二）基金转换</w:t>
      </w:r>
    </w:p>
    <w:p w14:paraId="2A97101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14:paraId="2BAE3AF1">
      <w:pPr>
        <w:widowControl/>
        <w:adjustRightInd w:val="0"/>
        <w:snapToGrid w:val="0"/>
        <w:spacing w:line="360" w:lineRule="auto"/>
        <w:ind w:firstLine="482" w:firstLineChars="200"/>
        <w:rPr>
          <w:b/>
          <w:kern w:val="0"/>
          <w:sz w:val="24"/>
          <w:szCs w:val="24"/>
        </w:rPr>
      </w:pPr>
      <w:r>
        <w:rPr>
          <w:rFonts w:hAnsi="宋体"/>
          <w:b/>
          <w:kern w:val="0"/>
          <w:sz w:val="24"/>
          <w:szCs w:val="24"/>
        </w:rPr>
        <w:t>（十三）基金的非交易过户</w:t>
      </w:r>
    </w:p>
    <w:p w14:paraId="50BC544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int="eastAsia" w:hAnsi="宋体"/>
          <w:kern w:val="0"/>
          <w:sz w:val="24"/>
          <w:szCs w:val="24"/>
        </w:rPr>
        <w:t>非交易过户。无论在上述何种情况下，接受划转的主体必须是依法可以持有本基金基金份额的投资人。</w:t>
      </w:r>
    </w:p>
    <w:p w14:paraId="5B73085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072B0BD">
      <w:pPr>
        <w:widowControl/>
        <w:adjustRightInd w:val="0"/>
        <w:snapToGrid w:val="0"/>
        <w:spacing w:line="360" w:lineRule="auto"/>
        <w:ind w:firstLine="482" w:firstLineChars="200"/>
        <w:rPr>
          <w:b/>
          <w:kern w:val="0"/>
          <w:sz w:val="24"/>
          <w:szCs w:val="24"/>
        </w:rPr>
      </w:pPr>
      <w:r>
        <w:rPr>
          <w:rFonts w:hAnsi="宋体"/>
          <w:b/>
          <w:kern w:val="0"/>
          <w:sz w:val="24"/>
          <w:szCs w:val="24"/>
        </w:rPr>
        <w:t>（十四）基金的转托管</w:t>
      </w:r>
      <w:bookmarkEnd w:id="47"/>
    </w:p>
    <w:p w14:paraId="092835D6">
      <w:pPr>
        <w:widowControl/>
        <w:adjustRightInd w:val="0"/>
        <w:snapToGrid w:val="0"/>
        <w:spacing w:line="360" w:lineRule="auto"/>
        <w:ind w:firstLine="480" w:firstLineChars="200"/>
        <w:rPr>
          <w:rFonts w:hAnsi="宋体"/>
          <w:kern w:val="0"/>
          <w:sz w:val="24"/>
          <w:szCs w:val="24"/>
        </w:rPr>
      </w:pPr>
      <w:bookmarkStart w:id="48" w:name="_Toc79392620"/>
      <w:r>
        <w:rPr>
          <w:rFonts w:hint="eastAsia" w:hAnsi="宋体"/>
          <w:kern w:val="0"/>
          <w:sz w:val="24"/>
          <w:szCs w:val="24"/>
        </w:rPr>
        <w:t>基金份额持有人可办理已持有基金份额在不同销售机构之间的转托管，基金销售机构可以按照规定的标准收取转托管费。</w:t>
      </w:r>
    </w:p>
    <w:p w14:paraId="112C5E79">
      <w:pPr>
        <w:widowControl/>
        <w:adjustRightInd w:val="0"/>
        <w:snapToGrid w:val="0"/>
        <w:spacing w:line="360" w:lineRule="auto"/>
        <w:ind w:firstLine="482" w:firstLineChars="200"/>
        <w:rPr>
          <w:b/>
          <w:kern w:val="0"/>
          <w:sz w:val="24"/>
          <w:szCs w:val="24"/>
        </w:rPr>
      </w:pPr>
      <w:r>
        <w:rPr>
          <w:rFonts w:hAnsi="宋体"/>
          <w:b/>
          <w:kern w:val="0"/>
          <w:sz w:val="24"/>
          <w:szCs w:val="24"/>
        </w:rPr>
        <w:t>（十五）定期定额投资计划</w:t>
      </w:r>
    </w:p>
    <w:p w14:paraId="2A63734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36EEAC3">
      <w:pPr>
        <w:widowControl/>
        <w:adjustRightInd w:val="0"/>
        <w:snapToGrid w:val="0"/>
        <w:spacing w:line="360" w:lineRule="auto"/>
        <w:ind w:firstLine="482" w:firstLineChars="200"/>
        <w:rPr>
          <w:b/>
          <w:kern w:val="0"/>
          <w:sz w:val="24"/>
          <w:szCs w:val="24"/>
        </w:rPr>
      </w:pPr>
      <w:r>
        <w:rPr>
          <w:rFonts w:hAnsi="宋体"/>
          <w:b/>
          <w:kern w:val="0"/>
          <w:sz w:val="24"/>
          <w:szCs w:val="24"/>
        </w:rPr>
        <w:t>（十六）</w:t>
      </w:r>
      <w:r>
        <w:rPr>
          <w:rFonts w:hAnsi="宋体"/>
          <w:b/>
          <w:sz w:val="24"/>
          <w:szCs w:val="24"/>
        </w:rPr>
        <w:t>基金份额的冻结和解冻</w:t>
      </w:r>
      <w:bookmarkEnd w:id="48"/>
    </w:p>
    <w:p w14:paraId="56A40B64">
      <w:pPr>
        <w:adjustRightInd w:val="0"/>
        <w:snapToGrid w:val="0"/>
        <w:spacing w:line="360" w:lineRule="auto"/>
        <w:ind w:firstLine="480" w:firstLineChars="200"/>
        <w:rPr>
          <w:rFonts w:hAnsi="宋体"/>
          <w:kern w:val="0"/>
          <w:sz w:val="24"/>
          <w:szCs w:val="24"/>
        </w:rPr>
      </w:pPr>
      <w:r>
        <w:rPr>
          <w:rFonts w:hint="eastAsia" w:hAnsi="宋体"/>
          <w:kern w:val="0"/>
          <w:sz w:val="24"/>
          <w:szCs w:val="24"/>
        </w:rPr>
        <w:t>基金登记机构只受理国家有权机关依法要求的基金份额的冻结与解冻，以及登记机构认可、符合法律法规的其他情况下的冻结与解冻。</w:t>
      </w:r>
    </w:p>
    <w:p w14:paraId="0C43B3E9">
      <w:pPr>
        <w:adjustRightInd w:val="0"/>
        <w:snapToGrid w:val="0"/>
        <w:spacing w:line="360" w:lineRule="auto"/>
        <w:ind w:firstLine="482" w:firstLineChars="200"/>
        <w:rPr>
          <w:rFonts w:hAnsi="宋体"/>
          <w:b/>
          <w:sz w:val="24"/>
          <w:szCs w:val="24"/>
        </w:rPr>
      </w:pPr>
      <w:bookmarkStart w:id="49" w:name="_Toc66719557"/>
      <w:bookmarkStart w:id="50" w:name="_Toc109059024"/>
      <w:bookmarkStart w:id="51" w:name="_Toc66720082"/>
      <w:r>
        <w:rPr>
          <w:rFonts w:hint="eastAsia" w:hAnsi="宋体"/>
          <w:b/>
          <w:sz w:val="24"/>
          <w:szCs w:val="24"/>
        </w:rPr>
        <w:t>（十七）基金份额的转让</w:t>
      </w:r>
    </w:p>
    <w:p w14:paraId="3F9B3ED9">
      <w:pPr>
        <w:adjustRightInd w:val="0"/>
        <w:snapToGrid w:val="0"/>
        <w:spacing w:line="360" w:lineRule="auto"/>
        <w:ind w:firstLine="480" w:firstLineChars="200"/>
        <w:rPr>
          <w:rFonts w:hAnsi="宋体"/>
          <w:sz w:val="24"/>
          <w:szCs w:val="24"/>
        </w:rPr>
      </w:pPr>
      <w:r>
        <w:rPr>
          <w:rFonts w:hint="eastAsia" w:hAnsi="宋体"/>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A8C3761">
      <w:pPr>
        <w:adjustRightInd w:val="0"/>
        <w:snapToGrid w:val="0"/>
        <w:spacing w:line="360" w:lineRule="auto"/>
        <w:ind w:firstLine="482" w:firstLineChars="200"/>
        <w:rPr>
          <w:rFonts w:hAnsi="宋体"/>
          <w:b/>
          <w:sz w:val="24"/>
          <w:szCs w:val="24"/>
        </w:rPr>
      </w:pPr>
      <w:r>
        <w:rPr>
          <w:rFonts w:hint="eastAsia" w:hAnsi="宋体"/>
          <w:b/>
          <w:sz w:val="24"/>
          <w:szCs w:val="24"/>
        </w:rPr>
        <w:t>（十八）实施侧袋机制期间本基金的申购与赎回</w:t>
      </w:r>
    </w:p>
    <w:p w14:paraId="56379113">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本基金实施侧袋机制的，本基金的申购和赎回安排详见本招募说明书“侧袋机制”部分的规定或相关公告。</w:t>
      </w:r>
    </w:p>
    <w:p w14:paraId="3B5A4AEA">
      <w:pPr>
        <w:adjustRightInd w:val="0"/>
        <w:snapToGrid w:val="0"/>
        <w:spacing w:line="360" w:lineRule="auto"/>
        <w:ind w:firstLine="482" w:firstLineChars="200"/>
        <w:rPr>
          <w:rFonts w:hAnsi="宋体"/>
          <w:i/>
          <w:kern w:val="0"/>
          <w:sz w:val="24"/>
          <w:u w:val="single"/>
        </w:rPr>
      </w:pPr>
      <w:r>
        <w:rPr>
          <w:rFonts w:hAnsi="宋体"/>
          <w:b/>
          <w:kern w:val="0"/>
          <w:sz w:val="24"/>
          <w:szCs w:val="24"/>
        </w:rPr>
        <w:t>（十</w:t>
      </w:r>
      <w:r>
        <w:rPr>
          <w:rFonts w:hint="eastAsia" w:hAnsi="宋体"/>
          <w:b/>
          <w:kern w:val="0"/>
          <w:sz w:val="24"/>
          <w:szCs w:val="24"/>
        </w:rPr>
        <w:t>九</w:t>
      </w:r>
      <w:r>
        <w:rPr>
          <w:rFonts w:hAnsi="宋体"/>
          <w:b/>
          <w:kern w:val="0"/>
          <w:sz w:val="24"/>
          <w:szCs w:val="24"/>
        </w:rPr>
        <w:t>）</w:t>
      </w:r>
      <w:r>
        <w:rPr>
          <w:rFonts w:hint="eastAsia" w:hAnsi="宋体"/>
          <w:b/>
          <w:sz w:val="24"/>
          <w:szCs w:val="24"/>
        </w:rPr>
        <w:t>其他业务</w:t>
      </w:r>
    </w:p>
    <w:p w14:paraId="1362FD4C">
      <w:pPr>
        <w:adjustRightInd w:val="0"/>
        <w:snapToGrid w:val="0"/>
        <w:spacing w:line="360" w:lineRule="auto"/>
        <w:ind w:firstLine="480" w:firstLineChars="200"/>
        <w:rPr>
          <w:rFonts w:ascii="宋体" w:hAnsi="宋体"/>
          <w:sz w:val="24"/>
        </w:rPr>
      </w:pPr>
      <w:r>
        <w:rPr>
          <w:rFonts w:hint="eastAsia"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EB10D89">
      <w:pPr>
        <w:adjustRightInd w:val="0"/>
        <w:snapToGrid w:val="0"/>
        <w:spacing w:line="360" w:lineRule="auto"/>
        <w:ind w:firstLine="480" w:firstLineChars="200"/>
        <w:rPr>
          <w:rFonts w:ascii="宋体" w:hAnsi="宋体"/>
          <w:sz w:val="24"/>
        </w:rPr>
      </w:pPr>
    </w:p>
    <w:p w14:paraId="5A04B8F0">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32"/>
      <w:bookmarkEnd w:id="40"/>
      <w:bookmarkStart w:id="52" w:name="_Toc50983777"/>
      <w:bookmarkStart w:id="53" w:name="_Hlk120805876"/>
      <w:bookmarkStart w:id="54" w:name="_Hlk209967481"/>
      <w:r>
        <w:rPr>
          <w:rFonts w:hint="eastAsia" w:ascii="宋体" w:hAnsi="宋体"/>
          <w:b/>
          <w:kern w:val="0"/>
          <w:sz w:val="30"/>
        </w:rPr>
        <w:t>九、基金的投资</w:t>
      </w:r>
      <w:bookmarkEnd w:id="52"/>
    </w:p>
    <w:p w14:paraId="3168090F">
      <w:pPr>
        <w:adjustRightInd w:val="0"/>
        <w:snapToGrid w:val="0"/>
        <w:spacing w:line="360" w:lineRule="auto"/>
        <w:ind w:firstLine="482" w:firstLineChars="200"/>
        <w:rPr>
          <w:rFonts w:hAnsi="宋体"/>
          <w:kern w:val="0"/>
          <w:sz w:val="24"/>
          <w:szCs w:val="24"/>
        </w:rPr>
      </w:pPr>
      <w:bookmarkStart w:id="55" w:name="_Hlk120874070"/>
      <w:r>
        <w:rPr>
          <w:rFonts w:hint="eastAsia"/>
          <w:b/>
          <w:bCs/>
          <w:sz w:val="24"/>
        </w:rPr>
        <w:t>（一）投资目标</w:t>
      </w:r>
    </w:p>
    <w:p w14:paraId="0C4DFEDE">
      <w:pPr>
        <w:adjustRightInd w:val="0"/>
        <w:snapToGrid w:val="0"/>
        <w:spacing w:line="360" w:lineRule="auto"/>
        <w:ind w:firstLine="482"/>
        <w:rPr>
          <w:bCs/>
          <w:sz w:val="24"/>
        </w:rPr>
      </w:pPr>
      <w:r>
        <w:rPr>
          <w:rFonts w:hint="eastAsia"/>
          <w:bCs/>
          <w:sz w:val="24"/>
        </w:rPr>
        <w:t>在合理控制风险并保持基金资产良好流动性的前提下，追求超越业绩比较基准的投资回报，力争实现基金资产的长期稳健增值。</w:t>
      </w:r>
    </w:p>
    <w:p w14:paraId="35F174B2">
      <w:pPr>
        <w:adjustRightInd w:val="0"/>
        <w:snapToGrid w:val="0"/>
        <w:spacing w:line="360" w:lineRule="auto"/>
        <w:ind w:firstLine="482"/>
        <w:rPr>
          <w:b/>
          <w:bCs/>
          <w:sz w:val="24"/>
        </w:rPr>
      </w:pPr>
      <w:r>
        <w:rPr>
          <w:rFonts w:hint="eastAsia"/>
          <w:b/>
          <w:bCs/>
          <w:sz w:val="24"/>
        </w:rPr>
        <w:t>（二）投资范围</w:t>
      </w:r>
    </w:p>
    <w:p w14:paraId="2070C906">
      <w:pPr>
        <w:adjustRightInd w:val="0"/>
        <w:snapToGrid w:val="0"/>
        <w:spacing w:line="360" w:lineRule="auto"/>
        <w:ind w:firstLine="482"/>
        <w:rPr>
          <w:rFonts w:ascii="宋体" w:hAnsi="宋体"/>
          <w:bCs/>
          <w:sz w:val="24"/>
          <w:szCs w:val="24"/>
        </w:rPr>
      </w:pPr>
      <w:r>
        <w:rPr>
          <w:rFonts w:hint="eastAsia" w:ascii="宋体" w:hAnsi="宋体"/>
          <w:bCs/>
          <w:sz w:val="24"/>
          <w:szCs w:val="24"/>
        </w:rPr>
        <w:t>本基金的投资范围为具有良好流动性的金融工具，包括国内依法发行上市的股票（含主板、创业板、科创板及其他经中国证监会核准或注册上市的股票、存托凭证）、港股通标的股票、经中国证监会依法核准或注册的公开募集证券投资基金（仅包含全市场的股票型ETF</w:t>
      </w:r>
      <w:r>
        <w:rPr>
          <w:rFonts w:hint="eastAsia"/>
          <w:bCs/>
          <w:sz w:val="24"/>
          <w:lang w:eastAsia="zh-CN"/>
        </w:rPr>
        <w:t>（</w:t>
      </w:r>
      <w:r>
        <w:rPr>
          <w:rFonts w:hint="eastAsia"/>
          <w:bCs/>
          <w:sz w:val="24"/>
          <w:lang w:val="en-US" w:eastAsia="zh-CN"/>
        </w:rPr>
        <w:t>含可投资境外市场的ETF</w:t>
      </w:r>
      <w:r>
        <w:rPr>
          <w:rFonts w:hint="eastAsia"/>
          <w:bCs/>
          <w:sz w:val="24"/>
          <w:lang w:eastAsia="zh-CN"/>
        </w:rPr>
        <w:t>）、</w:t>
      </w:r>
      <w:r>
        <w:rPr>
          <w:rFonts w:hint="eastAsia"/>
          <w:bCs/>
          <w:sz w:val="24"/>
        </w:rPr>
        <w:t>公开募集</w:t>
      </w:r>
      <w:bookmarkStart w:id="56" w:name="_Hlk219979953"/>
      <w:r>
        <w:rPr>
          <w:rFonts w:hint="eastAsia"/>
          <w:bCs/>
          <w:sz w:val="24"/>
        </w:rPr>
        <w:t>不动产投资信托</w:t>
      </w:r>
      <w:bookmarkEnd w:id="56"/>
      <w:r>
        <w:rPr>
          <w:rFonts w:hint="eastAsia"/>
          <w:bCs/>
          <w:sz w:val="24"/>
        </w:rPr>
        <w:t>基金（以下简称“公募REITs”）</w:t>
      </w:r>
      <w:r>
        <w:rPr>
          <w:rFonts w:hint="eastAsia" w:ascii="宋体" w:hAnsi="宋体"/>
          <w:bCs/>
          <w:sz w:val="24"/>
          <w:szCs w:val="24"/>
        </w:rPr>
        <w:t>及本基金管理人管理的股票型基金、计入权益类资产的混合型基金，不含香港互认基金、QDII基金</w:t>
      </w:r>
      <w:r>
        <w:rPr>
          <w:rFonts w:hint="eastAsia"/>
          <w:bCs/>
          <w:sz w:val="24"/>
          <w:lang w:eastAsia="zh-CN"/>
        </w:rPr>
        <w:t>（</w:t>
      </w:r>
      <w:r>
        <w:rPr>
          <w:rFonts w:hint="eastAsia"/>
          <w:bCs/>
          <w:sz w:val="24"/>
          <w:lang w:val="en-US" w:eastAsia="zh-CN"/>
        </w:rPr>
        <w:t>可投资境外市场的股票型ETF除外</w:t>
      </w:r>
      <w:r>
        <w:rPr>
          <w:rFonts w:hint="eastAsia"/>
          <w:bCs/>
          <w:sz w:val="24"/>
          <w:lang w:eastAsia="zh-CN"/>
        </w:rPr>
        <w:t>）</w:t>
      </w:r>
      <w:r>
        <w:rPr>
          <w:rFonts w:hint="eastAsia" w:ascii="宋体" w:hAnsi="宋体"/>
          <w:bCs/>
          <w:sz w:val="24"/>
          <w:szCs w:val="24"/>
        </w:rPr>
        <w:t>、基金中基金</w:t>
      </w:r>
      <w:r>
        <w:rPr>
          <w:rFonts w:hint="eastAsia" w:ascii="宋体" w:hAnsi="宋体"/>
          <w:bCs/>
          <w:sz w:val="24"/>
          <w:szCs w:val="24"/>
          <w:lang w:val="en-US" w:eastAsia="zh-CN"/>
        </w:rPr>
        <w:t>和</w:t>
      </w:r>
      <w:r>
        <w:rPr>
          <w:rFonts w:hint="eastAsia" w:ascii="宋体" w:hAnsi="宋体"/>
          <w:bCs/>
          <w:sz w:val="24"/>
          <w:szCs w:val="24"/>
        </w:rPr>
        <w:t>其他投资范围包含基金的基金、货币市场基金）、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国债期货、信用衍生品以及法律法规或中国证监会允许基金投资的其他金融工具（但须符合中国证监会相关规定）。</w:t>
      </w:r>
    </w:p>
    <w:p w14:paraId="1481F0A9">
      <w:pPr>
        <w:adjustRightInd w:val="0"/>
        <w:snapToGrid w:val="0"/>
        <w:spacing w:line="360" w:lineRule="auto"/>
        <w:ind w:firstLine="482"/>
        <w:rPr>
          <w:rFonts w:ascii="宋体" w:hAnsi="宋体"/>
          <w:bCs/>
          <w:sz w:val="24"/>
          <w:szCs w:val="24"/>
        </w:rPr>
      </w:pPr>
      <w:r>
        <w:rPr>
          <w:rFonts w:hint="eastAsia" w:ascii="宋体" w:hAnsi="宋体"/>
          <w:bCs/>
          <w:sz w:val="24"/>
          <w:szCs w:val="24"/>
        </w:rPr>
        <w:t>如法律法规或监管机构以后允许基金投资其他品种，基金管理人在履行适当程序后，可以将其纳入投资范围。</w:t>
      </w:r>
    </w:p>
    <w:p w14:paraId="4A6C8DCC">
      <w:pPr>
        <w:adjustRightInd w:val="0"/>
        <w:snapToGrid w:val="0"/>
        <w:spacing w:line="360" w:lineRule="auto"/>
        <w:ind w:firstLine="482"/>
        <w:rPr>
          <w:rFonts w:ascii="宋体" w:hAnsi="宋体"/>
          <w:bCs/>
          <w:sz w:val="24"/>
          <w:szCs w:val="24"/>
        </w:rPr>
      </w:pPr>
      <w:r>
        <w:rPr>
          <w:bCs/>
          <w:sz w:val="24"/>
        </w:rPr>
        <w:t>基金的投资组合比例为：</w:t>
      </w:r>
      <w:r>
        <w:rPr>
          <w:rFonts w:hint="eastAsia"/>
          <w:bCs/>
          <w:sz w:val="24"/>
        </w:rPr>
        <w:t>本基金投资于债券资产的比例不低于基金资产的80%；投资于股票（含存托凭证）、股票型基金、计入权益类资产的混合型基金、可转换债券（含可分离交易可转换债券）、可交换公司债券的比例占基金资产的</w:t>
      </w:r>
      <w:r>
        <w:rPr>
          <w:rFonts w:hint="eastAsia"/>
          <w:bCs/>
          <w:sz w:val="24"/>
          <w:lang w:val="en-US" w:eastAsia="zh-CN"/>
        </w:rPr>
        <w:t>5</w:t>
      </w:r>
      <w:r>
        <w:rPr>
          <w:rFonts w:hint="eastAsia"/>
          <w:bCs/>
          <w:sz w:val="24"/>
        </w:rPr>
        <w:t>%-20%（其中，投资于境内股票资产（含</w:t>
      </w:r>
      <w:r>
        <w:rPr>
          <w:rFonts w:hint="eastAsia"/>
          <w:bCs/>
          <w:sz w:val="24"/>
          <w:lang w:val="en-US" w:eastAsia="zh-CN"/>
        </w:rPr>
        <w:t>A股</w:t>
      </w:r>
      <w:r>
        <w:rPr>
          <w:rFonts w:hint="eastAsia"/>
          <w:bCs/>
          <w:sz w:val="24"/>
        </w:rPr>
        <w:t>ETF）的比例不低于基金资产的5%，投资于港股通标的股票的比例占股票资产的0%-5</w:t>
      </w:r>
      <w:bookmarkStart w:id="132" w:name="_GoBack"/>
      <w:bookmarkEnd w:id="132"/>
      <w:r>
        <w:rPr>
          <w:rFonts w:hint="eastAsia"/>
          <w:bCs/>
          <w:sz w:val="24"/>
        </w:rPr>
        <w:t>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0AAA18AC">
      <w:pPr>
        <w:adjustRightInd w:val="0"/>
        <w:snapToGrid w:val="0"/>
        <w:spacing w:line="360" w:lineRule="auto"/>
        <w:ind w:firstLine="482"/>
        <w:rPr>
          <w:bCs/>
          <w:sz w:val="24"/>
        </w:rPr>
      </w:pPr>
      <w:r>
        <w:rPr>
          <w:rFonts w:hint="eastAsia" w:ascii="宋体" w:hAnsi="宋体"/>
          <w:bCs/>
          <w:sz w:val="24"/>
          <w:szCs w:val="24"/>
        </w:rPr>
        <w:t>如果法律法规或中国证监会变更投资品种的投资比例限制，基金管理人在履行适当程序后，可以调整上述投资品种的投资比例。</w:t>
      </w:r>
    </w:p>
    <w:p w14:paraId="123676AF">
      <w:pPr>
        <w:adjustRightInd w:val="0"/>
        <w:snapToGrid w:val="0"/>
        <w:spacing w:line="360" w:lineRule="auto"/>
        <w:ind w:firstLine="482" w:firstLineChars="200"/>
        <w:rPr>
          <w:rFonts w:hAnsi="宋体"/>
          <w:kern w:val="0"/>
          <w:sz w:val="24"/>
          <w:szCs w:val="24"/>
        </w:rPr>
      </w:pPr>
      <w:r>
        <w:rPr>
          <w:rFonts w:hint="eastAsia"/>
          <w:b/>
          <w:bCs/>
          <w:sz w:val="24"/>
        </w:rPr>
        <w:t>（三）投资策略</w:t>
      </w:r>
    </w:p>
    <w:p w14:paraId="796B51A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w:t>
      </w:r>
      <w:r>
        <w:rPr>
          <w:rFonts w:hint="eastAsia"/>
          <w:bCs/>
          <w:sz w:val="24"/>
        </w:rPr>
        <w:t>等权益类资产</w:t>
      </w:r>
      <w:r>
        <w:rPr>
          <w:rFonts w:hint="eastAsia" w:ascii="宋体" w:hAnsi="宋体"/>
          <w:bCs/>
          <w:sz w:val="24"/>
          <w:szCs w:val="24"/>
        </w:rPr>
        <w:t>和债券研究分析基础上，自下而上精选个股和个券；在保持总体风险水平相对稳定的基础上，力争获取投资组合的较高回报。</w:t>
      </w:r>
    </w:p>
    <w:p w14:paraId="072114D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1、大类资产配置</w:t>
      </w:r>
    </w:p>
    <w:p w14:paraId="778DDC6B">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利用经交银施罗德研究团队修正后的投资时钟分析框架，通过“自上而下”的定性分析和定量分析相结合形成对不同资产市场表现的预测和判断，确定基金资产在沪深A股、港股、债券及货币市场工具等各类别资产间的分配比例，并随着各类证券风险收益特征的相对变化，在基金合同约定的范围内动态调整组合中各类资产的比例，以规避或控制市场风险，提高基金收益率。</w:t>
      </w:r>
    </w:p>
    <w:p w14:paraId="04914A63">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2、股票投资策略</w:t>
      </w:r>
    </w:p>
    <w:p w14:paraId="04D3E28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1FEE4E5B">
      <w:pPr>
        <w:snapToGrid w:val="0"/>
        <w:spacing w:line="360" w:lineRule="auto"/>
        <w:ind w:firstLine="480" w:firstLineChars="200"/>
        <w:rPr>
          <w:bCs/>
          <w:sz w:val="24"/>
        </w:rPr>
      </w:pPr>
      <w:r>
        <w:rPr>
          <w:rFonts w:hint="eastAsia"/>
          <w:bCs/>
          <w:sz w:val="24"/>
        </w:rPr>
        <w:t>（</w:t>
      </w:r>
      <w:r>
        <w:rPr>
          <w:bCs/>
          <w:sz w:val="24"/>
        </w:rPr>
        <w:t>1</w:t>
      </w:r>
      <w:r>
        <w:rPr>
          <w:rFonts w:hint="eastAsia"/>
          <w:bCs/>
          <w:sz w:val="24"/>
        </w:rPr>
        <w:t>）品质筛选</w:t>
      </w:r>
    </w:p>
    <w:p w14:paraId="54F4131C">
      <w:pPr>
        <w:snapToGrid w:val="0"/>
        <w:spacing w:line="360" w:lineRule="auto"/>
        <w:ind w:firstLine="480" w:firstLineChars="200"/>
        <w:rPr>
          <w:bCs/>
          <w:sz w:val="24"/>
        </w:rPr>
      </w:pPr>
      <w:r>
        <w:rPr>
          <w:rFonts w:hint="eastAsia"/>
          <w:bCs/>
          <w:sz w:val="24"/>
        </w:rPr>
        <w:t>筛选出在公司治理、财务及管理品质上符合基本品质要求的公司，构建备选股票池。主要筛选指标包括：</w:t>
      </w:r>
    </w:p>
    <w:p w14:paraId="5DF00D91">
      <w:pPr>
        <w:numPr>
          <w:ilvl w:val="0"/>
          <w:numId w:val="1"/>
        </w:numPr>
        <w:snapToGrid w:val="0"/>
        <w:spacing w:line="360" w:lineRule="auto"/>
        <w:rPr>
          <w:rFonts w:ascii="宋体" w:hAnsi="宋体"/>
          <w:sz w:val="24"/>
        </w:rPr>
      </w:pPr>
      <w:r>
        <w:rPr>
          <w:rFonts w:hint="eastAsia" w:ascii="宋体" w:hAnsi="宋体"/>
          <w:sz w:val="24"/>
        </w:rPr>
        <w:t>盈利能力指标：如市盈率</w:t>
      </w:r>
      <w:r>
        <w:rPr>
          <w:rFonts w:ascii="宋体" w:hAnsi="宋体"/>
          <w:sz w:val="24"/>
        </w:rPr>
        <w:t>（</w:t>
      </w:r>
      <w:r>
        <w:rPr>
          <w:rFonts w:hint="eastAsia" w:ascii="宋体" w:hAnsi="宋体"/>
          <w:sz w:val="24"/>
        </w:rPr>
        <w:t>P/E）、市现</w:t>
      </w:r>
      <w:r>
        <w:rPr>
          <w:rFonts w:ascii="宋体" w:hAnsi="宋体"/>
          <w:sz w:val="24"/>
        </w:rPr>
        <w:t>率（</w:t>
      </w:r>
      <w:r>
        <w:rPr>
          <w:rFonts w:hint="eastAsia" w:ascii="宋体" w:hAnsi="宋体"/>
          <w:sz w:val="24"/>
        </w:rPr>
        <w:t>P/Cash Flow）、股价与</w:t>
      </w:r>
      <w:r>
        <w:rPr>
          <w:rFonts w:ascii="宋体" w:hAnsi="宋体"/>
          <w:sz w:val="24"/>
        </w:rPr>
        <w:t>每股自由现金流比率（</w:t>
      </w:r>
      <w:r>
        <w:rPr>
          <w:rFonts w:hint="eastAsia" w:ascii="宋体" w:hAnsi="宋体"/>
          <w:sz w:val="24"/>
        </w:rPr>
        <w:t>P/FCF）、市销率</w:t>
      </w:r>
      <w:r>
        <w:rPr>
          <w:rFonts w:ascii="宋体" w:hAnsi="宋体"/>
          <w:sz w:val="24"/>
        </w:rPr>
        <w:t>（</w:t>
      </w:r>
      <w:r>
        <w:rPr>
          <w:rFonts w:hint="eastAsia" w:ascii="宋体" w:hAnsi="宋体"/>
          <w:sz w:val="24"/>
        </w:rPr>
        <w:t>P/S）、股价与</w:t>
      </w:r>
      <w:r>
        <w:rPr>
          <w:rFonts w:ascii="宋体" w:hAnsi="宋体"/>
          <w:sz w:val="24"/>
        </w:rPr>
        <w:t>每股息税前利润比率</w:t>
      </w:r>
      <w:r>
        <w:rPr>
          <w:rFonts w:hint="eastAsia" w:ascii="宋体" w:hAnsi="宋体"/>
          <w:sz w:val="24"/>
        </w:rPr>
        <w:t>（P/EBIT）等；</w:t>
      </w:r>
    </w:p>
    <w:p w14:paraId="7D63C1F1">
      <w:pPr>
        <w:numPr>
          <w:ilvl w:val="0"/>
          <w:numId w:val="1"/>
        </w:numPr>
        <w:snapToGrid w:val="0"/>
        <w:spacing w:line="360" w:lineRule="auto"/>
        <w:rPr>
          <w:rFonts w:ascii="宋体" w:hAnsi="宋体"/>
          <w:sz w:val="24"/>
        </w:rPr>
      </w:pPr>
      <w:r>
        <w:rPr>
          <w:rFonts w:hint="eastAsia" w:ascii="宋体" w:hAnsi="宋体"/>
          <w:sz w:val="24"/>
        </w:rPr>
        <w:t>经营效率指标：如净资产</w:t>
      </w:r>
      <w:r>
        <w:rPr>
          <w:rFonts w:ascii="宋体" w:hAnsi="宋体"/>
          <w:sz w:val="24"/>
        </w:rPr>
        <w:t>收益率（</w:t>
      </w:r>
      <w:r>
        <w:rPr>
          <w:rFonts w:hint="eastAsia" w:ascii="宋体" w:hAnsi="宋体"/>
          <w:sz w:val="24"/>
        </w:rPr>
        <w:t>ROE）、资产</w:t>
      </w:r>
      <w:r>
        <w:rPr>
          <w:rFonts w:ascii="宋体" w:hAnsi="宋体"/>
          <w:sz w:val="24"/>
        </w:rPr>
        <w:t>收益率（</w:t>
      </w:r>
      <w:r>
        <w:rPr>
          <w:rFonts w:hint="eastAsia" w:ascii="宋体" w:hAnsi="宋体"/>
          <w:sz w:val="24"/>
        </w:rPr>
        <w:t>ROA）、经营</w:t>
      </w:r>
      <w:r>
        <w:rPr>
          <w:rFonts w:ascii="宋体" w:hAnsi="宋体"/>
          <w:sz w:val="24"/>
        </w:rPr>
        <w:t>资产</w:t>
      </w:r>
      <w:r>
        <w:rPr>
          <w:rFonts w:hint="eastAsia" w:ascii="宋体" w:hAnsi="宋体"/>
          <w:sz w:val="24"/>
        </w:rPr>
        <w:t>回报</w:t>
      </w:r>
      <w:r>
        <w:rPr>
          <w:rFonts w:ascii="宋体" w:hAnsi="宋体"/>
          <w:sz w:val="24"/>
        </w:rPr>
        <w:t>率（</w:t>
      </w:r>
      <w:r>
        <w:rPr>
          <w:rFonts w:hint="eastAsia" w:ascii="宋体" w:hAnsi="宋体"/>
          <w:sz w:val="24"/>
        </w:rPr>
        <w:t>Return on operating assets）等；</w:t>
      </w:r>
    </w:p>
    <w:p w14:paraId="47565348">
      <w:pPr>
        <w:numPr>
          <w:ilvl w:val="0"/>
          <w:numId w:val="1"/>
        </w:numPr>
        <w:snapToGrid w:val="0"/>
        <w:spacing w:line="360" w:lineRule="auto"/>
        <w:rPr>
          <w:rFonts w:ascii="宋体" w:hAnsi="宋体"/>
          <w:sz w:val="24"/>
        </w:rPr>
      </w:pPr>
      <w:r>
        <w:rPr>
          <w:rFonts w:hint="eastAsia" w:ascii="宋体" w:hAnsi="宋体"/>
          <w:sz w:val="24"/>
        </w:rPr>
        <w:t>财务状况指标：如资产</w:t>
      </w:r>
      <w:r>
        <w:rPr>
          <w:rFonts w:ascii="宋体" w:hAnsi="宋体"/>
          <w:sz w:val="24"/>
        </w:rPr>
        <w:t>负债率（</w:t>
      </w:r>
      <w:r>
        <w:rPr>
          <w:rFonts w:hint="eastAsia" w:ascii="宋体" w:hAnsi="宋体"/>
          <w:sz w:val="24"/>
        </w:rPr>
        <w:t>D/A）、流动比率等；</w:t>
      </w:r>
    </w:p>
    <w:p w14:paraId="347F3A40">
      <w:pPr>
        <w:numPr>
          <w:ilvl w:val="0"/>
          <w:numId w:val="1"/>
        </w:numPr>
        <w:snapToGrid w:val="0"/>
        <w:spacing w:line="360" w:lineRule="auto"/>
        <w:rPr>
          <w:rFonts w:ascii="宋体" w:hAnsi="宋体"/>
          <w:sz w:val="24"/>
        </w:rPr>
      </w:pPr>
      <w:r>
        <w:rPr>
          <w:rFonts w:hint="eastAsia" w:ascii="宋体" w:hAnsi="宋体"/>
          <w:sz w:val="24"/>
        </w:rPr>
        <w:t>研发</w:t>
      </w:r>
      <w:r>
        <w:rPr>
          <w:rFonts w:ascii="宋体" w:hAnsi="宋体"/>
          <w:sz w:val="24"/>
        </w:rPr>
        <w:t>投入指标：如</w:t>
      </w:r>
      <w:r>
        <w:rPr>
          <w:rFonts w:hint="eastAsia" w:ascii="宋体" w:hAnsi="宋体"/>
          <w:sz w:val="24"/>
        </w:rPr>
        <w:t>研发</w:t>
      </w:r>
      <w:r>
        <w:rPr>
          <w:rFonts w:ascii="宋体" w:hAnsi="宋体"/>
          <w:sz w:val="24"/>
        </w:rPr>
        <w:t>投入与营业</w:t>
      </w:r>
      <w:r>
        <w:rPr>
          <w:rFonts w:hint="eastAsia" w:ascii="宋体" w:hAnsi="宋体"/>
          <w:sz w:val="24"/>
        </w:rPr>
        <w:t>收入</w:t>
      </w:r>
      <w:r>
        <w:rPr>
          <w:rFonts w:ascii="宋体" w:hAnsi="宋体"/>
          <w:sz w:val="24"/>
        </w:rPr>
        <w:t>比率、科研人员数量及占比、专利数量及在同行业的占比等。</w:t>
      </w:r>
    </w:p>
    <w:p w14:paraId="3F0A3CC6">
      <w:pPr>
        <w:adjustRightInd w:val="0"/>
        <w:snapToGrid w:val="0"/>
        <w:spacing w:line="360" w:lineRule="auto"/>
        <w:ind w:firstLine="480" w:firstLineChars="200"/>
        <w:rPr>
          <w:rFonts w:ascii="宋体" w:hAnsi="宋体"/>
          <w:bCs/>
          <w:sz w:val="24"/>
          <w:szCs w:val="24"/>
        </w:rPr>
      </w:pPr>
      <w:r>
        <w:rPr>
          <w:rFonts w:hint="eastAsia"/>
          <w:bCs/>
          <w:sz w:val="24"/>
        </w:rPr>
        <w:t>（2）价值评估</w:t>
      </w:r>
    </w:p>
    <w:p w14:paraId="022F5B8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49A7CB2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（3）港股通标的股票投资策略</w:t>
      </w:r>
    </w:p>
    <w:p w14:paraId="0F7D7AA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本基金可通过内地与香港股票市场交易互联互通机制投资于香港股票市场。本基金优先将基本面健康、业绩向上弹性较大、具有估值优势的港股纳入本基金的股票投资组合。</w:t>
      </w:r>
    </w:p>
    <w:p w14:paraId="0795E1E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本基金可根据投资策略需要或不同配置地市场环境的变化，选择将部分基金资产投资于港股</w:t>
      </w:r>
      <w:r>
        <w:rPr>
          <w:rFonts w:hint="eastAsia"/>
          <w:bCs/>
          <w:sz w:val="24"/>
        </w:rPr>
        <w:t>通标的股票</w:t>
      </w:r>
      <w:r>
        <w:rPr>
          <w:rFonts w:hint="eastAsia" w:ascii="宋体" w:hAnsi="宋体"/>
          <w:bCs/>
          <w:sz w:val="24"/>
          <w:szCs w:val="24"/>
        </w:rPr>
        <w:t>或选择不将基金资产投资于港股</w:t>
      </w:r>
      <w:r>
        <w:rPr>
          <w:rFonts w:hint="eastAsia"/>
          <w:bCs/>
          <w:sz w:val="24"/>
        </w:rPr>
        <w:t>通标的股票</w:t>
      </w:r>
      <w:r>
        <w:rPr>
          <w:rFonts w:hint="eastAsia" w:ascii="宋体" w:hAnsi="宋体"/>
          <w:bCs/>
          <w:sz w:val="24"/>
          <w:szCs w:val="24"/>
        </w:rPr>
        <w:t>，基金资产并非必然投资港股</w:t>
      </w:r>
      <w:r>
        <w:rPr>
          <w:rFonts w:hint="eastAsia"/>
          <w:bCs/>
          <w:sz w:val="24"/>
        </w:rPr>
        <w:t>通标的股票</w:t>
      </w:r>
      <w:r>
        <w:rPr>
          <w:rFonts w:hint="eastAsia" w:ascii="宋体" w:hAnsi="宋体"/>
          <w:bCs/>
          <w:sz w:val="24"/>
          <w:szCs w:val="24"/>
        </w:rPr>
        <w:t>。</w:t>
      </w:r>
    </w:p>
    <w:p w14:paraId="7E5A06E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（4）存托凭证的投资策略</w:t>
      </w:r>
    </w:p>
    <w:p w14:paraId="44F8118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本基金投资存托凭证的策略依照境内上市交易的股票投资策略执行。</w:t>
      </w:r>
    </w:p>
    <w:p w14:paraId="788378D8">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3、基金投资策略</w:t>
      </w:r>
    </w:p>
    <w:p w14:paraId="2CDBE9A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本基金投资基金仅包含全市场的股票型ETF</w:t>
      </w:r>
      <w:r>
        <w:rPr>
          <w:rFonts w:hint="eastAsia"/>
          <w:bCs/>
          <w:sz w:val="24"/>
          <w:lang w:eastAsia="zh-CN"/>
        </w:rPr>
        <w:t>（</w:t>
      </w:r>
      <w:r>
        <w:rPr>
          <w:rFonts w:hint="eastAsia"/>
          <w:bCs/>
          <w:sz w:val="24"/>
          <w:lang w:val="en-US" w:eastAsia="zh-CN"/>
        </w:rPr>
        <w:t>含可投资境外市场的ETF</w:t>
      </w:r>
      <w:r>
        <w:rPr>
          <w:rFonts w:hint="eastAsia"/>
          <w:bCs/>
          <w:sz w:val="24"/>
          <w:lang w:eastAsia="zh-CN"/>
        </w:rPr>
        <w:t>）、</w:t>
      </w:r>
      <w:r>
        <w:rPr>
          <w:rFonts w:hint="eastAsia"/>
          <w:bCs/>
          <w:sz w:val="24"/>
        </w:rPr>
        <w:t>公募REITs</w:t>
      </w:r>
      <w:r>
        <w:rPr>
          <w:rFonts w:hint="eastAsia" w:ascii="宋体" w:hAnsi="宋体"/>
          <w:bCs/>
          <w:sz w:val="24"/>
          <w:szCs w:val="24"/>
        </w:rPr>
        <w:t>及本基金管理人管理的股票型基金、计入权益类资产的混合型基金，不含香港互认基金、QDII基金</w:t>
      </w:r>
      <w:r>
        <w:rPr>
          <w:rFonts w:hint="eastAsia"/>
          <w:bCs/>
          <w:sz w:val="24"/>
          <w:lang w:eastAsia="zh-CN"/>
        </w:rPr>
        <w:t>（</w:t>
      </w:r>
      <w:r>
        <w:rPr>
          <w:rFonts w:hint="eastAsia"/>
          <w:bCs/>
          <w:sz w:val="24"/>
          <w:lang w:val="en-US" w:eastAsia="zh-CN"/>
        </w:rPr>
        <w:t>可投资境外市场的股票型ETF除外</w:t>
      </w:r>
      <w:r>
        <w:rPr>
          <w:rFonts w:hint="eastAsia"/>
          <w:bCs/>
          <w:sz w:val="24"/>
          <w:lang w:eastAsia="zh-CN"/>
        </w:rPr>
        <w:t>）</w:t>
      </w:r>
      <w:r>
        <w:rPr>
          <w:rFonts w:hint="eastAsia" w:ascii="宋体" w:hAnsi="宋体"/>
          <w:bCs/>
          <w:sz w:val="24"/>
          <w:szCs w:val="24"/>
        </w:rPr>
        <w:t>、基金中基金</w:t>
      </w:r>
      <w:r>
        <w:rPr>
          <w:rFonts w:hint="eastAsia" w:ascii="宋体" w:hAnsi="宋体"/>
          <w:bCs/>
          <w:sz w:val="24"/>
          <w:szCs w:val="24"/>
          <w:lang w:val="en-US" w:eastAsia="zh-CN"/>
        </w:rPr>
        <w:t>和</w:t>
      </w:r>
      <w:r>
        <w:rPr>
          <w:rFonts w:hint="eastAsia" w:ascii="宋体" w:hAnsi="宋体"/>
          <w:bCs/>
          <w:sz w:val="24"/>
          <w:szCs w:val="24"/>
        </w:rPr>
        <w:t>其他投资范围包含基金的基金、货币市场基金。</w:t>
      </w:r>
    </w:p>
    <w:p w14:paraId="7863B788">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在有效控制风险的前提下，精选具有不同风险收益特征及投资业绩比较优势的基金。深入分析基金的业绩表现，精选基金确定备选基金，包括对基金的择时能力、资产配置能力、个股选择能力等进行归因分析，解释基金收益来源，评估未来收益的持续性与稳定性。基于市场环境、政策变动、风险事件等多重因素对基金进行持续跟踪，动态调整基金配置比例。</w:t>
      </w:r>
    </w:p>
    <w:p w14:paraId="1469EE68">
      <w:pPr>
        <w:adjustRightInd w:val="0"/>
        <w:snapToGrid w:val="0"/>
        <w:spacing w:line="360" w:lineRule="auto"/>
        <w:ind w:firstLine="480" w:firstLineChars="200"/>
        <w:rPr>
          <w:rFonts w:hint="eastAsia" w:ascii="宋体" w:hAnsi="宋体"/>
          <w:bCs/>
          <w:sz w:val="24"/>
          <w:szCs w:val="24"/>
        </w:rPr>
      </w:pPr>
      <w:r>
        <w:rPr>
          <w:rFonts w:hint="eastAsia"/>
          <w:bCs/>
          <w:sz w:val="24"/>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14:paraId="2992AF4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4、债券投资策略</w:t>
      </w:r>
    </w:p>
    <w:p w14:paraId="2F769070">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本基金的债券投资采取主动的投资管理方式，获得与风险相匹配的投资收益，以实现在一定程度上规避股票市场的系统性风险和保证基金资产的流动性。</w:t>
      </w:r>
    </w:p>
    <w:p w14:paraId="7CABAEA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w:t>
      </w:r>
      <w:r>
        <w:rPr>
          <w:rFonts w:hint="eastAsia"/>
          <w:bCs/>
          <w:sz w:val="24"/>
        </w:rPr>
        <w:t>与可交换公司债券</w:t>
      </w:r>
      <w:r>
        <w:rPr>
          <w:rFonts w:hint="eastAsia" w:ascii="宋体" w:hAnsi="宋体"/>
          <w:bCs/>
          <w:sz w:val="24"/>
          <w:szCs w:val="24"/>
        </w:rPr>
        <w:t>投资策略等多种策略，以期获取债券市场的长期稳定收益。</w:t>
      </w:r>
    </w:p>
    <w:p w14:paraId="19BA201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（1）久期调整策略</w:t>
      </w:r>
    </w:p>
    <w:p w14:paraId="795689F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本基金根据中长期宏观经济走势和经济周期波动趋势，判断债券市场未来的走势，并形成对未来市场利率变动方向的预期，动态调整组合久期。</w:t>
      </w:r>
    </w:p>
    <w:p w14:paraId="11D2AC7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（2）债券的类属配置策略</w:t>
      </w:r>
    </w:p>
    <w:p w14:paraId="15105064">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2CE846A1">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（3）期限结构配置策略</w:t>
      </w:r>
    </w:p>
    <w:p w14:paraId="59EDA32E">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3EE326A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（4）回购策略</w:t>
      </w:r>
    </w:p>
    <w:p w14:paraId="71D53DA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当回购利率低于债券收益率时，本基金将实施正回购融入资金并投资于信用债券等可投资标的，从而获取收益率超出回购资金成本（即回购利率）的套利价值。</w:t>
      </w:r>
    </w:p>
    <w:p w14:paraId="563E6CCA">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（5）信用债券（含资产支持证券，下同）投资策略</w:t>
      </w:r>
    </w:p>
    <w:p w14:paraId="68B5A00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本基金通过交银施罗德的信用债券信用评级指标体系，对信用债券进行信用评级，并在信用评级的基础上，建立本基金的信用债券池。基金经理从信用债券池中精选债券构建信用债券投资组合。</w:t>
      </w:r>
    </w:p>
    <w:p w14:paraId="295D12C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本基金主动投资的信用债为信用评级在AA+级（含）以上的信用债，对信用评级的认定参照基金管理人选定的评级机构出具的信用评级</w:t>
      </w:r>
      <w:r>
        <w:rPr>
          <w:rFonts w:hint="eastAsia"/>
          <w:bCs/>
          <w:sz w:val="24"/>
        </w:rPr>
        <w:t>（评级机构不含中债资信，如仅有中债资信的，则参照该机构评级结果）</w:t>
      </w:r>
      <w:r>
        <w:rPr>
          <w:rFonts w:hint="eastAsia" w:ascii="宋体" w:hAnsi="宋体"/>
          <w:bCs/>
          <w:sz w:val="24"/>
          <w:szCs w:val="24"/>
        </w:rPr>
        <w:t>，其中，信用债的信用评级依照评级机构出具的债项信用评级，若无债项信用评级</w:t>
      </w:r>
      <w:r>
        <w:rPr>
          <w:rFonts w:hint="eastAsia"/>
          <w:bCs/>
          <w:sz w:val="24"/>
        </w:rPr>
        <w:t>或债项评级为短期信用评级</w:t>
      </w:r>
      <w:r>
        <w:rPr>
          <w:rFonts w:hint="eastAsia" w:ascii="宋体" w:hAnsi="宋体"/>
          <w:bCs/>
          <w:sz w:val="24"/>
          <w:szCs w:val="24"/>
        </w:rPr>
        <w:t>的，依照其主体信用评级。本基金投资于评级AA+的信用债比例不高于信用债资产的50%，投资于评级AAA的信用债比例不低于信用债资产的50%。基金持有信用债期间，如果其信用评级下降、基金规模变动、变现信用债支付赎回款项等使得投资比例不再符合上述规定，基金管理人应当在评级报告发布之日或不符合上述规定之日起3个月内调整至符合规定。</w:t>
      </w:r>
    </w:p>
    <w:p w14:paraId="3A5FEA8A">
      <w:pPr>
        <w:adjustRightInd w:val="0"/>
        <w:snapToGrid w:val="0"/>
        <w:spacing w:line="360" w:lineRule="auto"/>
        <w:ind w:firstLine="480" w:firstLineChars="200"/>
        <w:rPr>
          <w:rFonts w:ascii="宋体" w:hAnsi="宋体"/>
          <w:bCs/>
          <w:sz w:val="24"/>
          <w:szCs w:val="24"/>
        </w:rPr>
      </w:pPr>
      <w:r>
        <w:rPr>
          <w:rFonts w:hint="eastAsia"/>
          <w:bCs/>
          <w:sz w:val="24"/>
        </w:rPr>
        <w:t>本基金为了助力推进绿色金融发展，在债券投资中重点关注绿色债券的投资机会，积极实践和总结ESG的投资规律，通过基金投资为优质可持续资产提供融资支持，践行绿色金融的投资理念。</w:t>
      </w:r>
    </w:p>
    <w:p w14:paraId="72F53B16">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（6）可转换债券（含可分离交易可转换债券，下同）与可交换公司债券投资策略</w:t>
      </w:r>
    </w:p>
    <w:p w14:paraId="3CF4EE22">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对于可转换债券与可交换公司债券股性的研究将完全依托于公司投研团队对标的股票的研究，在此基础上利用可转换债券与可交换公司债券定价模型，充分考虑转债发行后目标转债标的股票股价波动率可能出现的变化，对目标转债的股性进行合理定价。通过对标的转债股性与债性的合理定价，力求寻找出被市场低估的品种，构建本基金可转换债券与可交换公司债券的投资组合。</w:t>
      </w:r>
    </w:p>
    <w:p w14:paraId="6AFC362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1）行业配置策略</w:t>
      </w:r>
    </w:p>
    <w:p w14:paraId="2E124707">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综合考虑各种宏观因素，以宏观经济走势、经济周期特征和阶段性市场投资主题的研究为基础，综合考量可转债市场的供给和需求情况，追求最优行业配置。同时，结合经济和市场阶段性特征，动态调整不同行业的可转换债券与可交换公司债券进行投资。</w:t>
      </w:r>
    </w:p>
    <w:p w14:paraId="36BCE929">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2）个券精选策略</w:t>
      </w:r>
    </w:p>
    <w:p w14:paraId="39A5C0CD">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借鉴信用债的基本面研究，从行业基本面、公司的信用资质、行业地位、财务状况等方面进行定性分析，精选财务稳健、信用违约风险小的个券；对于可转换为正股的转股价值，将通过盈利能力指标（如市盈率、市现率、股价与每股息税前利润比率等）、经营效率指标（如净资产收益率、资产收益率、经营资产回报率等）、财务状况指标（如资产负债率、流动比率等）等进行定量分析，选择基本面优质且估值合理的正股。综上所述，本基金将结合可转换债券与可交换公司债券自身的信用评估和其正股的价值分析来进行个券的筛选。</w:t>
      </w:r>
    </w:p>
    <w:p w14:paraId="13533515">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、国债期货投资策略</w:t>
      </w:r>
    </w:p>
    <w:p w14:paraId="3C94E78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进行国债期货投资时，将根据风险管理的原则，以套期保值为目的，并积极采用流动性好、交易活跃的期货合约，通过对国债市场和期货市场运行趋势的研究，结合国债期货的定价模型寻求其合理的估值水平，通过多头或空头套期保值等策略进行套期保值操作。基金管理人将充分考虑国债期货的收益性、流动性及风险性特征，利用金融衍生品的杠杆作用，以达到降低投资组合的整体风险的目的。</w:t>
      </w:r>
    </w:p>
    <w:p w14:paraId="771558F9">
      <w:pPr>
        <w:adjustRightInd w:val="0"/>
        <w:snapToGrid w:val="0"/>
        <w:spacing w:line="360" w:lineRule="auto"/>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、信用衍生品投资策略</w:t>
      </w:r>
    </w:p>
    <w:p w14:paraId="595DEB2C">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6E62CD91">
      <w:pPr>
        <w:adjustRightInd w:val="0"/>
        <w:snapToGrid w:val="0"/>
        <w:spacing w:line="360" w:lineRule="auto"/>
        <w:ind w:firstLine="482" w:firstLineChars="200"/>
        <w:rPr>
          <w:rFonts w:hAnsi="宋体"/>
          <w:kern w:val="0"/>
          <w:sz w:val="24"/>
        </w:rPr>
      </w:pPr>
      <w:r>
        <w:rPr>
          <w:rFonts w:hint="eastAsia"/>
          <w:b/>
          <w:bCs/>
          <w:sz w:val="24"/>
        </w:rPr>
        <w:t>（四）投资限制</w:t>
      </w:r>
    </w:p>
    <w:p w14:paraId="45CEAACB">
      <w:pPr>
        <w:adjustRightInd w:val="0"/>
        <w:snapToGrid w:val="0"/>
        <w:spacing w:line="360" w:lineRule="auto"/>
        <w:ind w:firstLine="480" w:firstLineChars="200"/>
        <w:rPr>
          <w:rFonts w:ascii="宋体" w:hAnsi="宋体"/>
          <w:bCs/>
          <w:sz w:val="24"/>
          <w:szCs w:val="24"/>
        </w:rPr>
      </w:pPr>
      <w:r>
        <w:rPr>
          <w:rFonts w:ascii="宋体" w:hAnsi="宋体"/>
          <w:bCs/>
          <w:sz w:val="24"/>
          <w:szCs w:val="24"/>
        </w:rPr>
        <w:t>1、组合限制</w:t>
      </w:r>
    </w:p>
    <w:p w14:paraId="0C60D61C">
      <w:pPr>
        <w:adjustRightInd w:val="0"/>
        <w:snapToGrid w:val="0"/>
        <w:spacing w:line="360" w:lineRule="auto"/>
        <w:ind w:firstLine="480" w:firstLineChars="200"/>
        <w:rPr>
          <w:rFonts w:ascii="宋体" w:hAnsi="宋体"/>
          <w:bCs/>
          <w:sz w:val="24"/>
          <w:szCs w:val="24"/>
        </w:rPr>
      </w:pPr>
      <w:r>
        <w:rPr>
          <w:rFonts w:ascii="宋体" w:hAnsi="宋体"/>
          <w:bCs/>
          <w:sz w:val="24"/>
          <w:szCs w:val="24"/>
        </w:rPr>
        <w:t>基金的投资组合应遵循以下限制：</w:t>
      </w:r>
    </w:p>
    <w:p w14:paraId="1E7DB93B">
      <w:pPr>
        <w:adjustRightInd w:val="0"/>
        <w:snapToGrid w:val="0"/>
        <w:spacing w:line="360" w:lineRule="auto"/>
        <w:ind w:firstLine="480" w:firstLineChars="200"/>
        <w:rPr>
          <w:bCs/>
          <w:sz w:val="24"/>
        </w:rPr>
      </w:pPr>
      <w:r>
        <w:rPr>
          <w:rFonts w:hint="eastAsia"/>
          <w:bCs/>
          <w:sz w:val="24"/>
        </w:rPr>
        <w:t>（1）</w:t>
      </w:r>
      <w:r>
        <w:rPr>
          <w:rFonts w:hint="eastAsia" w:hAnsi="宋体"/>
          <w:sz w:val="24"/>
          <w:szCs w:val="24"/>
        </w:rPr>
        <w:t>本基金投资于债券资产的比例不低于基金资产的80%；投资于股票（含存托凭证）、股票型基金、计入权益类资产的混合型基金、可转换债券（含可分离交易可转换债券）、可交换公司债券的比例占基金资产的</w:t>
      </w:r>
      <w:r>
        <w:rPr>
          <w:rFonts w:hint="eastAsia" w:hAnsi="宋体"/>
          <w:sz w:val="24"/>
          <w:szCs w:val="24"/>
          <w:lang w:val="en-US" w:eastAsia="zh-CN"/>
        </w:rPr>
        <w:t>5</w:t>
      </w:r>
      <w:r>
        <w:rPr>
          <w:rFonts w:hint="eastAsia" w:hAnsi="宋体"/>
          <w:sz w:val="24"/>
          <w:szCs w:val="24"/>
        </w:rPr>
        <w:t>%-20%（其中</w:t>
      </w:r>
      <w:r>
        <w:rPr>
          <w:rFonts w:hint="eastAsia"/>
          <w:bCs/>
          <w:sz w:val="24"/>
        </w:rPr>
        <w:t>，投资于境内股票资产（</w:t>
      </w:r>
      <w:r>
        <w:rPr>
          <w:rFonts w:ascii="宋体" w:hAnsi="宋体" w:eastAsia="宋体" w:cs="宋体"/>
          <w:sz w:val="24"/>
          <w:szCs w:val="24"/>
        </w:rPr>
        <w:t>含</w:t>
      </w:r>
      <w:r>
        <w:rPr>
          <w:rFonts w:hint="eastAsia" w:ascii="宋体" w:hAnsi="宋体" w:cs="宋体"/>
          <w:sz w:val="24"/>
          <w:szCs w:val="24"/>
          <w:lang w:val="en-US" w:eastAsia="zh-CN"/>
        </w:rPr>
        <w:t>A股</w:t>
      </w:r>
      <w:r>
        <w:rPr>
          <w:rFonts w:ascii="宋体" w:hAnsi="宋体" w:eastAsia="宋体" w:cs="宋体"/>
          <w:sz w:val="24"/>
          <w:szCs w:val="24"/>
        </w:rPr>
        <w:t>ETF</w:t>
      </w:r>
      <w:r>
        <w:rPr>
          <w:rFonts w:hint="eastAsia"/>
          <w:bCs/>
          <w:sz w:val="24"/>
        </w:rPr>
        <w:t>）的比例不低于基金资产的5%，</w:t>
      </w:r>
      <w:r>
        <w:rPr>
          <w:rFonts w:hint="eastAsia" w:hAnsi="宋体"/>
          <w:sz w:val="24"/>
          <w:szCs w:val="24"/>
        </w:rPr>
        <w:t>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w:t>
      </w:r>
      <w:r>
        <w:rPr>
          <w:rFonts w:hint="eastAsia"/>
          <w:bCs/>
          <w:sz w:val="24"/>
        </w:rPr>
        <w:t>本基金投资于经中国证监会依法核准或注册的公开募集的基金份额的比例不超过基金资产净值的10%；</w:t>
      </w:r>
    </w:p>
    <w:p w14:paraId="7718837C">
      <w:pPr>
        <w:adjustRightInd w:val="0"/>
        <w:snapToGrid w:val="0"/>
        <w:spacing w:line="360" w:lineRule="auto"/>
        <w:ind w:firstLine="480" w:firstLineChars="200"/>
        <w:rPr>
          <w:bCs/>
          <w:sz w:val="24"/>
        </w:rPr>
      </w:pPr>
      <w:r>
        <w:rPr>
          <w:rFonts w:hint="eastAsia"/>
          <w:bCs/>
          <w:sz w:val="24"/>
        </w:rPr>
        <w:t>（2）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46012E04">
      <w:pPr>
        <w:adjustRightInd w:val="0"/>
        <w:snapToGrid w:val="0"/>
        <w:spacing w:line="360" w:lineRule="auto"/>
        <w:ind w:firstLine="480" w:firstLineChars="200"/>
        <w:rPr>
          <w:bCs/>
          <w:sz w:val="24"/>
        </w:rPr>
      </w:pPr>
      <w:r>
        <w:rPr>
          <w:rFonts w:hint="eastAsia"/>
          <w:bCs/>
          <w:sz w:val="24"/>
        </w:rPr>
        <w:t>（3）本基金持有一家公司发行的证券（不含本基金所投资的基金份额，同一家公司在内地和香港同时上市的A+H股合计计算），其市值不超过基金资产净值的10％；</w:t>
      </w:r>
    </w:p>
    <w:p w14:paraId="72C66588">
      <w:pPr>
        <w:adjustRightInd w:val="0"/>
        <w:snapToGrid w:val="0"/>
        <w:spacing w:line="360" w:lineRule="auto"/>
        <w:ind w:firstLine="480" w:firstLineChars="200"/>
        <w:rPr>
          <w:bCs/>
          <w:sz w:val="24"/>
        </w:rPr>
      </w:pPr>
      <w:r>
        <w:rPr>
          <w:rFonts w:hint="eastAsia"/>
          <w:bCs/>
          <w:sz w:val="24"/>
        </w:rPr>
        <w:t>（4）本基金管理人管理的全部基金持有一家公司发行的证券（不含本基金所投资的基金份额，同一家公司在内地和香港同时上市的A+H股合计计算），不超过该证券的10％，完全按照有关指数的构成比例进行证券投资的基金品种可以不受此条款规定的比例限制；</w:t>
      </w:r>
    </w:p>
    <w:p w14:paraId="6C74547B">
      <w:pPr>
        <w:adjustRightInd w:val="0"/>
        <w:snapToGrid w:val="0"/>
        <w:spacing w:line="360" w:lineRule="auto"/>
        <w:ind w:firstLine="480" w:firstLineChars="200"/>
        <w:rPr>
          <w:bCs/>
          <w:sz w:val="24"/>
        </w:rPr>
      </w:pPr>
      <w:r>
        <w:rPr>
          <w:rFonts w:hint="eastAsia"/>
          <w:bCs/>
          <w:sz w:val="24"/>
        </w:rPr>
        <w:t>（5）本基金投资于同一原始权益人的各类资产支持证券的比例，不得超过基金资产净值的10％；</w:t>
      </w:r>
    </w:p>
    <w:p w14:paraId="2DDC421F">
      <w:pPr>
        <w:adjustRightInd w:val="0"/>
        <w:snapToGrid w:val="0"/>
        <w:spacing w:line="360" w:lineRule="auto"/>
        <w:ind w:firstLine="480" w:firstLineChars="200"/>
        <w:rPr>
          <w:bCs/>
          <w:sz w:val="24"/>
        </w:rPr>
      </w:pPr>
      <w:r>
        <w:rPr>
          <w:rFonts w:hint="eastAsia"/>
          <w:bCs/>
          <w:sz w:val="24"/>
        </w:rPr>
        <w:t>（6）本基金持有的全部资产支持证券，其市值不得超过基金资产净值的20％；</w:t>
      </w:r>
    </w:p>
    <w:p w14:paraId="10BEA7DB">
      <w:pPr>
        <w:adjustRightInd w:val="0"/>
        <w:snapToGrid w:val="0"/>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14:paraId="57C353D2">
      <w:pPr>
        <w:adjustRightInd w:val="0"/>
        <w:snapToGrid w:val="0"/>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14:paraId="1409C3F7">
      <w:pPr>
        <w:adjustRightInd w:val="0"/>
        <w:snapToGrid w:val="0"/>
        <w:spacing w:line="360" w:lineRule="auto"/>
        <w:ind w:firstLine="480" w:firstLineChars="200"/>
        <w:rPr>
          <w:bCs/>
          <w:sz w:val="24"/>
        </w:rPr>
      </w:pPr>
      <w:r>
        <w:rPr>
          <w:rFonts w:hint="eastAsia"/>
          <w:bCs/>
          <w:sz w:val="24"/>
        </w:rPr>
        <w:t>（9）基金财产参与股票发行申购，本基金所申报的金额不超过本基金的总资产，本基金所申报的股票数量不超过拟发行股票公司本次发行股票的总量；</w:t>
      </w:r>
    </w:p>
    <w:p w14:paraId="4B76C2C5">
      <w:pPr>
        <w:adjustRightInd w:val="0"/>
        <w:snapToGrid w:val="0"/>
        <w:spacing w:line="360" w:lineRule="auto"/>
        <w:ind w:firstLine="480" w:firstLineChars="200"/>
        <w:rPr>
          <w:bCs/>
          <w:sz w:val="24"/>
        </w:rPr>
      </w:pPr>
      <w:r>
        <w:rPr>
          <w:rFonts w:hint="eastAsia"/>
          <w:bCs/>
          <w:sz w:val="24"/>
        </w:rPr>
        <w:t>（</w:t>
      </w:r>
      <w:r>
        <w:rPr>
          <w:bCs/>
          <w:sz w:val="24"/>
        </w:rPr>
        <w:t>10</w:t>
      </w:r>
      <w:r>
        <w:rPr>
          <w:rFonts w:hint="eastAsia"/>
          <w:bCs/>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CE775B4">
      <w:pPr>
        <w:adjustRightInd w:val="0"/>
        <w:snapToGrid w:val="0"/>
        <w:spacing w:line="360" w:lineRule="auto"/>
        <w:ind w:firstLine="480" w:firstLineChars="200"/>
        <w:rPr>
          <w:bCs/>
          <w:sz w:val="24"/>
        </w:rPr>
      </w:pPr>
      <w:r>
        <w:rPr>
          <w:rFonts w:hint="eastAsia"/>
          <w:bCs/>
          <w:sz w:val="24"/>
        </w:rPr>
        <w:t>（</w:t>
      </w:r>
      <w:r>
        <w:rPr>
          <w:bCs/>
          <w:sz w:val="24"/>
        </w:rPr>
        <w:t>11</w:t>
      </w:r>
      <w:r>
        <w:rPr>
          <w:rFonts w:hint="eastAsia"/>
          <w:bCs/>
          <w:sz w:val="24"/>
        </w:rPr>
        <w:t>）本基金主动投资于流动性受限资产（含封闭运作基金、定期开放基金等流通受限基金）的市值合计不得超过基金资产净值的15%；因证券市场波动、上市公司股票停牌、基金规模变动等基金管理人之外的因素致使基金不符合该比例限制的，基金管理人不得主动新增流动性受限资产的投资；</w:t>
      </w:r>
    </w:p>
    <w:p w14:paraId="7DAB96AF">
      <w:pPr>
        <w:adjustRightInd w:val="0"/>
        <w:snapToGrid w:val="0"/>
        <w:spacing w:line="360" w:lineRule="auto"/>
        <w:ind w:firstLine="480" w:firstLineChars="200"/>
        <w:rPr>
          <w:bCs/>
          <w:sz w:val="24"/>
        </w:rPr>
      </w:pPr>
      <w:r>
        <w:rPr>
          <w:rFonts w:hint="eastAsia"/>
          <w:bCs/>
          <w:sz w:val="24"/>
        </w:rPr>
        <w:t>（</w:t>
      </w:r>
      <w:r>
        <w:rPr>
          <w:bCs/>
          <w:sz w:val="24"/>
        </w:rPr>
        <w:t>12</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7C441A38">
      <w:pPr>
        <w:adjustRightInd w:val="0"/>
        <w:snapToGrid w:val="0"/>
        <w:spacing w:line="360" w:lineRule="auto"/>
        <w:ind w:firstLine="480" w:firstLineChars="200"/>
        <w:rPr>
          <w:bCs/>
          <w:sz w:val="24"/>
        </w:rPr>
      </w:pPr>
      <w:r>
        <w:rPr>
          <w:rFonts w:hint="eastAsia"/>
          <w:bCs/>
          <w:sz w:val="24"/>
        </w:rPr>
        <w:t>（</w:t>
      </w:r>
      <w:r>
        <w:rPr>
          <w:bCs/>
          <w:sz w:val="24"/>
        </w:rPr>
        <w:t>13</w:t>
      </w:r>
      <w:r>
        <w:rPr>
          <w:rFonts w:hint="eastAsia"/>
          <w:bCs/>
          <w:sz w:val="24"/>
        </w:rPr>
        <w:t>）本基金不持有具有信用保护卖方属性的信用衍生品，不持有合约类信用衍生品；本基金投资的信用衍生品名义本金不得超过本基金中对应受保护债券面值的100%；本基金投资于同一信用保护卖方的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14:paraId="42F6211A">
      <w:pPr>
        <w:adjustRightInd w:val="0"/>
        <w:snapToGrid w:val="0"/>
        <w:spacing w:line="360" w:lineRule="auto"/>
        <w:ind w:firstLine="480" w:firstLineChars="200"/>
        <w:rPr>
          <w:bCs/>
          <w:sz w:val="24"/>
        </w:rPr>
      </w:pPr>
      <w:r>
        <w:rPr>
          <w:rFonts w:hint="eastAsia"/>
          <w:bCs/>
          <w:sz w:val="24"/>
        </w:rPr>
        <w:t>（</w:t>
      </w:r>
      <w:r>
        <w:rPr>
          <w:bCs/>
          <w:sz w:val="24"/>
        </w:rPr>
        <w:t>14</w:t>
      </w:r>
      <w:r>
        <w:rPr>
          <w:rFonts w:hint="eastAsia"/>
          <w:bCs/>
          <w:sz w:val="24"/>
        </w:rPr>
        <w:t>）本基金参与国债期货交易，需遵守下列投资比例限制：</w:t>
      </w:r>
    </w:p>
    <w:p w14:paraId="19C4037A">
      <w:pPr>
        <w:adjustRightInd w:val="0"/>
        <w:snapToGrid w:val="0"/>
        <w:spacing w:line="360" w:lineRule="auto"/>
        <w:ind w:firstLine="480" w:firstLineChars="200"/>
        <w:rPr>
          <w:bCs/>
          <w:sz w:val="24"/>
        </w:rPr>
      </w:pPr>
      <w:r>
        <w:rPr>
          <w:rFonts w:hint="eastAsia"/>
          <w:bCs/>
          <w:sz w:val="24"/>
        </w:rPr>
        <w:t>1）在任何交易日日终，持有的买入国债期货合约价值，不得超过基金资产净值的15%；</w:t>
      </w:r>
    </w:p>
    <w:p w14:paraId="48A7B576">
      <w:pPr>
        <w:adjustRightInd w:val="0"/>
        <w:snapToGrid w:val="0"/>
        <w:spacing w:line="360" w:lineRule="auto"/>
        <w:ind w:firstLine="480" w:firstLineChars="200"/>
        <w:rPr>
          <w:bCs/>
          <w:sz w:val="24"/>
        </w:rPr>
      </w:pPr>
      <w:r>
        <w:rPr>
          <w:rFonts w:hint="eastAsia"/>
          <w:bCs/>
          <w:sz w:val="24"/>
        </w:rPr>
        <w:t>2）在任何交易日日终，持有的卖出国债期货合约价值不得超过基金持有的债券总市值的30%；</w:t>
      </w:r>
    </w:p>
    <w:p w14:paraId="286BDF43">
      <w:pPr>
        <w:adjustRightInd w:val="0"/>
        <w:snapToGrid w:val="0"/>
        <w:spacing w:line="360" w:lineRule="auto"/>
        <w:ind w:firstLine="480" w:firstLineChars="200"/>
        <w:rPr>
          <w:bCs/>
          <w:sz w:val="24"/>
        </w:rPr>
      </w:pPr>
      <w:r>
        <w:rPr>
          <w:rFonts w:hint="eastAsia"/>
          <w:bCs/>
          <w:sz w:val="24"/>
        </w:rPr>
        <w:t>3）基金在任何交易日内交易（不包括平仓）的国债期货合约的成交金额不得超过上一交易日基金资产净值的30%；</w:t>
      </w:r>
    </w:p>
    <w:p w14:paraId="7AF10104">
      <w:pPr>
        <w:adjustRightInd w:val="0"/>
        <w:snapToGrid w:val="0"/>
        <w:spacing w:line="360" w:lineRule="auto"/>
        <w:ind w:firstLine="480" w:firstLineChars="200"/>
        <w:rPr>
          <w:bCs/>
          <w:sz w:val="24"/>
        </w:rPr>
      </w:pPr>
      <w:r>
        <w:rPr>
          <w:rFonts w:hint="eastAsia"/>
          <w:bCs/>
          <w:sz w:val="24"/>
        </w:rPr>
        <w:t>4）本基金所持有的债券（不含到期日在一年以内的政府债券）市值和买入、卖出国债期货合约价值，合计（轧差计算）应当符合基金合同关于债券投资比例的有关约定；</w:t>
      </w:r>
    </w:p>
    <w:p w14:paraId="5004B6E2">
      <w:pPr>
        <w:adjustRightInd w:val="0"/>
        <w:snapToGrid w:val="0"/>
        <w:spacing w:line="360" w:lineRule="auto"/>
        <w:ind w:firstLine="480" w:firstLineChars="200"/>
        <w:rPr>
          <w:bCs/>
          <w:sz w:val="24"/>
        </w:rPr>
      </w:pPr>
      <w:r>
        <w:rPr>
          <w:rFonts w:hint="eastAsia"/>
          <w:bCs/>
          <w:sz w:val="24"/>
        </w:rPr>
        <w:t>（</w:t>
      </w:r>
      <w:r>
        <w:rPr>
          <w:bCs/>
          <w:sz w:val="24"/>
        </w:rPr>
        <w:t>15</w:t>
      </w:r>
      <w:r>
        <w:rPr>
          <w:rFonts w:hint="eastAsia"/>
          <w:bCs/>
          <w:sz w:val="24"/>
        </w:rPr>
        <w:t>）本基金资产总值不超过基金资产净值的140%；</w:t>
      </w:r>
    </w:p>
    <w:p w14:paraId="146F4FC7">
      <w:pPr>
        <w:adjustRightInd w:val="0"/>
        <w:snapToGrid w:val="0"/>
        <w:spacing w:line="360" w:lineRule="auto"/>
        <w:ind w:firstLine="480" w:firstLineChars="200"/>
        <w:rPr>
          <w:bCs/>
          <w:sz w:val="24"/>
        </w:rPr>
      </w:pPr>
      <w:r>
        <w:rPr>
          <w:rFonts w:hint="eastAsia"/>
          <w:bCs/>
          <w:sz w:val="24"/>
        </w:rPr>
        <w:t>（</w:t>
      </w:r>
      <w:r>
        <w:rPr>
          <w:bCs/>
          <w:sz w:val="24"/>
        </w:rPr>
        <w:t>16</w:t>
      </w:r>
      <w:r>
        <w:rPr>
          <w:rFonts w:hint="eastAsia"/>
          <w:bCs/>
          <w:sz w:val="24"/>
        </w:rPr>
        <w:t>）本基金投资存托凭证的比例限制依照境内上市交易的股票执行；</w:t>
      </w:r>
    </w:p>
    <w:p w14:paraId="026E42BF">
      <w:pPr>
        <w:adjustRightInd w:val="0"/>
        <w:snapToGrid w:val="0"/>
        <w:spacing w:line="360" w:lineRule="auto"/>
        <w:ind w:firstLine="480" w:firstLineChars="200"/>
        <w:rPr>
          <w:bCs/>
          <w:sz w:val="24"/>
        </w:rPr>
      </w:pPr>
      <w:r>
        <w:rPr>
          <w:rFonts w:hint="eastAsia"/>
          <w:bCs/>
          <w:sz w:val="24"/>
        </w:rPr>
        <w:t>（17）本基金投资其他基金时，被投资基金的运作期限不少于1年、最近定期报告披露的基金净资产应当不低于1亿元；</w:t>
      </w:r>
    </w:p>
    <w:p w14:paraId="68BCFE4A">
      <w:pPr>
        <w:adjustRightInd w:val="0"/>
        <w:snapToGrid w:val="0"/>
        <w:spacing w:line="360" w:lineRule="auto"/>
        <w:ind w:firstLine="480" w:firstLineChars="200"/>
        <w:rPr>
          <w:bCs/>
          <w:sz w:val="24"/>
        </w:rPr>
      </w:pPr>
      <w:r>
        <w:rPr>
          <w:rFonts w:hint="eastAsia"/>
          <w:bCs/>
          <w:sz w:val="24"/>
        </w:rPr>
        <w:t>（18）本基金管理人管理的全部基金（除ETF联接基金外）持有单只基金不得超过被投资基金净资产的20%，被投资基金净资产规模以最近定期报告披露的规模为准；</w:t>
      </w:r>
    </w:p>
    <w:p w14:paraId="1DE3E160">
      <w:pPr>
        <w:adjustRightInd w:val="0"/>
        <w:snapToGrid w:val="0"/>
        <w:spacing w:line="360" w:lineRule="auto"/>
        <w:ind w:firstLine="480" w:firstLineChars="200"/>
        <w:rPr>
          <w:bCs/>
          <w:sz w:val="24"/>
        </w:rPr>
      </w:pPr>
      <w:r>
        <w:rPr>
          <w:rFonts w:hint="eastAsia"/>
          <w:bCs/>
          <w:sz w:val="24"/>
        </w:rPr>
        <w:t>（19）本基金不得持有具有复杂、衍生品性质的基金份额，包括分级基金和中国证监会认定的其他基金份额；</w:t>
      </w:r>
    </w:p>
    <w:p w14:paraId="7613DD9C">
      <w:pPr>
        <w:adjustRightInd w:val="0"/>
        <w:snapToGrid w:val="0"/>
        <w:spacing w:line="360" w:lineRule="auto"/>
        <w:ind w:firstLine="480" w:firstLineChars="200"/>
        <w:rPr>
          <w:bCs/>
          <w:sz w:val="24"/>
        </w:rPr>
      </w:pPr>
      <w:r>
        <w:rPr>
          <w:rFonts w:hint="eastAsia"/>
          <w:bCs/>
          <w:sz w:val="24"/>
        </w:rPr>
        <w:t>（2</w:t>
      </w:r>
      <w:r>
        <w:rPr>
          <w:bCs/>
          <w:sz w:val="24"/>
        </w:rPr>
        <w:t>0</w:t>
      </w:r>
      <w:r>
        <w:rPr>
          <w:rFonts w:hint="eastAsia"/>
          <w:bCs/>
          <w:sz w:val="24"/>
        </w:rPr>
        <w:t>）法律法规及中国证监会规定的和《基金合同》约定的其他投资限制。</w:t>
      </w:r>
    </w:p>
    <w:p w14:paraId="11D2FD9C">
      <w:pPr>
        <w:adjustRightInd w:val="0"/>
        <w:snapToGrid w:val="0"/>
        <w:spacing w:line="360" w:lineRule="auto"/>
        <w:ind w:firstLine="480" w:firstLineChars="200"/>
        <w:rPr>
          <w:bCs/>
          <w:sz w:val="24"/>
        </w:rPr>
      </w:pPr>
      <w:r>
        <w:rPr>
          <w:rFonts w:hint="eastAsia"/>
          <w:bCs/>
          <w:sz w:val="24"/>
        </w:rPr>
        <w:t>因证券/</w:t>
      </w:r>
      <w:r>
        <w:rPr>
          <w:bCs/>
          <w:sz w:val="24"/>
        </w:rPr>
        <w:t>期货</w:t>
      </w:r>
      <w:r>
        <w:rPr>
          <w:rFonts w:hint="eastAsia"/>
          <w:bCs/>
          <w:sz w:val="24"/>
        </w:rPr>
        <w:t>市场波动、基金规模变动、本基金所投资的基金发生流动性限制、暂停申购、赎回或二级市场交易停牌等基金管理人之外的因素致使本基金投资比例不符合上述第（</w:t>
      </w:r>
      <w:r>
        <w:rPr>
          <w:bCs/>
          <w:sz w:val="24"/>
        </w:rPr>
        <w:t>18</w:t>
      </w:r>
      <w:r>
        <w:rPr>
          <w:rFonts w:hint="eastAsia"/>
          <w:bCs/>
          <w:sz w:val="24"/>
        </w:rPr>
        <w:t>）项规定的，基金管理人应当在20个交易日内进行调整；除上述（2）、</w:t>
      </w:r>
      <w:r>
        <w:rPr>
          <w:bCs/>
          <w:sz w:val="24"/>
        </w:rPr>
        <w:t>（11）、（12）</w:t>
      </w:r>
      <w:r>
        <w:rPr>
          <w:rFonts w:hint="eastAsia"/>
          <w:bCs/>
          <w:sz w:val="24"/>
        </w:rPr>
        <w:t>、（</w:t>
      </w:r>
      <w:r>
        <w:rPr>
          <w:bCs/>
          <w:sz w:val="24"/>
        </w:rPr>
        <w:t>13</w:t>
      </w:r>
      <w:r>
        <w:rPr>
          <w:rFonts w:hint="eastAsia"/>
          <w:bCs/>
          <w:sz w:val="24"/>
        </w:rPr>
        <w:t>）、（1</w:t>
      </w:r>
      <w:r>
        <w:rPr>
          <w:bCs/>
          <w:sz w:val="24"/>
        </w:rPr>
        <w:t>8</w:t>
      </w:r>
      <w:r>
        <w:rPr>
          <w:rFonts w:hint="eastAsia"/>
          <w:bCs/>
          <w:sz w:val="24"/>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7F230C53">
      <w:pPr>
        <w:adjustRightInd w:val="0"/>
        <w:snapToGrid w:val="0"/>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8012036">
      <w:pPr>
        <w:snapToGrid w:val="0"/>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2EBF80F0">
      <w:pPr>
        <w:snapToGrid w:val="0"/>
        <w:spacing w:line="360" w:lineRule="auto"/>
        <w:ind w:firstLine="480" w:firstLineChars="200"/>
        <w:rPr>
          <w:rFonts w:ascii="宋体" w:hAnsi="宋体"/>
          <w:sz w:val="24"/>
          <w:szCs w:val="24"/>
        </w:rPr>
      </w:pPr>
      <w:r>
        <w:rPr>
          <w:rFonts w:hint="eastAsia" w:ascii="宋体" w:hAnsi="宋体"/>
          <w:sz w:val="24"/>
          <w:szCs w:val="24"/>
        </w:rPr>
        <w:t>2、禁止行为</w:t>
      </w:r>
    </w:p>
    <w:p w14:paraId="12FC41AA">
      <w:pPr>
        <w:snapToGrid w:val="0"/>
        <w:spacing w:line="360" w:lineRule="auto"/>
        <w:ind w:firstLine="480" w:firstLineChars="200"/>
        <w:rPr>
          <w:rFonts w:ascii="宋体" w:hAnsi="宋体"/>
          <w:sz w:val="24"/>
          <w:szCs w:val="24"/>
        </w:rPr>
      </w:pPr>
      <w:r>
        <w:rPr>
          <w:rFonts w:hint="eastAsia" w:ascii="宋体" w:hAnsi="宋体"/>
          <w:sz w:val="24"/>
          <w:szCs w:val="24"/>
        </w:rPr>
        <w:t>为维护基金份额持有人的合法权益，基金财产不得用于下列投资或者活动：</w:t>
      </w:r>
    </w:p>
    <w:p w14:paraId="40D608BE">
      <w:pPr>
        <w:snapToGrid w:val="0"/>
        <w:spacing w:line="360" w:lineRule="auto"/>
        <w:ind w:firstLine="480" w:firstLineChars="200"/>
        <w:rPr>
          <w:rFonts w:ascii="宋体" w:hAnsi="宋体"/>
          <w:sz w:val="24"/>
          <w:szCs w:val="24"/>
        </w:rPr>
      </w:pPr>
      <w:r>
        <w:rPr>
          <w:rFonts w:hint="eastAsia" w:ascii="宋体" w:hAnsi="宋体"/>
          <w:sz w:val="24"/>
          <w:szCs w:val="24"/>
        </w:rPr>
        <w:t>（1）承销证券；</w:t>
      </w:r>
    </w:p>
    <w:p w14:paraId="56DC69AD">
      <w:pPr>
        <w:snapToGrid w:val="0"/>
        <w:spacing w:line="360" w:lineRule="auto"/>
        <w:ind w:firstLine="480" w:firstLineChars="200"/>
        <w:rPr>
          <w:rFonts w:ascii="宋体" w:hAnsi="宋体"/>
          <w:sz w:val="24"/>
          <w:szCs w:val="24"/>
        </w:rPr>
      </w:pPr>
      <w:r>
        <w:rPr>
          <w:rFonts w:hint="eastAsia" w:ascii="宋体" w:hAnsi="宋体"/>
          <w:sz w:val="24"/>
          <w:szCs w:val="24"/>
        </w:rPr>
        <w:t>（2）违反规定向他人贷款或者提供担保；</w:t>
      </w:r>
    </w:p>
    <w:p w14:paraId="7B116A40">
      <w:pPr>
        <w:snapToGrid w:val="0"/>
        <w:spacing w:line="360" w:lineRule="auto"/>
        <w:ind w:firstLine="480" w:firstLineChars="200"/>
        <w:rPr>
          <w:rFonts w:ascii="宋体" w:hAnsi="宋体"/>
          <w:sz w:val="24"/>
          <w:szCs w:val="24"/>
        </w:rPr>
      </w:pPr>
      <w:r>
        <w:rPr>
          <w:rFonts w:hint="eastAsia" w:ascii="宋体" w:hAnsi="宋体"/>
          <w:sz w:val="24"/>
          <w:szCs w:val="24"/>
        </w:rPr>
        <w:t>（3）从事承担无限责任的投资；</w:t>
      </w:r>
    </w:p>
    <w:p w14:paraId="43AA9066">
      <w:pPr>
        <w:snapToGrid w:val="0"/>
        <w:spacing w:line="360" w:lineRule="auto"/>
        <w:ind w:firstLine="480" w:firstLineChars="200"/>
        <w:rPr>
          <w:rFonts w:ascii="宋体" w:hAnsi="宋体"/>
          <w:sz w:val="24"/>
          <w:szCs w:val="24"/>
        </w:rPr>
      </w:pPr>
      <w:r>
        <w:rPr>
          <w:rFonts w:hint="eastAsia" w:ascii="宋体" w:hAnsi="宋体"/>
          <w:sz w:val="24"/>
          <w:szCs w:val="24"/>
        </w:rPr>
        <w:t>（4）向其基金管理人、基金托管人出资；</w:t>
      </w:r>
    </w:p>
    <w:p w14:paraId="7916686E">
      <w:pPr>
        <w:snapToGrid w:val="0"/>
        <w:spacing w:line="360" w:lineRule="auto"/>
        <w:ind w:firstLine="480" w:firstLineChars="200"/>
        <w:rPr>
          <w:rFonts w:ascii="宋体" w:hAnsi="宋体"/>
          <w:sz w:val="24"/>
          <w:szCs w:val="24"/>
        </w:rPr>
      </w:pPr>
      <w:r>
        <w:rPr>
          <w:rFonts w:hint="eastAsia" w:ascii="宋体" w:hAnsi="宋体"/>
          <w:sz w:val="24"/>
          <w:szCs w:val="24"/>
        </w:rPr>
        <w:t>（5）从事内幕交易、操纵证券交易价格及其他不正当的证券交易活动；</w:t>
      </w:r>
    </w:p>
    <w:p w14:paraId="44216930">
      <w:pPr>
        <w:snapToGrid w:val="0"/>
        <w:spacing w:line="360" w:lineRule="auto"/>
        <w:ind w:firstLine="480" w:firstLineChars="200"/>
        <w:rPr>
          <w:rFonts w:ascii="宋体" w:hAnsi="宋体"/>
          <w:sz w:val="24"/>
          <w:szCs w:val="24"/>
        </w:rPr>
      </w:pPr>
      <w:r>
        <w:rPr>
          <w:rFonts w:hint="eastAsia" w:ascii="宋体" w:hAnsi="宋体"/>
          <w:sz w:val="24"/>
          <w:szCs w:val="24"/>
        </w:rPr>
        <w:t>（6）法律、行政法规和中国证监会规定禁止的其他活动。</w:t>
      </w:r>
    </w:p>
    <w:p w14:paraId="6A0F6D70">
      <w:pPr>
        <w:snapToGrid w:val="0"/>
        <w:spacing w:line="360" w:lineRule="auto"/>
        <w:ind w:firstLine="480" w:firstLineChars="200"/>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D2392B7">
      <w:pPr>
        <w:snapToGrid w:val="0"/>
        <w:spacing w:line="360" w:lineRule="auto"/>
        <w:ind w:firstLine="480" w:firstLineChars="200"/>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w:t>
      </w:r>
      <w:r>
        <w:rPr>
          <w:rFonts w:hint="eastAsia"/>
          <w:bCs/>
          <w:sz w:val="24"/>
        </w:rPr>
        <w:t>或以变更后的规定为准</w:t>
      </w:r>
      <w:r>
        <w:rPr>
          <w:rFonts w:hint="eastAsia" w:ascii="宋体" w:hAnsi="宋体"/>
          <w:sz w:val="24"/>
          <w:szCs w:val="24"/>
        </w:rPr>
        <w:t>。</w:t>
      </w:r>
    </w:p>
    <w:p w14:paraId="19795C3C">
      <w:pPr>
        <w:adjustRightInd w:val="0"/>
        <w:snapToGrid w:val="0"/>
        <w:spacing w:line="360" w:lineRule="auto"/>
        <w:ind w:firstLine="482" w:firstLineChars="200"/>
        <w:rPr>
          <w:rFonts w:hAnsi="宋体"/>
          <w:kern w:val="0"/>
          <w:sz w:val="24"/>
        </w:rPr>
      </w:pPr>
      <w:r>
        <w:rPr>
          <w:rFonts w:hint="eastAsia"/>
          <w:b/>
          <w:bCs/>
          <w:sz w:val="24"/>
        </w:rPr>
        <w:t>（五）业绩比较基准</w:t>
      </w:r>
    </w:p>
    <w:p w14:paraId="4556EEDF">
      <w:pPr>
        <w:snapToGrid w:val="0"/>
        <w:spacing w:line="360" w:lineRule="auto"/>
        <w:ind w:firstLine="480" w:firstLineChars="200"/>
        <w:rPr>
          <w:rFonts w:hint="eastAsia"/>
          <w:bCs/>
          <w:sz w:val="24"/>
        </w:rPr>
      </w:pPr>
      <w:r>
        <w:rPr>
          <w:rFonts w:hint="eastAsia"/>
          <w:bCs/>
          <w:sz w:val="24"/>
        </w:rPr>
        <w:t>本基金业绩比较基准：沪深300指数收益率×10%+恒生指数收益率×</w:t>
      </w:r>
      <w:r>
        <w:rPr>
          <w:rFonts w:hint="eastAsia"/>
          <w:bCs/>
          <w:sz w:val="24"/>
          <w:lang w:val="en-US" w:eastAsia="zh-CN"/>
        </w:rPr>
        <w:t>3</w:t>
      </w:r>
      <w:r>
        <w:rPr>
          <w:rFonts w:hint="eastAsia"/>
          <w:bCs/>
          <w:sz w:val="24"/>
        </w:rPr>
        <w:t>%+中债-综合全价（总值）指数收益率×8</w:t>
      </w:r>
      <w:r>
        <w:rPr>
          <w:rFonts w:hint="eastAsia"/>
          <w:bCs/>
          <w:sz w:val="24"/>
          <w:lang w:val="en-US" w:eastAsia="zh-CN"/>
        </w:rPr>
        <w:t>7</w:t>
      </w:r>
      <w:r>
        <w:rPr>
          <w:rFonts w:hint="eastAsia"/>
          <w:bCs/>
          <w:sz w:val="24"/>
        </w:rPr>
        <w:t>%</w:t>
      </w:r>
    </w:p>
    <w:p w14:paraId="51002361">
      <w:pPr>
        <w:snapToGrid w:val="0"/>
        <w:spacing w:line="360" w:lineRule="auto"/>
        <w:ind w:firstLine="480" w:firstLineChars="200"/>
        <w:rPr>
          <w:rFonts w:hint="eastAsia"/>
          <w:bCs/>
          <w:sz w:val="24"/>
        </w:rPr>
      </w:pPr>
      <w:r>
        <w:rPr>
          <w:rFonts w:hint="eastAsia"/>
          <w:bCs/>
          <w:sz w:val="24"/>
        </w:rPr>
        <w:t>1、业绩比较基准设定的原因</w:t>
      </w:r>
    </w:p>
    <w:p w14:paraId="136B103D">
      <w:pPr>
        <w:snapToGrid w:val="0"/>
        <w:spacing w:line="360" w:lineRule="auto"/>
        <w:ind w:firstLine="480" w:firstLineChars="200"/>
        <w:rPr>
          <w:rFonts w:hint="eastAsia"/>
          <w:bCs/>
          <w:sz w:val="24"/>
        </w:rPr>
      </w:pPr>
      <w:r>
        <w:rPr>
          <w:rFonts w:hint="eastAsia"/>
          <w:bCs/>
          <w:sz w:val="24"/>
        </w:rPr>
        <w:t>（1）基于基金投资范围以及预期投资的主要资产类别，本基金主要投资于A股股票、港股通</w:t>
      </w:r>
      <w:r>
        <w:rPr>
          <w:rFonts w:hint="eastAsia"/>
          <w:bCs/>
          <w:sz w:val="24"/>
          <w:lang w:val="en-US" w:eastAsia="zh-CN"/>
        </w:rPr>
        <w:t>标的</w:t>
      </w:r>
      <w:r>
        <w:rPr>
          <w:rFonts w:hint="eastAsia"/>
          <w:bCs/>
          <w:sz w:val="24"/>
        </w:rPr>
        <w:t>股票、债券等资产，相应选取与之匹配的A股指数、港股指数、债券指数作为基准要素。同时基于基金投资于债券资产的比例不低于基金资产的80%；投资于股票（含存托凭证）、股票型基金、计入权益类资产的混合型基金、可转换债券（含可分离交易可转换债券）、可交换公司债券的比例占基金资产的5%-20%（其中港股通标的股票的比例占股票资产的0%-50%）等投资比例限制，以及预期的资产配置比例中枢，本基金将沪深300指数、恒生指数和中债-综合全价（总值）指数所对应的基准要素权重分别设置为10%、</w:t>
      </w:r>
      <w:r>
        <w:rPr>
          <w:rFonts w:hint="eastAsia"/>
          <w:bCs/>
          <w:sz w:val="24"/>
          <w:lang w:val="en-US" w:eastAsia="zh-CN"/>
        </w:rPr>
        <w:t>3</w:t>
      </w:r>
      <w:r>
        <w:rPr>
          <w:rFonts w:hint="eastAsia"/>
          <w:bCs/>
          <w:sz w:val="24"/>
        </w:rPr>
        <w:t>%和8</w:t>
      </w:r>
      <w:r>
        <w:rPr>
          <w:rFonts w:hint="eastAsia"/>
          <w:bCs/>
          <w:sz w:val="24"/>
          <w:lang w:val="en-US" w:eastAsia="zh-CN"/>
        </w:rPr>
        <w:t>7</w:t>
      </w:r>
      <w:r>
        <w:rPr>
          <w:rFonts w:hint="eastAsia"/>
          <w:bCs/>
          <w:sz w:val="24"/>
        </w:rPr>
        <w:t>%。</w:t>
      </w:r>
    </w:p>
    <w:p w14:paraId="7AED92CF">
      <w:pPr>
        <w:snapToGrid w:val="0"/>
        <w:spacing w:line="360" w:lineRule="auto"/>
        <w:ind w:firstLine="480" w:firstLineChars="200"/>
        <w:rPr>
          <w:rFonts w:hint="eastAsia"/>
          <w:bCs/>
          <w:sz w:val="24"/>
        </w:rPr>
      </w:pPr>
      <w:r>
        <w:rPr>
          <w:rFonts w:hint="eastAsia"/>
          <w:bCs/>
          <w:sz w:val="24"/>
        </w:rPr>
        <w:t>（2）基于基金投资目标、投资范围和投资策略，本基金的股票资产采用全市场选股策略，基于对个股深入的基本面研究和细致的实地调研，精选股票构建股票投资组合，从而力争在控制风险的基础上追求超越业绩比较基准的投资回报。综合考虑基准指数与产品定位和投资风格的匹配度，同时兼顾考虑基准指数的表征性、认可度，本基金选取沪深300指数和恒生指数分别作为A股股票和港股通股票部分的业绩比较基准要素。</w:t>
      </w:r>
    </w:p>
    <w:p w14:paraId="20BA82CA">
      <w:pPr>
        <w:snapToGrid w:val="0"/>
        <w:spacing w:line="360" w:lineRule="auto"/>
        <w:ind w:firstLine="480" w:firstLineChars="200"/>
        <w:rPr>
          <w:rFonts w:hint="eastAsia"/>
          <w:bCs/>
          <w:sz w:val="24"/>
        </w:rPr>
      </w:pPr>
      <w:r>
        <w:rPr>
          <w:rFonts w:hint="eastAsia"/>
          <w:bCs/>
          <w:sz w:val="24"/>
        </w:rPr>
        <w:t>沪深300指数由沪深市场中规模大、流动性好的最具代表性的300 只证券组成，以反映沪深市场上市公司证券的整体表现。该指数样本对沪深市场的覆盖度高，具有良好的市场代表性，与市场整体表现具有较高的相关度，适合作为本基金A股股票部分的业绩比较基准要素。</w:t>
      </w:r>
    </w:p>
    <w:p w14:paraId="039E269F">
      <w:pPr>
        <w:snapToGrid w:val="0"/>
        <w:spacing w:line="360" w:lineRule="auto"/>
        <w:ind w:firstLine="480" w:firstLineChars="200"/>
        <w:rPr>
          <w:rFonts w:hint="eastAsia"/>
          <w:bCs/>
          <w:sz w:val="24"/>
        </w:rPr>
      </w:pPr>
      <w:r>
        <w:rPr>
          <w:rFonts w:hint="eastAsia"/>
          <w:bCs/>
          <w:sz w:val="24"/>
        </w:rPr>
        <w:t>恒生指数是由恒生指数服务有限公司编制，是反映香港股市价格趋势最有影响的股价指数之一，适合作为本基金港股通标的股票部分的业绩比较基准要素。</w:t>
      </w:r>
    </w:p>
    <w:p w14:paraId="016A9D63">
      <w:pPr>
        <w:snapToGrid w:val="0"/>
        <w:spacing w:line="360" w:lineRule="auto"/>
        <w:ind w:firstLine="480" w:firstLineChars="200"/>
        <w:rPr>
          <w:rFonts w:hint="eastAsia"/>
          <w:bCs/>
          <w:sz w:val="24"/>
        </w:rPr>
      </w:pPr>
      <w:r>
        <w:rPr>
          <w:rFonts w:hint="eastAsia"/>
          <w:bCs/>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本基金选取中债-综合全价（总值）指数作为债券部分的业绩比较基准要素。</w:t>
      </w:r>
    </w:p>
    <w:p w14:paraId="3F6EE9F1">
      <w:pPr>
        <w:snapToGrid w:val="0"/>
        <w:spacing w:line="360" w:lineRule="auto"/>
        <w:ind w:firstLine="480" w:firstLineChars="200"/>
        <w:rPr>
          <w:rFonts w:hint="eastAsia"/>
          <w:bCs/>
          <w:sz w:val="24"/>
        </w:rPr>
      </w:pPr>
      <w:r>
        <w:rPr>
          <w:rFonts w:hint="eastAsia"/>
          <w:bCs/>
          <w:sz w:val="24"/>
        </w:rPr>
        <w:t>中债-综合全价（总值）指数其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部分的业绩比较基准要素。</w:t>
      </w:r>
    </w:p>
    <w:p w14:paraId="7E4BA188">
      <w:pPr>
        <w:snapToGrid w:val="0"/>
        <w:spacing w:line="360" w:lineRule="auto"/>
        <w:ind w:firstLine="480" w:firstLineChars="200"/>
        <w:rPr>
          <w:rFonts w:hint="eastAsia"/>
          <w:bCs/>
          <w:sz w:val="24"/>
        </w:rPr>
      </w:pPr>
      <w:r>
        <w:rPr>
          <w:rFonts w:hint="eastAsia"/>
          <w:bCs/>
          <w:sz w:val="24"/>
        </w:rPr>
        <w:t>综上，本基金选取的业绩比较基准与基金投资目标、投资范围、投资策略、投资比例限制相匹配。</w:t>
      </w:r>
    </w:p>
    <w:p w14:paraId="495FF6B1">
      <w:pPr>
        <w:snapToGrid w:val="0"/>
        <w:spacing w:line="360" w:lineRule="auto"/>
        <w:ind w:firstLine="480" w:firstLineChars="200"/>
        <w:rPr>
          <w:rFonts w:hint="eastAsia"/>
          <w:bCs/>
          <w:sz w:val="24"/>
        </w:rPr>
      </w:pPr>
      <w:r>
        <w:rPr>
          <w:rFonts w:hint="eastAsia"/>
          <w:bCs/>
          <w:sz w:val="24"/>
        </w:rPr>
        <w:t>2、业绩比较基准要素的基本信息</w:t>
      </w:r>
    </w:p>
    <w:p w14:paraId="21654B19">
      <w:pPr>
        <w:snapToGrid w:val="0"/>
        <w:spacing w:line="360" w:lineRule="auto"/>
        <w:ind w:firstLine="480" w:firstLineChars="200"/>
        <w:rPr>
          <w:rFonts w:hint="eastAsia"/>
          <w:bCs/>
          <w:sz w:val="24"/>
        </w:rPr>
      </w:pPr>
      <w:r>
        <w:rPr>
          <w:rFonts w:hint="eastAsia"/>
          <w:bCs/>
          <w:sz w:val="24"/>
        </w:rPr>
        <w:t>沪深300指数由中证指数有限公司编制发布，指数代码为000300，指数具体信息详见中证指数有限公司网站，网址：www.csindex.com.cn。</w:t>
      </w:r>
    </w:p>
    <w:p w14:paraId="0BFEE830">
      <w:pPr>
        <w:snapToGrid w:val="0"/>
        <w:spacing w:line="360" w:lineRule="auto"/>
        <w:ind w:firstLine="480" w:firstLineChars="200"/>
        <w:rPr>
          <w:rFonts w:hint="eastAsia"/>
          <w:bCs/>
          <w:sz w:val="24"/>
        </w:rPr>
      </w:pPr>
      <w:r>
        <w:rPr>
          <w:rFonts w:hint="eastAsia"/>
          <w:bCs/>
          <w:sz w:val="24"/>
        </w:rPr>
        <w:t>恒生指数由恒生指数有限公司编制发布，指数代码为HSI，指数具体信息详见恒生指数有限公司网站，网址：www.hsi.com.hk。</w:t>
      </w:r>
    </w:p>
    <w:p w14:paraId="6034B275">
      <w:pPr>
        <w:snapToGrid w:val="0"/>
        <w:spacing w:line="360" w:lineRule="auto"/>
        <w:ind w:firstLine="480" w:firstLineChars="200"/>
        <w:rPr>
          <w:rFonts w:hint="eastAsia"/>
          <w:bCs/>
          <w:sz w:val="24"/>
        </w:rPr>
      </w:pPr>
      <w:r>
        <w:rPr>
          <w:rFonts w:hint="eastAsia"/>
          <w:bCs/>
          <w:sz w:val="24"/>
        </w:rPr>
        <w:t>中债-综合全价（总值）指数由中债金融估值中心有限公司编制发布，指数代码为CBA00203，指数具体信息详见中国债券信息网，网址：www.chinabond.com.cn。</w:t>
      </w:r>
    </w:p>
    <w:p w14:paraId="413B952F">
      <w:pPr>
        <w:snapToGrid w:val="0"/>
        <w:spacing w:line="360" w:lineRule="auto"/>
        <w:ind w:firstLine="480" w:firstLineChars="200"/>
        <w:rPr>
          <w:rFonts w:hint="eastAsia"/>
          <w:bCs/>
          <w:sz w:val="24"/>
        </w:rPr>
      </w:pPr>
      <w:r>
        <w:rPr>
          <w:rFonts w:hint="eastAsia"/>
          <w:bCs/>
          <w:sz w:val="24"/>
        </w:rPr>
        <w:t>3、业绩比较基准的计算方法</w:t>
      </w:r>
    </w:p>
    <w:p w14:paraId="7BD0DD3F">
      <w:pPr>
        <w:snapToGrid w:val="0"/>
        <w:spacing w:line="360" w:lineRule="auto"/>
        <w:ind w:firstLine="480" w:firstLineChars="200"/>
        <w:rPr>
          <w:rFonts w:hint="eastAsia"/>
          <w:bCs/>
          <w:sz w:val="24"/>
        </w:rPr>
      </w:pPr>
      <w:r>
        <w:rPr>
          <w:rFonts w:hint="eastAsia"/>
          <w:bCs/>
          <w:sz w:val="24"/>
        </w:rPr>
        <w:t>本基金业绩比较基准收益率的计算方法以每日收益率为基础，以时间加权为计算原则。本基金先分别计算业绩比较基准中沪深300指数、恒生指数和中债-综合全价（总值）指数的每日收益率，再按照预设权重比例计算当日组合要素基准的日收益率，并连乘每日收益率。其中，恒生指数收益率采用估值汇率进行调整，由港元计价折算为人民币计价后，再纳入计算。</w:t>
      </w:r>
    </w:p>
    <w:p w14:paraId="0E367CEC">
      <w:pPr>
        <w:snapToGrid w:val="0"/>
        <w:spacing w:line="360" w:lineRule="auto"/>
        <w:ind w:firstLine="480" w:firstLineChars="200"/>
        <w:rPr>
          <w:rFonts w:hint="eastAsia"/>
          <w:bCs/>
          <w:sz w:val="24"/>
        </w:rPr>
      </w:pPr>
      <w:r>
        <w:rPr>
          <w:rFonts w:hint="eastAsia"/>
          <w:bCs/>
          <w:sz w:val="24"/>
        </w:rPr>
        <w:t>4、管理投资偏离业绩比较基准的定性或定量方法</w:t>
      </w:r>
    </w:p>
    <w:p w14:paraId="43D4B3B8">
      <w:pPr>
        <w:snapToGrid w:val="0"/>
        <w:spacing w:line="360" w:lineRule="auto"/>
        <w:ind w:firstLine="480" w:firstLineChars="200"/>
        <w:rPr>
          <w:rFonts w:hint="eastAsia"/>
          <w:bCs/>
          <w:sz w:val="24"/>
        </w:rPr>
      </w:pPr>
      <w:r>
        <w:rPr>
          <w:rFonts w:hint="eastAsia"/>
          <w:bCs/>
          <w:sz w:val="24"/>
        </w:rPr>
        <w:t>本基金管理人对基金实际投资与业绩比较基准的偏离情况进行动态跟踪与监测评估，监测指标主要包括超额收益、跟踪误差、信息比率、资产配置比例、久期中枢等，以更好管理基金实际投资与业绩比较基准的偏离情况，从而力争在控制风险的基础上追求超越业绩比较基准的投资回报。</w:t>
      </w:r>
    </w:p>
    <w:p w14:paraId="3F4ABBFE">
      <w:pPr>
        <w:snapToGrid w:val="0"/>
        <w:spacing w:line="360" w:lineRule="auto"/>
        <w:ind w:firstLine="480" w:firstLineChars="200"/>
        <w:rPr>
          <w:rFonts w:hint="eastAsia"/>
          <w:bCs/>
          <w:sz w:val="24"/>
        </w:rPr>
      </w:pPr>
      <w:r>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388204EB">
      <w:pPr>
        <w:snapToGrid w:val="0"/>
        <w:spacing w:line="360" w:lineRule="auto"/>
        <w:ind w:firstLine="480" w:firstLineChars="200"/>
        <w:rPr>
          <w:rFonts w:hint="eastAsia"/>
          <w:bCs/>
          <w:sz w:val="24"/>
        </w:rPr>
      </w:pPr>
      <w:r>
        <w:rPr>
          <w:rFonts w:hint="eastAsia"/>
          <w:bCs/>
          <w:sz w:val="24"/>
        </w:rPr>
        <w:t>5、未来可能变更业绩比较基准的情况和程序</w:t>
      </w:r>
    </w:p>
    <w:p w14:paraId="2D13C079">
      <w:pPr>
        <w:snapToGrid w:val="0"/>
        <w:spacing w:line="360" w:lineRule="auto"/>
        <w:ind w:firstLine="480" w:firstLineChars="200"/>
        <w:rPr>
          <w:rFonts w:hint="eastAsia"/>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110668EE">
      <w:pPr>
        <w:snapToGrid w:val="0"/>
        <w:spacing w:line="360" w:lineRule="auto"/>
        <w:ind w:firstLine="480" w:firstLineChars="200"/>
        <w:rPr>
          <w:rFonts w:hint="eastAsia"/>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082A1E85">
      <w:pPr>
        <w:snapToGrid w:val="0"/>
        <w:spacing w:line="360" w:lineRule="auto"/>
        <w:ind w:firstLine="480" w:firstLineChars="200"/>
        <w:rPr>
          <w:rFonts w:hint="eastAsia"/>
          <w:bCs/>
          <w:sz w:val="24"/>
        </w:rPr>
      </w:pPr>
      <w:r>
        <w:rPr>
          <w:rFonts w:hint="eastAsia"/>
          <w:bCs/>
          <w:sz w:val="24"/>
        </w:rPr>
        <w:t>（2）调整业绩比较基准的要素权重、更换相同或相近特征的要素等，使新业绩比较基准代表性更强，且符合相关法律法规规定的；</w:t>
      </w:r>
    </w:p>
    <w:p w14:paraId="4BB62ECC">
      <w:pPr>
        <w:snapToGrid w:val="0"/>
        <w:spacing w:line="360" w:lineRule="auto"/>
        <w:ind w:firstLine="480" w:firstLineChars="200"/>
        <w:rPr>
          <w:rFonts w:hint="eastAsia"/>
          <w:bCs/>
          <w:sz w:val="24"/>
        </w:rPr>
      </w:pPr>
      <w:r>
        <w:rPr>
          <w:rFonts w:hint="eastAsia"/>
          <w:bCs/>
          <w:sz w:val="24"/>
        </w:rPr>
        <w:t>（3）中国证监会认可的其他情形。</w:t>
      </w:r>
    </w:p>
    <w:p w14:paraId="4BE3DA43">
      <w:pPr>
        <w:snapToGrid w:val="0"/>
        <w:spacing w:line="360" w:lineRule="auto"/>
        <w:ind w:firstLine="480" w:firstLineChars="200"/>
        <w:rPr>
          <w:rFonts w:hint="eastAsia"/>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581F8591">
      <w:pPr>
        <w:snapToGrid w:val="0"/>
        <w:spacing w:line="360" w:lineRule="auto"/>
        <w:ind w:firstLine="480" w:firstLineChars="200"/>
        <w:rPr>
          <w:rFonts w:hint="eastAsia"/>
          <w:bCs/>
          <w:sz w:val="24"/>
        </w:rPr>
      </w:pPr>
      <w:r>
        <w:rPr>
          <w:rFonts w:hint="eastAsia"/>
          <w:bCs/>
          <w:sz w:val="24"/>
        </w:rPr>
        <w:t>（1）基金投资目标、投资范围、投资策略、投资比例等拟进行重大调整，并变更业绩比较基准的；</w:t>
      </w:r>
    </w:p>
    <w:p w14:paraId="37CC02C1">
      <w:pPr>
        <w:snapToGrid w:val="0"/>
        <w:spacing w:line="360" w:lineRule="auto"/>
        <w:ind w:firstLine="480" w:firstLineChars="200"/>
        <w:rPr>
          <w:rFonts w:ascii="宋体" w:hAnsi="宋体"/>
          <w:sz w:val="24"/>
        </w:rPr>
      </w:pPr>
      <w:r>
        <w:rPr>
          <w:rFonts w:hint="eastAsia"/>
          <w:bCs/>
          <w:sz w:val="24"/>
        </w:rPr>
        <w:t>（2）其他对基金份额持有人利益产生重大实质性影响的情形。</w:t>
      </w:r>
    </w:p>
    <w:p w14:paraId="47153440">
      <w:pPr>
        <w:adjustRightInd w:val="0"/>
        <w:snapToGrid w:val="0"/>
        <w:spacing w:line="360" w:lineRule="auto"/>
        <w:ind w:firstLine="482" w:firstLineChars="200"/>
        <w:rPr>
          <w:rFonts w:hAnsi="宋体"/>
          <w:kern w:val="0"/>
          <w:sz w:val="24"/>
        </w:rPr>
      </w:pPr>
      <w:r>
        <w:rPr>
          <w:rFonts w:hint="eastAsia"/>
          <w:b/>
          <w:bCs/>
          <w:sz w:val="24"/>
        </w:rPr>
        <w:t>（六）风险收益特征</w:t>
      </w:r>
    </w:p>
    <w:p w14:paraId="79AF4A2C">
      <w:pPr>
        <w:adjustRightInd w:val="0"/>
        <w:snapToGrid w:val="0"/>
        <w:spacing w:line="360" w:lineRule="auto"/>
        <w:ind w:firstLine="480" w:firstLineChars="200"/>
        <w:rPr>
          <w:rFonts w:ascii="宋体" w:hAnsi="宋体"/>
          <w:sz w:val="24"/>
        </w:rPr>
      </w:pPr>
      <w:r>
        <w:rPr>
          <w:rFonts w:hint="eastAsia" w:ascii="宋体" w:hAnsi="宋体"/>
          <w:sz w:val="24"/>
        </w:rPr>
        <w:t>本基金是一只债券型基金，其预期风险与预期收益理论上高于货币市场基金，低于混合型基金和股票型基金。</w:t>
      </w:r>
    </w:p>
    <w:p w14:paraId="2EBFC30E">
      <w:pPr>
        <w:adjustRightInd w:val="0"/>
        <w:snapToGrid w:val="0"/>
        <w:spacing w:line="360" w:lineRule="auto"/>
        <w:ind w:firstLine="480" w:firstLineChars="200"/>
        <w:rPr>
          <w:rFonts w:ascii="宋体" w:hAnsi="宋体"/>
          <w:sz w:val="24"/>
        </w:rPr>
      </w:pPr>
      <w:r>
        <w:rPr>
          <w:rFonts w:hint="eastAsia" w:ascii="宋体" w:hAnsi="宋体"/>
          <w:sz w:val="24"/>
        </w:rPr>
        <w:t>本基金可投资港股通标的股票，会面临港股通机制下因投资环境、投资标的、市场制度以及交易规则等差异带来的特有风险。</w:t>
      </w:r>
    </w:p>
    <w:p w14:paraId="7A34A9A8">
      <w:pPr>
        <w:adjustRightInd w:val="0"/>
        <w:snapToGrid w:val="0"/>
        <w:spacing w:line="360" w:lineRule="auto"/>
        <w:ind w:firstLine="482" w:firstLineChars="200"/>
        <w:rPr>
          <w:b/>
          <w:bCs/>
          <w:sz w:val="24"/>
        </w:rPr>
      </w:pPr>
      <w:r>
        <w:rPr>
          <w:rFonts w:hint="eastAsia"/>
          <w:b/>
          <w:bCs/>
          <w:sz w:val="24"/>
        </w:rPr>
        <w:t>（七）基金管理人代表基金行使相关权利的处理原则及方法</w:t>
      </w:r>
    </w:p>
    <w:p w14:paraId="47A7ACAA">
      <w:pPr>
        <w:adjustRightInd w:val="0"/>
        <w:snapToGrid w:val="0"/>
        <w:spacing w:line="360" w:lineRule="auto"/>
        <w:ind w:firstLine="480" w:firstLineChars="200"/>
        <w:rPr>
          <w:rFonts w:ascii="宋体" w:hAnsi="宋体"/>
          <w:sz w:val="24"/>
        </w:rPr>
      </w:pPr>
      <w:r>
        <w:rPr>
          <w:rFonts w:hint="eastAsia" w:ascii="宋体" w:hAnsi="宋体"/>
          <w:sz w:val="24"/>
        </w:rPr>
        <w:t>1、基金管理人按照国家有关规定代表基金独立行使股东、债权人或被投资基金的基金份额持有人权利，保护本基金基金份额持有人的利益；</w:t>
      </w:r>
    </w:p>
    <w:p w14:paraId="09CAE29E">
      <w:pPr>
        <w:adjustRightInd w:val="0"/>
        <w:snapToGrid w:val="0"/>
        <w:spacing w:line="360" w:lineRule="auto"/>
        <w:ind w:firstLine="480" w:firstLineChars="200"/>
        <w:rPr>
          <w:rFonts w:ascii="宋体" w:hAnsi="宋体"/>
          <w:sz w:val="24"/>
        </w:rPr>
      </w:pPr>
      <w:r>
        <w:rPr>
          <w:rFonts w:hint="eastAsia" w:ascii="宋体" w:hAnsi="宋体"/>
          <w:sz w:val="24"/>
        </w:rPr>
        <w:t>2、不谋求对上市公司的控股；</w:t>
      </w:r>
    </w:p>
    <w:p w14:paraId="174DBEE2">
      <w:pPr>
        <w:adjustRightInd w:val="0"/>
        <w:snapToGrid w:val="0"/>
        <w:spacing w:line="360" w:lineRule="auto"/>
        <w:ind w:firstLine="480" w:firstLineChars="200"/>
        <w:rPr>
          <w:rFonts w:ascii="宋体" w:hAnsi="宋体"/>
          <w:sz w:val="24"/>
        </w:rPr>
      </w:pPr>
      <w:r>
        <w:rPr>
          <w:rFonts w:hint="eastAsia" w:ascii="宋体" w:hAnsi="宋体"/>
          <w:sz w:val="24"/>
        </w:rPr>
        <w:t>3、有利于基金财产的安全与增值；</w:t>
      </w:r>
    </w:p>
    <w:p w14:paraId="02F3162D">
      <w:pPr>
        <w:adjustRightInd w:val="0"/>
        <w:snapToGrid w:val="0"/>
        <w:spacing w:line="360" w:lineRule="auto"/>
        <w:ind w:firstLine="480" w:firstLineChars="200"/>
        <w:rPr>
          <w:rFonts w:ascii="宋体" w:hAnsi="宋体"/>
          <w:sz w:val="24"/>
        </w:rPr>
      </w:pPr>
      <w:r>
        <w:rPr>
          <w:rFonts w:hint="eastAsia" w:ascii="宋体" w:hAnsi="宋体"/>
          <w:sz w:val="24"/>
        </w:rPr>
        <w:t>4、不通过关联交易为自身、雇员、授权代理人或任何存在利害关系的第三人牟取任何不当利益。</w:t>
      </w:r>
    </w:p>
    <w:bookmarkEnd w:id="49"/>
    <w:bookmarkEnd w:id="50"/>
    <w:bookmarkEnd w:id="51"/>
    <w:p w14:paraId="189047D9">
      <w:pPr>
        <w:adjustRightInd w:val="0"/>
        <w:snapToGrid w:val="0"/>
        <w:spacing w:line="360" w:lineRule="auto"/>
        <w:ind w:firstLine="482" w:firstLineChars="200"/>
        <w:rPr>
          <w:rFonts w:hAnsi="宋体"/>
          <w:b/>
          <w:sz w:val="24"/>
          <w:szCs w:val="24"/>
        </w:rPr>
      </w:pPr>
      <w:bookmarkStart w:id="57" w:name="_Toc109059025"/>
      <w:bookmarkEnd w:id="57"/>
      <w:bookmarkStart w:id="58" w:name="_Hlt88281392"/>
      <w:bookmarkEnd w:id="58"/>
      <w:bookmarkStart w:id="59" w:name="_Toc109059036"/>
      <w:bookmarkEnd w:id="59"/>
      <w:bookmarkStart w:id="60" w:name="_Hlt81033092"/>
      <w:bookmarkEnd w:id="60"/>
      <w:bookmarkStart w:id="61" w:name="_Hlt5528681"/>
      <w:bookmarkEnd w:id="61"/>
      <w:bookmarkStart w:id="62" w:name="_Hlt81033424"/>
      <w:bookmarkEnd w:id="62"/>
      <w:bookmarkStart w:id="63" w:name="_Hlt5604240"/>
      <w:bookmarkEnd w:id="63"/>
      <w:bookmarkStart w:id="64" w:name="_Toc109059037"/>
      <w:bookmarkEnd w:id="64"/>
      <w:bookmarkStart w:id="65" w:name="_Toc154909614"/>
      <w:bookmarkStart w:id="66" w:name="_Toc155690783"/>
      <w:r>
        <w:rPr>
          <w:rFonts w:hAnsi="宋体"/>
          <w:b/>
          <w:sz w:val="24"/>
          <w:szCs w:val="24"/>
        </w:rPr>
        <w:t>（</w:t>
      </w:r>
      <w:r>
        <w:rPr>
          <w:rFonts w:hint="eastAsia" w:hAnsi="宋体"/>
          <w:b/>
          <w:sz w:val="24"/>
          <w:szCs w:val="24"/>
        </w:rPr>
        <w:t>八</w:t>
      </w:r>
      <w:r>
        <w:rPr>
          <w:rFonts w:hAnsi="宋体"/>
          <w:b/>
          <w:sz w:val="24"/>
          <w:szCs w:val="24"/>
        </w:rPr>
        <w:t>）</w:t>
      </w:r>
      <w:r>
        <w:rPr>
          <w:rFonts w:hint="eastAsia" w:hAnsi="宋体"/>
          <w:b/>
          <w:sz w:val="24"/>
          <w:szCs w:val="24"/>
        </w:rPr>
        <w:t>侧袋机制的实施和投资运作安排</w:t>
      </w:r>
    </w:p>
    <w:p w14:paraId="0551A23B">
      <w:pPr>
        <w:adjustRightInd w:val="0"/>
        <w:snapToGrid w:val="0"/>
        <w:spacing w:line="360" w:lineRule="auto"/>
        <w:ind w:firstLine="480" w:firstLineChars="200"/>
        <w:rPr>
          <w:rFonts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473ADB7">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侧袋机制实施期间，本部分约定的投资组合比例、投资策略、组合限制、业绩比较基准、风险收益特征等约定仅适用于主袋账户。</w:t>
      </w:r>
    </w:p>
    <w:p w14:paraId="1B4C00E0">
      <w:pPr>
        <w:adjustRightInd w:val="0"/>
        <w:snapToGrid w:val="0"/>
        <w:spacing w:line="360" w:lineRule="auto"/>
        <w:ind w:firstLine="480" w:firstLineChars="200"/>
        <w:rPr>
          <w:rFonts w:hAnsi="宋体"/>
          <w:bCs/>
          <w:sz w:val="24"/>
          <w:szCs w:val="24"/>
        </w:rPr>
      </w:pPr>
      <w:r>
        <w:rPr>
          <w:rFonts w:hint="eastAsia" w:hAnsi="宋体"/>
          <w:bCs/>
          <w:sz w:val="24"/>
          <w:szCs w:val="24"/>
        </w:rPr>
        <w:t>侧袋账户的实施条件、实施程序、运作安排、投资安排、特定资产的处置变现和支付等对投资者权益有重大影响的事项详见本招募说明书“侧袋</w:t>
      </w:r>
      <w:r>
        <w:rPr>
          <w:rFonts w:hAnsi="宋体"/>
          <w:bCs/>
          <w:sz w:val="24"/>
          <w:szCs w:val="24"/>
        </w:rPr>
        <w:t>机制”</w:t>
      </w:r>
      <w:r>
        <w:rPr>
          <w:rFonts w:hint="eastAsia" w:hAnsi="宋体"/>
          <w:bCs/>
          <w:sz w:val="24"/>
          <w:szCs w:val="24"/>
        </w:rPr>
        <w:t>部分的规定。</w:t>
      </w:r>
    </w:p>
    <w:p w14:paraId="241CDB0F">
      <w:pPr>
        <w:adjustRightInd w:val="0"/>
        <w:snapToGrid w:val="0"/>
        <w:spacing w:line="360" w:lineRule="auto"/>
        <w:ind w:firstLine="480" w:firstLineChars="200"/>
        <w:rPr>
          <w:rFonts w:hAnsi="宋体"/>
          <w:sz w:val="24"/>
          <w:szCs w:val="24"/>
        </w:rPr>
      </w:pPr>
      <w:bookmarkStart w:id="67" w:name="_Toc78208364"/>
    </w:p>
    <w:p w14:paraId="3FAE5BFD">
      <w:pPr>
        <w:widowControl/>
        <w:jc w:val="left"/>
        <w:rPr>
          <w:rFonts w:hAnsi="宋体"/>
          <w:sz w:val="24"/>
          <w:szCs w:val="24"/>
        </w:rPr>
      </w:pPr>
      <w:r>
        <w:rPr>
          <w:rFonts w:hAnsi="宋体"/>
          <w:sz w:val="24"/>
          <w:szCs w:val="24"/>
        </w:rPr>
        <w:br w:type="page"/>
      </w:r>
    </w:p>
    <w:bookmarkEnd w:id="53"/>
    <w:p w14:paraId="462384E4">
      <w:pPr>
        <w:widowControl/>
        <w:adjustRightInd w:val="0"/>
        <w:snapToGrid w:val="0"/>
        <w:spacing w:before="143" w:beforeLines="50" w:after="143" w:afterLines="50" w:line="360" w:lineRule="auto"/>
        <w:jc w:val="center"/>
        <w:outlineLvl w:val="0"/>
        <w:rPr>
          <w:rFonts w:ascii="宋体" w:hAnsi="宋体"/>
          <w:b/>
          <w:kern w:val="0"/>
          <w:sz w:val="30"/>
        </w:rPr>
      </w:pPr>
      <w:bookmarkStart w:id="68" w:name="_Toc50983778"/>
      <w:bookmarkStart w:id="69" w:name="_Hlk120806435"/>
      <w:r>
        <w:rPr>
          <w:rFonts w:hint="eastAsia" w:ascii="宋体" w:hAnsi="宋体"/>
          <w:b/>
          <w:kern w:val="0"/>
          <w:sz w:val="30"/>
        </w:rPr>
        <w:t>十、基金的财产</w:t>
      </w:r>
      <w:bookmarkEnd w:id="68"/>
    </w:p>
    <w:p w14:paraId="1F5BFF7F">
      <w:pPr>
        <w:adjustRightInd w:val="0"/>
        <w:snapToGrid w:val="0"/>
        <w:spacing w:line="360" w:lineRule="auto"/>
        <w:ind w:firstLine="482"/>
        <w:rPr>
          <w:b/>
          <w:bCs/>
          <w:sz w:val="24"/>
        </w:rPr>
      </w:pPr>
      <w:r>
        <w:rPr>
          <w:b/>
          <w:bCs/>
          <w:sz w:val="24"/>
        </w:rPr>
        <w:t>（一）基金资产总值</w:t>
      </w:r>
    </w:p>
    <w:p w14:paraId="3490692E">
      <w:pPr>
        <w:widowControl/>
        <w:adjustRightInd w:val="0"/>
        <w:snapToGrid w:val="0"/>
        <w:spacing w:line="360" w:lineRule="auto"/>
        <w:ind w:firstLine="480" w:firstLineChars="200"/>
        <w:rPr>
          <w:kern w:val="0"/>
          <w:sz w:val="24"/>
        </w:rPr>
      </w:pPr>
      <w:r>
        <w:rPr>
          <w:rFonts w:hint="eastAsia" w:hAnsi="宋体"/>
          <w:sz w:val="24"/>
          <w:szCs w:val="21"/>
        </w:rPr>
        <w:t>基金资产总值是指基金拥有的各类有价证券、</w:t>
      </w:r>
      <w:r>
        <w:rPr>
          <w:rFonts w:hint="eastAsia"/>
          <w:bCs/>
          <w:sz w:val="24"/>
        </w:rPr>
        <w:t>证券投资基金份额、国债</w:t>
      </w:r>
      <w:r>
        <w:rPr>
          <w:rFonts w:hint="eastAsia" w:hAnsi="宋体"/>
          <w:sz w:val="24"/>
          <w:szCs w:val="21"/>
        </w:rPr>
        <w:t>期货合约、银行存款本息、基金应收</w:t>
      </w:r>
      <w:r>
        <w:rPr>
          <w:rFonts w:hint="eastAsia"/>
          <w:bCs/>
          <w:sz w:val="24"/>
        </w:rPr>
        <w:t>款项</w:t>
      </w:r>
      <w:r>
        <w:rPr>
          <w:rFonts w:hint="eastAsia" w:hAnsi="宋体"/>
          <w:sz w:val="24"/>
          <w:szCs w:val="21"/>
        </w:rPr>
        <w:t>及其他资产的价值总和。</w:t>
      </w:r>
      <w:bookmarkEnd w:id="67"/>
      <w:bookmarkStart w:id="70" w:name="_Toc311810245"/>
    </w:p>
    <w:p w14:paraId="3E0974AD">
      <w:pPr>
        <w:adjustRightInd w:val="0"/>
        <w:snapToGrid w:val="0"/>
        <w:spacing w:line="360" w:lineRule="auto"/>
        <w:ind w:firstLine="482"/>
        <w:rPr>
          <w:b/>
          <w:bCs/>
          <w:sz w:val="24"/>
        </w:rPr>
      </w:pPr>
      <w:r>
        <w:rPr>
          <w:b/>
          <w:bCs/>
          <w:sz w:val="24"/>
        </w:rPr>
        <w:t>（二）基金资</w:t>
      </w:r>
      <w:bookmarkEnd w:id="70"/>
      <w:r>
        <w:rPr>
          <w:b/>
          <w:bCs/>
          <w:sz w:val="24"/>
        </w:rPr>
        <w:t>产</w:t>
      </w:r>
      <w:bookmarkEnd w:id="65"/>
      <w:bookmarkEnd w:id="66"/>
      <w:r>
        <w:rPr>
          <w:b/>
          <w:bCs/>
          <w:sz w:val="24"/>
        </w:rPr>
        <w:t>净</w:t>
      </w:r>
      <w:bookmarkStart w:id="71" w:name="_Toc109537391"/>
      <w:r>
        <w:rPr>
          <w:b/>
          <w:bCs/>
          <w:sz w:val="24"/>
        </w:rPr>
        <w:t>值</w:t>
      </w:r>
    </w:p>
    <w:p w14:paraId="3C00ED62">
      <w:pPr>
        <w:widowControl/>
        <w:adjustRightInd w:val="0"/>
        <w:snapToGrid w:val="0"/>
        <w:spacing w:line="360" w:lineRule="auto"/>
        <w:ind w:firstLine="480" w:firstLineChars="200"/>
        <w:rPr>
          <w:rFonts w:hAnsi="宋体"/>
          <w:sz w:val="24"/>
          <w:szCs w:val="21"/>
        </w:rPr>
      </w:pPr>
      <w:r>
        <w:rPr>
          <w:rFonts w:hAnsi="宋体"/>
          <w:sz w:val="24"/>
          <w:szCs w:val="21"/>
        </w:rPr>
        <w:t>基</w:t>
      </w:r>
      <w:bookmarkEnd w:id="71"/>
      <w:r>
        <w:rPr>
          <w:rFonts w:hAnsi="宋体"/>
          <w:sz w:val="24"/>
          <w:szCs w:val="21"/>
        </w:rPr>
        <w:t>金资产净值是指基金资产总值</w:t>
      </w:r>
      <w:bookmarkStart w:id="72" w:name="_Toc79556449"/>
      <w:bookmarkStart w:id="73" w:name="_Toc79392635"/>
      <w:r>
        <w:rPr>
          <w:rFonts w:hAnsi="宋体"/>
          <w:sz w:val="24"/>
          <w:szCs w:val="21"/>
        </w:rPr>
        <w:t>减去基金负债后的价值。</w:t>
      </w:r>
    </w:p>
    <w:p w14:paraId="4FAF22C8">
      <w:pPr>
        <w:adjustRightInd w:val="0"/>
        <w:snapToGrid w:val="0"/>
        <w:spacing w:line="360" w:lineRule="auto"/>
        <w:ind w:firstLine="482"/>
        <w:rPr>
          <w:b/>
          <w:bCs/>
          <w:sz w:val="24"/>
        </w:rPr>
      </w:pPr>
      <w:r>
        <w:rPr>
          <w:b/>
          <w:bCs/>
          <w:sz w:val="24"/>
        </w:rPr>
        <w:t>（三）基金财产的账户</w:t>
      </w:r>
    </w:p>
    <w:p w14:paraId="169C2AAD">
      <w:pPr>
        <w:widowControl/>
        <w:adjustRightInd w:val="0"/>
        <w:snapToGrid w:val="0"/>
        <w:spacing w:line="360" w:lineRule="auto"/>
        <w:ind w:firstLine="480" w:firstLineChars="200"/>
        <w:rPr>
          <w:kern w:val="0"/>
          <w:sz w:val="24"/>
        </w:rPr>
      </w:pPr>
      <w:r>
        <w:rPr>
          <w:bCs/>
          <w:sz w:val="24"/>
        </w:rPr>
        <w:t>基金托管人根据相关法律法规、规范性文件为本基金开立资金账户、证券账户</w:t>
      </w:r>
      <w:r>
        <w:rPr>
          <w:rFonts w:hint="eastAsia"/>
          <w:bCs/>
          <w:sz w:val="24"/>
        </w:rPr>
        <w:t>以及投资所需的其他专用账户</w:t>
      </w:r>
      <w:r>
        <w:rPr>
          <w:bCs/>
          <w:sz w:val="24"/>
        </w:rPr>
        <w:t>。开立的基金专用账户与基金管理人、基</w:t>
      </w:r>
      <w:bookmarkEnd w:id="72"/>
      <w:bookmarkEnd w:id="73"/>
      <w:r>
        <w:rPr>
          <w:bCs/>
          <w:sz w:val="24"/>
        </w:rPr>
        <w:t>金托管人、基金销售机构和基金登记机构自有的财产账户以及其他基金财产账户相独立。</w:t>
      </w:r>
    </w:p>
    <w:p w14:paraId="6CF42FEA">
      <w:pPr>
        <w:adjustRightInd w:val="0"/>
        <w:snapToGrid w:val="0"/>
        <w:spacing w:line="360" w:lineRule="auto"/>
        <w:ind w:firstLine="482"/>
        <w:rPr>
          <w:b/>
          <w:bCs/>
          <w:sz w:val="24"/>
        </w:rPr>
      </w:pPr>
      <w:r>
        <w:rPr>
          <w:b/>
          <w:bCs/>
          <w:sz w:val="24"/>
        </w:rPr>
        <w:t>（四）基金财产的保管</w:t>
      </w:r>
      <w:r>
        <w:rPr>
          <w:rFonts w:hint="eastAsia"/>
          <w:b/>
          <w:bCs/>
          <w:sz w:val="24"/>
        </w:rPr>
        <w:t>和</w:t>
      </w:r>
      <w:r>
        <w:rPr>
          <w:b/>
          <w:bCs/>
          <w:sz w:val="24"/>
        </w:rPr>
        <w:t>处分</w:t>
      </w:r>
    </w:p>
    <w:p w14:paraId="2F32E2E5">
      <w:pPr>
        <w:widowControl/>
        <w:adjustRightInd w:val="0"/>
        <w:snapToGrid w:val="0"/>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4382A2C">
      <w:pPr>
        <w:widowControl/>
        <w:adjustRightInd w:val="0"/>
        <w:snapToGrid w:val="0"/>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6F448D92">
      <w:pPr>
        <w:widowControl/>
        <w:adjustRightInd w:val="0"/>
        <w:snapToGrid w:val="0"/>
        <w:spacing w:line="360" w:lineRule="auto"/>
        <w:ind w:firstLine="200"/>
        <w:rPr>
          <w:rFonts w:ascii="宋体" w:hAnsi="宋体"/>
          <w:kern w:val="0"/>
          <w:sz w:val="24"/>
        </w:rPr>
      </w:pPr>
    </w:p>
    <w:p w14:paraId="218FC6DB">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69"/>
      <w:bookmarkStart w:id="74" w:name="_Toc50983779"/>
      <w:bookmarkStart w:id="75" w:name="_Hlk120806496"/>
      <w:r>
        <w:rPr>
          <w:rFonts w:hint="eastAsia" w:ascii="宋体" w:hAnsi="宋体"/>
          <w:b/>
          <w:kern w:val="0"/>
          <w:sz w:val="30"/>
        </w:rPr>
        <w:t>十一、基金资产的估值</w:t>
      </w:r>
      <w:bookmarkEnd w:id="74"/>
    </w:p>
    <w:p w14:paraId="143C01F6">
      <w:pPr>
        <w:adjustRightInd w:val="0"/>
        <w:snapToGrid w:val="0"/>
        <w:spacing w:line="360" w:lineRule="auto"/>
        <w:ind w:firstLine="482" w:firstLineChars="200"/>
        <w:rPr>
          <w:b/>
          <w:sz w:val="24"/>
          <w:szCs w:val="24"/>
        </w:rPr>
      </w:pPr>
      <w:r>
        <w:rPr>
          <w:rFonts w:hAnsi="宋体"/>
          <w:b/>
          <w:sz w:val="24"/>
          <w:szCs w:val="24"/>
        </w:rPr>
        <w:t>（一）估值日</w:t>
      </w:r>
    </w:p>
    <w:p w14:paraId="49C634AB">
      <w:pPr>
        <w:adjustRightInd w:val="0"/>
        <w:snapToGrid w:val="0"/>
        <w:spacing w:line="360" w:lineRule="auto"/>
        <w:ind w:firstLine="480" w:firstLineChars="200"/>
        <w:rPr>
          <w:sz w:val="24"/>
          <w:szCs w:val="24"/>
        </w:rPr>
      </w:pPr>
      <w:r>
        <w:rPr>
          <w:rFonts w:hint="eastAsia" w:hAnsi="宋体"/>
          <w:sz w:val="24"/>
          <w:szCs w:val="24"/>
        </w:rPr>
        <w:t>本基金的估值日为本基金相关的证券交易场所的交易日以及国家法律法规规定需要对外披露基金净值的非交易日。</w:t>
      </w:r>
    </w:p>
    <w:p w14:paraId="060A4334">
      <w:pPr>
        <w:adjustRightInd w:val="0"/>
        <w:snapToGrid w:val="0"/>
        <w:spacing w:line="360" w:lineRule="auto"/>
        <w:ind w:firstLine="482" w:firstLineChars="200"/>
        <w:rPr>
          <w:b/>
          <w:bCs/>
          <w:sz w:val="24"/>
          <w:szCs w:val="24"/>
        </w:rPr>
      </w:pPr>
      <w:r>
        <w:rPr>
          <w:b/>
          <w:bCs/>
          <w:sz w:val="24"/>
          <w:szCs w:val="24"/>
        </w:rPr>
        <w:t>（二）估值对象</w:t>
      </w:r>
    </w:p>
    <w:p w14:paraId="42B75523">
      <w:pPr>
        <w:adjustRightInd w:val="0"/>
        <w:snapToGrid w:val="0"/>
        <w:spacing w:line="360" w:lineRule="auto"/>
        <w:ind w:firstLine="480" w:firstLineChars="200"/>
        <w:rPr>
          <w:bCs/>
          <w:sz w:val="24"/>
          <w:szCs w:val="24"/>
        </w:rPr>
      </w:pPr>
      <w:r>
        <w:rPr>
          <w:rFonts w:hint="eastAsia"/>
          <w:bCs/>
          <w:sz w:val="24"/>
          <w:szCs w:val="24"/>
        </w:rPr>
        <w:t>基金所拥有的股票、债券、资产支持证券、</w:t>
      </w:r>
      <w:r>
        <w:rPr>
          <w:rFonts w:hint="eastAsia"/>
          <w:bCs/>
          <w:sz w:val="24"/>
        </w:rPr>
        <w:t>国债期货、证券投资基金份额</w:t>
      </w:r>
      <w:r>
        <w:rPr>
          <w:rFonts w:hint="eastAsia"/>
          <w:bCs/>
          <w:sz w:val="24"/>
          <w:szCs w:val="24"/>
        </w:rPr>
        <w:t>和其他投资等持续以公允价值计量的金融资产及负债。</w:t>
      </w:r>
    </w:p>
    <w:p w14:paraId="691B2218">
      <w:pPr>
        <w:adjustRightInd w:val="0"/>
        <w:snapToGrid w:val="0"/>
        <w:spacing w:line="360" w:lineRule="auto"/>
        <w:ind w:firstLine="482" w:firstLineChars="200"/>
        <w:rPr>
          <w:rFonts w:hAnsi="宋体"/>
          <w:b/>
          <w:sz w:val="24"/>
          <w:szCs w:val="24"/>
        </w:rPr>
      </w:pPr>
      <w:r>
        <w:rPr>
          <w:rFonts w:hAnsi="宋体"/>
          <w:b/>
          <w:sz w:val="24"/>
          <w:szCs w:val="24"/>
        </w:rPr>
        <w:t>（三）估值</w:t>
      </w:r>
      <w:r>
        <w:rPr>
          <w:rFonts w:hint="eastAsia" w:hAnsi="宋体"/>
          <w:b/>
          <w:sz w:val="24"/>
          <w:szCs w:val="24"/>
        </w:rPr>
        <w:t>原则</w:t>
      </w:r>
    </w:p>
    <w:p w14:paraId="7796219C">
      <w:pPr>
        <w:adjustRightInd w:val="0"/>
        <w:snapToGrid w:val="0"/>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421BA7AF">
      <w:pPr>
        <w:adjustRightInd w:val="0"/>
        <w:snapToGrid w:val="0"/>
        <w:spacing w:line="360" w:lineRule="auto"/>
        <w:ind w:firstLine="480" w:firstLineChars="200"/>
        <w:rPr>
          <w:bCs/>
          <w:sz w:val="24"/>
        </w:rPr>
      </w:pPr>
      <w:r>
        <w:rPr>
          <w:rFonts w:hint="eastAsia"/>
          <w:bCs/>
          <w:sz w:val="24"/>
        </w:rPr>
        <w:t>1</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6B662D4">
      <w:pPr>
        <w:adjustRightInd w:val="0"/>
        <w:snapToGrid w:val="0"/>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9784054">
      <w:pPr>
        <w:adjustRightInd w:val="0"/>
        <w:snapToGrid w:val="0"/>
        <w:spacing w:line="360" w:lineRule="auto"/>
        <w:ind w:firstLine="480" w:firstLineChars="200"/>
        <w:rPr>
          <w:bCs/>
          <w:sz w:val="24"/>
        </w:rPr>
      </w:pPr>
      <w:r>
        <w:rPr>
          <w:rFonts w:hint="eastAsia"/>
          <w:bCs/>
          <w:sz w:val="24"/>
        </w:rPr>
        <w:t>2</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BAF2827">
      <w:pPr>
        <w:adjustRightInd w:val="0"/>
        <w:snapToGrid w:val="0"/>
        <w:spacing w:line="360" w:lineRule="auto"/>
        <w:ind w:firstLine="480" w:firstLineChars="200"/>
        <w:rPr>
          <w:bCs/>
          <w:sz w:val="24"/>
        </w:rPr>
      </w:pPr>
      <w:r>
        <w:rPr>
          <w:bCs/>
          <w:sz w:val="24"/>
        </w:rPr>
        <w:t>3、</w:t>
      </w:r>
      <w:r>
        <w:rPr>
          <w:rFonts w:hint="eastAsia"/>
          <w:bCs/>
          <w:sz w:val="24"/>
        </w:rPr>
        <w:t>如经济环境发生重大变化或证券发行人发生影响证券价格的重大事件，使潜在估值调整对前一估值日的基金资产净值的影响在0.25%以上的，应对估值进行调整并确定公允价值。</w:t>
      </w:r>
    </w:p>
    <w:p w14:paraId="6E7FC13C">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四</w:t>
      </w:r>
      <w:r>
        <w:rPr>
          <w:rFonts w:hAnsi="宋体"/>
          <w:b/>
          <w:sz w:val="24"/>
          <w:szCs w:val="24"/>
        </w:rPr>
        <w:t>）估值方法</w:t>
      </w:r>
    </w:p>
    <w:p w14:paraId="1759DB8F">
      <w:pPr>
        <w:adjustRightInd w:val="0"/>
        <w:snapToGrid w:val="0"/>
        <w:spacing w:line="360" w:lineRule="auto"/>
        <w:ind w:firstLine="480" w:firstLineChars="200"/>
        <w:rPr>
          <w:sz w:val="24"/>
          <w:szCs w:val="24"/>
        </w:rPr>
      </w:pPr>
      <w:r>
        <w:rPr>
          <w:rFonts w:hint="eastAsia"/>
          <w:sz w:val="24"/>
          <w:szCs w:val="24"/>
        </w:rPr>
        <w:t>1、证券投资基金的估值</w:t>
      </w:r>
    </w:p>
    <w:p w14:paraId="3ACF86C8">
      <w:pPr>
        <w:adjustRightInd w:val="0"/>
        <w:snapToGrid w:val="0"/>
        <w:spacing w:line="360" w:lineRule="auto"/>
        <w:ind w:firstLine="480" w:firstLineChars="200"/>
        <w:rPr>
          <w:sz w:val="24"/>
          <w:szCs w:val="24"/>
        </w:rPr>
      </w:pPr>
      <w:r>
        <w:rPr>
          <w:rFonts w:hint="eastAsia"/>
          <w:sz w:val="24"/>
          <w:szCs w:val="24"/>
        </w:rPr>
        <w:t>（1）本基金投资于境内非上市的非货币市场基金，按所投资基金估值日的份额净值进行估值；</w:t>
      </w:r>
    </w:p>
    <w:p w14:paraId="13545555">
      <w:pPr>
        <w:adjustRightInd w:val="0"/>
        <w:snapToGrid w:val="0"/>
        <w:spacing w:line="360" w:lineRule="auto"/>
        <w:ind w:firstLine="480" w:firstLineChars="200"/>
        <w:rPr>
          <w:sz w:val="24"/>
          <w:szCs w:val="24"/>
        </w:rPr>
      </w:pPr>
      <w:r>
        <w:rPr>
          <w:rFonts w:hint="eastAsia"/>
          <w:sz w:val="24"/>
          <w:szCs w:val="24"/>
        </w:rPr>
        <w:t>（2）本基金投资的境内ETF基金，按所投资ETF基金估值日的收盘价进行估值；</w:t>
      </w:r>
    </w:p>
    <w:p w14:paraId="11A6426A">
      <w:pPr>
        <w:adjustRightInd w:val="0"/>
        <w:snapToGrid w:val="0"/>
        <w:spacing w:line="360" w:lineRule="auto"/>
        <w:ind w:firstLine="480" w:firstLineChars="200"/>
        <w:rPr>
          <w:sz w:val="24"/>
          <w:szCs w:val="24"/>
        </w:rPr>
      </w:pPr>
      <w:r>
        <w:rPr>
          <w:rFonts w:hint="eastAsia"/>
          <w:sz w:val="24"/>
          <w:szCs w:val="24"/>
        </w:rPr>
        <w:t>（3）本基金投资的境内上市开放式基金（LOF），按所投资基金估值日的份额净值估值；</w:t>
      </w:r>
    </w:p>
    <w:p w14:paraId="49D6D2E7">
      <w:pPr>
        <w:adjustRightInd w:val="0"/>
        <w:snapToGrid w:val="0"/>
        <w:spacing w:line="360" w:lineRule="auto"/>
        <w:ind w:firstLine="480" w:firstLineChars="200"/>
        <w:rPr>
          <w:sz w:val="24"/>
          <w:szCs w:val="24"/>
        </w:rPr>
      </w:pPr>
      <w:r>
        <w:rPr>
          <w:rFonts w:hint="eastAsia"/>
          <w:sz w:val="24"/>
          <w:szCs w:val="24"/>
        </w:rPr>
        <w:t>（4）本基金投资的境内上市定期开放式基金、封闭式基金，按所投资基金估值日的收盘价估值；</w:t>
      </w:r>
    </w:p>
    <w:p w14:paraId="177D4C10">
      <w:pPr>
        <w:adjustRightInd w:val="0"/>
        <w:snapToGrid w:val="0"/>
        <w:spacing w:line="360" w:lineRule="auto"/>
        <w:ind w:firstLine="480" w:firstLineChars="200"/>
        <w:rPr>
          <w:sz w:val="24"/>
          <w:szCs w:val="24"/>
        </w:rPr>
      </w:pPr>
      <w:r>
        <w:rPr>
          <w:rFonts w:hint="eastAsia"/>
          <w:sz w:val="24"/>
          <w:szCs w:val="24"/>
        </w:rPr>
        <w:t>（5）如遇所投资基金不公布基金份额净值、进行折算或拆分、估值日无交易等特殊情况，基金管理人根据以下原则进行估值：</w:t>
      </w:r>
    </w:p>
    <w:p w14:paraId="71165E41">
      <w:pPr>
        <w:adjustRightInd w:val="0"/>
        <w:snapToGrid w:val="0"/>
        <w:spacing w:line="360" w:lineRule="auto"/>
        <w:ind w:firstLine="480" w:firstLineChars="200"/>
        <w:rPr>
          <w:sz w:val="24"/>
          <w:szCs w:val="24"/>
        </w:rPr>
      </w:pPr>
      <w:r>
        <w:rPr>
          <w:rFonts w:hint="eastAsia"/>
          <w:sz w:val="24"/>
          <w:szCs w:val="24"/>
        </w:rPr>
        <w:t>以所投资基金的基金份额净值估值的，若所投资基金与本基金估值频率一致但未公布估值日基金份额净值，以其最近公布的基金份额净值估值；</w:t>
      </w:r>
    </w:p>
    <w:p w14:paraId="4A406CC7">
      <w:pPr>
        <w:adjustRightInd w:val="0"/>
        <w:snapToGrid w:val="0"/>
        <w:spacing w:line="360" w:lineRule="auto"/>
        <w:ind w:firstLine="480" w:firstLineChars="200"/>
        <w:rPr>
          <w:sz w:val="24"/>
          <w:szCs w:val="24"/>
        </w:rPr>
      </w:pPr>
      <w:r>
        <w:rPr>
          <w:rFonts w:hint="eastAsia"/>
          <w:sz w:val="24"/>
          <w:szCs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71C3BA30">
      <w:pPr>
        <w:adjustRightInd w:val="0"/>
        <w:snapToGrid w:val="0"/>
        <w:spacing w:line="360" w:lineRule="auto"/>
        <w:ind w:firstLine="480" w:firstLineChars="200"/>
        <w:rPr>
          <w:sz w:val="24"/>
          <w:szCs w:val="24"/>
        </w:rPr>
      </w:pPr>
      <w:r>
        <w:rPr>
          <w:rFonts w:hint="eastAsia"/>
          <w:sz w:val="24"/>
          <w:szCs w:val="24"/>
        </w:rPr>
        <w:t>如果所投资基金前一估值日至估值日期间发生分红除权、折算或拆分，基金管理人应根据基金份额净值或收盘价、单位基金份额分红金额、折算拆分比例、持仓份额等因素合理确定公允价值；</w:t>
      </w:r>
    </w:p>
    <w:p w14:paraId="49E13D22">
      <w:pPr>
        <w:adjustRightInd w:val="0"/>
        <w:snapToGrid w:val="0"/>
        <w:spacing w:line="360" w:lineRule="auto"/>
        <w:ind w:firstLine="480" w:firstLineChars="200"/>
        <w:rPr>
          <w:sz w:val="24"/>
          <w:szCs w:val="24"/>
        </w:rPr>
      </w:pPr>
      <w:r>
        <w:rPr>
          <w:rFonts w:hint="eastAsia"/>
          <w:sz w:val="24"/>
          <w:szCs w:val="24"/>
        </w:rPr>
        <w:t>（6）当基金管理人认为所投资基金按上述第（1）至第（5）条进行估值存在不公允时，应与基金托管人协商一致采用合理的估值技术或估值标准确定其公允价值。</w:t>
      </w:r>
    </w:p>
    <w:p w14:paraId="0CEED0A1">
      <w:pPr>
        <w:adjustRightInd w:val="0"/>
        <w:snapToGrid w:val="0"/>
        <w:spacing w:line="360" w:lineRule="auto"/>
        <w:ind w:firstLine="480" w:firstLineChars="200"/>
        <w:rPr>
          <w:sz w:val="24"/>
          <w:szCs w:val="24"/>
        </w:rPr>
      </w:pPr>
      <w:r>
        <w:rPr>
          <w:rFonts w:hint="eastAsia"/>
          <w:sz w:val="24"/>
          <w:szCs w:val="24"/>
        </w:rPr>
        <w:t>2、证券交易所上市的有价证券的估值</w:t>
      </w:r>
    </w:p>
    <w:p w14:paraId="7246C55D">
      <w:pPr>
        <w:adjustRightInd w:val="0"/>
        <w:snapToGrid w:val="0"/>
        <w:spacing w:line="360" w:lineRule="auto"/>
        <w:ind w:firstLine="480" w:firstLineChars="200"/>
        <w:rPr>
          <w:sz w:val="24"/>
          <w:szCs w:val="24"/>
        </w:rPr>
      </w:pPr>
      <w:r>
        <w:rPr>
          <w:rFonts w:hint="eastAsia"/>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FC56CE5">
      <w:pPr>
        <w:adjustRightInd w:val="0"/>
        <w:snapToGrid w:val="0"/>
        <w:spacing w:line="360" w:lineRule="auto"/>
        <w:ind w:firstLine="480" w:firstLineChars="200"/>
        <w:rPr>
          <w:sz w:val="24"/>
          <w:szCs w:val="24"/>
        </w:rPr>
      </w:pPr>
      <w:r>
        <w:rPr>
          <w:rFonts w:hint="eastAsia"/>
          <w:sz w:val="24"/>
          <w:szCs w:val="24"/>
        </w:rPr>
        <w:t>（2）对于已上市或已挂牌转让的不含权固定收益品种（另有规定的除外），选取第三方估值基准服务机构提供的相应品种当日的估值全价进行估值。</w:t>
      </w:r>
    </w:p>
    <w:p w14:paraId="5396F7E5">
      <w:pPr>
        <w:adjustRightInd w:val="0"/>
        <w:snapToGrid w:val="0"/>
        <w:spacing w:line="360" w:lineRule="auto"/>
        <w:ind w:firstLine="480" w:firstLineChars="200"/>
        <w:rPr>
          <w:sz w:val="24"/>
          <w:szCs w:val="24"/>
        </w:rPr>
      </w:pPr>
      <w:r>
        <w:rPr>
          <w:rFonts w:hint="eastAsia"/>
          <w:sz w:val="24"/>
          <w:szCs w:val="24"/>
        </w:rPr>
        <w:t>（3）对于已上市或已挂牌转让的含权固定收益品种（另有规定的除外），选取第三方估值基准服务机构提供的相应品种当日的唯一估值全价或推荐估值全价进行估值。</w:t>
      </w:r>
    </w:p>
    <w:p w14:paraId="270C8C75">
      <w:pPr>
        <w:adjustRightInd w:val="0"/>
        <w:snapToGrid w:val="0"/>
        <w:spacing w:line="360" w:lineRule="auto"/>
        <w:ind w:firstLine="480" w:firstLineChars="20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A99715F">
      <w:pPr>
        <w:adjustRightInd w:val="0"/>
        <w:snapToGrid w:val="0"/>
        <w:spacing w:line="360" w:lineRule="auto"/>
        <w:ind w:firstLine="480" w:firstLineChars="200"/>
        <w:rPr>
          <w:sz w:val="24"/>
          <w:szCs w:val="24"/>
        </w:rPr>
      </w:pPr>
      <w:r>
        <w:rPr>
          <w:rFonts w:hint="eastAsia"/>
          <w:sz w:val="24"/>
          <w:szCs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C69BA15">
      <w:pPr>
        <w:adjustRightInd w:val="0"/>
        <w:snapToGrid w:val="0"/>
        <w:spacing w:line="360" w:lineRule="auto"/>
        <w:ind w:firstLine="480" w:firstLineChars="200"/>
        <w:rPr>
          <w:sz w:val="24"/>
          <w:szCs w:val="24"/>
        </w:rPr>
      </w:pPr>
      <w:r>
        <w:rPr>
          <w:rFonts w:hint="eastAsia"/>
          <w:sz w:val="24"/>
          <w:szCs w:val="24"/>
        </w:rPr>
        <w:t>对于未上市或未挂牌转让且不存在活跃市场的固定收益品种，采用在当前情况下适用并且有足够可利用数据和其他信息支持的估值技术确定其公允价值。</w:t>
      </w:r>
    </w:p>
    <w:p w14:paraId="37B372EF">
      <w:pPr>
        <w:adjustRightInd w:val="0"/>
        <w:snapToGrid w:val="0"/>
        <w:spacing w:line="360" w:lineRule="auto"/>
        <w:ind w:firstLine="480" w:firstLineChars="200"/>
        <w:rPr>
          <w:sz w:val="24"/>
          <w:szCs w:val="24"/>
        </w:rPr>
      </w:pPr>
      <w:r>
        <w:rPr>
          <w:rFonts w:hint="eastAsia"/>
          <w:sz w:val="24"/>
          <w:szCs w:val="24"/>
        </w:rPr>
        <w:t>3、处于未上市期间的有价证券应区分如下情况处理：</w:t>
      </w:r>
    </w:p>
    <w:p w14:paraId="21C103AD">
      <w:pPr>
        <w:adjustRightInd w:val="0"/>
        <w:snapToGrid w:val="0"/>
        <w:spacing w:line="360" w:lineRule="auto"/>
        <w:ind w:firstLine="480" w:firstLineChars="200"/>
        <w:rPr>
          <w:sz w:val="24"/>
          <w:szCs w:val="24"/>
        </w:rPr>
      </w:pPr>
      <w:r>
        <w:rPr>
          <w:rFonts w:hint="eastAsia"/>
          <w:sz w:val="24"/>
          <w:szCs w:val="24"/>
        </w:rPr>
        <w:t>（1）送股、转增股、配股和公开增发的新股，按估值日在证券交易所挂牌的同一股票的估值方法估值；该日无交易的，以最近一日的市价（收盘价）估值；</w:t>
      </w:r>
    </w:p>
    <w:p w14:paraId="77C172A8">
      <w:pPr>
        <w:adjustRightInd w:val="0"/>
        <w:snapToGrid w:val="0"/>
        <w:spacing w:line="360" w:lineRule="auto"/>
        <w:ind w:firstLine="480" w:firstLineChars="200"/>
        <w:rPr>
          <w:sz w:val="24"/>
          <w:szCs w:val="24"/>
        </w:rPr>
      </w:pPr>
      <w:r>
        <w:rPr>
          <w:rFonts w:hint="eastAsia"/>
          <w:sz w:val="24"/>
          <w:szCs w:val="24"/>
        </w:rPr>
        <w:t>（2）首次公开发行未上市的股票和债券，采用估值技术确定公允价值；</w:t>
      </w:r>
    </w:p>
    <w:p w14:paraId="5417501D">
      <w:pPr>
        <w:adjustRightInd w:val="0"/>
        <w:snapToGrid w:val="0"/>
        <w:spacing w:line="360" w:lineRule="auto"/>
        <w:ind w:firstLine="480" w:firstLineChars="200"/>
        <w:rPr>
          <w:sz w:val="24"/>
          <w:szCs w:val="24"/>
        </w:rPr>
      </w:pPr>
      <w:r>
        <w:rPr>
          <w:rFonts w:hint="eastAsia"/>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3728383">
      <w:pPr>
        <w:adjustRightInd w:val="0"/>
        <w:snapToGrid w:val="0"/>
        <w:spacing w:line="360" w:lineRule="auto"/>
        <w:ind w:firstLine="480" w:firstLineChars="200"/>
        <w:rPr>
          <w:sz w:val="24"/>
          <w:szCs w:val="24"/>
        </w:rPr>
      </w:pPr>
      <w:r>
        <w:rPr>
          <w:rFonts w:hint="eastAsia"/>
          <w:sz w:val="24"/>
          <w:szCs w:val="24"/>
        </w:rPr>
        <w:t>4、同一证券同时在两个或两个以上市场交易的，按证券所处的市场分别估值。</w:t>
      </w:r>
    </w:p>
    <w:p w14:paraId="7874CC0D">
      <w:pPr>
        <w:adjustRightInd w:val="0"/>
        <w:snapToGrid w:val="0"/>
        <w:spacing w:line="360" w:lineRule="auto"/>
        <w:ind w:firstLine="480" w:firstLineChars="200"/>
        <w:rPr>
          <w:sz w:val="24"/>
          <w:szCs w:val="24"/>
        </w:rPr>
      </w:pPr>
      <w:r>
        <w:rPr>
          <w:rFonts w:hint="eastAsia"/>
          <w:sz w:val="24"/>
          <w:szCs w:val="24"/>
        </w:rPr>
        <w:t>5、估值计算中涉及港币对人民币汇率的，将依据下列信息提供机构所提供的汇率为基准：当日中国人民银行或其授权机构公布的人民币与港币的中间价。</w:t>
      </w:r>
    </w:p>
    <w:p w14:paraId="07D67DE0">
      <w:pPr>
        <w:adjustRightInd w:val="0"/>
        <w:snapToGrid w:val="0"/>
        <w:spacing w:line="360" w:lineRule="auto"/>
        <w:ind w:firstLine="480" w:firstLineChars="200"/>
        <w:rPr>
          <w:sz w:val="24"/>
          <w:szCs w:val="24"/>
        </w:rPr>
      </w:pPr>
      <w:r>
        <w:rPr>
          <w:rFonts w:hint="eastAsia"/>
          <w:sz w:val="24"/>
          <w:szCs w:val="24"/>
        </w:rPr>
        <w:t>6、本基金投资存托凭证的估值核算依照境内上市交易的股票执行。</w:t>
      </w:r>
    </w:p>
    <w:p w14:paraId="3A1D7DBC">
      <w:pPr>
        <w:adjustRightInd w:val="0"/>
        <w:snapToGrid w:val="0"/>
        <w:spacing w:line="360" w:lineRule="auto"/>
        <w:ind w:firstLine="480" w:firstLineChars="200"/>
        <w:rPr>
          <w:sz w:val="24"/>
          <w:szCs w:val="24"/>
        </w:rPr>
      </w:pPr>
      <w:r>
        <w:rPr>
          <w:rFonts w:hint="eastAsia"/>
          <w:sz w:val="24"/>
          <w:szCs w:val="24"/>
        </w:rPr>
        <w:t>7、本基金投资国债期货合约，一般以估值当日结算价进行估值，估值当日无结算价的，且最近交易日后经济环境未发生重大变化的，采用最近交易日结算价估值。</w:t>
      </w:r>
    </w:p>
    <w:p w14:paraId="37FD0853">
      <w:pPr>
        <w:adjustRightInd w:val="0"/>
        <w:snapToGrid w:val="0"/>
        <w:spacing w:line="360" w:lineRule="auto"/>
        <w:ind w:firstLine="480" w:firstLineChars="200"/>
        <w:rPr>
          <w:sz w:val="24"/>
          <w:szCs w:val="24"/>
        </w:rPr>
      </w:pPr>
      <w:r>
        <w:rPr>
          <w:rFonts w:hint="eastAsia"/>
          <w:sz w:val="24"/>
          <w:szCs w:val="24"/>
        </w:rPr>
        <w:t>8、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w:t>
      </w:r>
    </w:p>
    <w:p w14:paraId="4C828ABF">
      <w:pPr>
        <w:adjustRightInd w:val="0"/>
        <w:snapToGrid w:val="0"/>
        <w:spacing w:line="360" w:lineRule="auto"/>
        <w:ind w:firstLine="480" w:firstLineChars="200"/>
        <w:rPr>
          <w:sz w:val="24"/>
          <w:szCs w:val="24"/>
        </w:rPr>
      </w:pPr>
      <w:r>
        <w:rPr>
          <w:rFonts w:hint="eastAsia"/>
          <w:sz w:val="24"/>
          <w:szCs w:val="24"/>
        </w:rPr>
        <w:t>9、如有确凿证据表明按上述方法进行估值不能客观反映其公允价值的，基金管理人可根据具体情况与基金托管人商定后，按最能反映公允价值的价格估值。</w:t>
      </w:r>
    </w:p>
    <w:p w14:paraId="5846E5C8">
      <w:pPr>
        <w:adjustRightInd w:val="0"/>
        <w:snapToGrid w:val="0"/>
        <w:spacing w:line="360" w:lineRule="auto"/>
        <w:ind w:firstLine="480" w:firstLineChars="200"/>
        <w:rPr>
          <w:sz w:val="24"/>
          <w:szCs w:val="24"/>
        </w:rPr>
      </w:pPr>
      <w:r>
        <w:rPr>
          <w:rFonts w:hint="eastAsia"/>
          <w:sz w:val="24"/>
          <w:szCs w:val="24"/>
        </w:rPr>
        <w:t>10、当发生大额申购或赎回情形时，基金管理人可以采用摆动定价机制，以确保基金估值的公平性。</w:t>
      </w:r>
    </w:p>
    <w:p w14:paraId="67F7C07D">
      <w:pPr>
        <w:adjustRightInd w:val="0"/>
        <w:snapToGrid w:val="0"/>
        <w:spacing w:line="360" w:lineRule="auto"/>
        <w:ind w:firstLine="480" w:firstLineChars="200"/>
        <w:rPr>
          <w:sz w:val="24"/>
          <w:szCs w:val="24"/>
        </w:rPr>
      </w:pPr>
      <w:r>
        <w:rPr>
          <w:rFonts w:hint="eastAsia"/>
          <w:sz w:val="24"/>
          <w:szCs w:val="24"/>
        </w:rPr>
        <w:t>11、相关法律法规以及监管部门有强制规定的，从其规定。如有新增事项，按国家最新规定估值。</w:t>
      </w:r>
    </w:p>
    <w:p w14:paraId="663A7DD2">
      <w:pPr>
        <w:adjustRightInd w:val="0"/>
        <w:snapToGrid w:val="0"/>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1262C03">
      <w:pPr>
        <w:adjustRightInd w:val="0"/>
        <w:snapToGrid w:val="0"/>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bCs/>
          <w:sz w:val="24"/>
        </w:rPr>
        <w:t>信息</w:t>
      </w:r>
      <w:r>
        <w:rPr>
          <w:rFonts w:hint="eastAsia"/>
          <w:sz w:val="24"/>
          <w:szCs w:val="24"/>
        </w:rPr>
        <w:t>的计算结果对外予以公布。</w:t>
      </w:r>
    </w:p>
    <w:p w14:paraId="56C752DD">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五</w:t>
      </w:r>
      <w:r>
        <w:rPr>
          <w:rFonts w:hAnsi="宋体"/>
          <w:b/>
          <w:sz w:val="24"/>
          <w:szCs w:val="24"/>
        </w:rPr>
        <w:t>）估值程序</w:t>
      </w:r>
    </w:p>
    <w:p w14:paraId="0A7AA90B">
      <w:pPr>
        <w:adjustRightInd w:val="0"/>
        <w:snapToGrid w:val="0"/>
        <w:spacing w:line="360" w:lineRule="auto"/>
        <w:ind w:firstLine="480" w:firstLineChars="200"/>
        <w:rPr>
          <w:sz w:val="24"/>
          <w:szCs w:val="24"/>
        </w:rPr>
      </w:pPr>
      <w:r>
        <w:rPr>
          <w:rFonts w:hint="eastAsia"/>
          <w:sz w:val="24"/>
          <w:szCs w:val="24"/>
        </w:rPr>
        <w:t>1、各类基金份额的基金份额净值是按照每个工作日闭市后，该类基金份额的基金资产净值除以当日该类基金份额的余额数量计算，均精确到0.0001元，小数点后第5位四舍五入。基金管理人可以设立大额赎回情形下的净值精度应急调整机制，具体可参见相关公告。国家另有规定的，从其规定。</w:t>
      </w:r>
    </w:p>
    <w:p w14:paraId="389FA56D">
      <w:pPr>
        <w:adjustRightInd w:val="0"/>
        <w:snapToGrid w:val="0"/>
        <w:spacing w:line="360" w:lineRule="auto"/>
        <w:ind w:firstLine="480" w:firstLineChars="200"/>
        <w:rPr>
          <w:sz w:val="24"/>
          <w:szCs w:val="24"/>
        </w:rPr>
      </w:pPr>
      <w:r>
        <w:rPr>
          <w:rFonts w:hint="eastAsia"/>
          <w:sz w:val="24"/>
          <w:szCs w:val="24"/>
        </w:rPr>
        <w:t>基金管理人于每个工作日计算各类基金份额的基金资产净值及基金份额净值，并按规定公告。如遇特殊情况，经履行适当程序，可以适当延迟计算或公告。</w:t>
      </w:r>
    </w:p>
    <w:p w14:paraId="653BB6C7">
      <w:pPr>
        <w:adjustRightInd w:val="0"/>
        <w:snapToGrid w:val="0"/>
        <w:spacing w:line="360" w:lineRule="auto"/>
        <w:ind w:firstLine="480" w:firstLineChars="200"/>
        <w:rPr>
          <w:sz w:val="24"/>
          <w:szCs w:val="24"/>
        </w:rPr>
      </w:pPr>
      <w:r>
        <w:rPr>
          <w:rFonts w:hint="eastAsia"/>
          <w:sz w:val="24"/>
          <w:szCs w:val="24"/>
        </w:rPr>
        <w:t>2、基金管理人应每个工作日对基金资产估值，但基金管理人根据法律法规或基金合同的规定暂停估值时除外。基金管理人每个工作日对基金资产估值后，将</w:t>
      </w:r>
      <w:r>
        <w:rPr>
          <w:rFonts w:hint="eastAsia"/>
          <w:bCs/>
          <w:sz w:val="24"/>
        </w:rPr>
        <w:t>基金资产净值、</w:t>
      </w:r>
      <w:r>
        <w:rPr>
          <w:rFonts w:hint="eastAsia"/>
          <w:sz w:val="24"/>
          <w:szCs w:val="24"/>
        </w:rPr>
        <w:t>各类基金份额净值结果发送基金托管人，经基金托管人复核无误后，由基金管理人依据基金合同和相关法律法规的规定对外公布。</w:t>
      </w:r>
    </w:p>
    <w:p w14:paraId="6B6F2748">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六</w:t>
      </w:r>
      <w:r>
        <w:rPr>
          <w:rFonts w:hAnsi="宋体"/>
          <w:b/>
          <w:sz w:val="24"/>
          <w:szCs w:val="24"/>
        </w:rPr>
        <w:t>）估值错误的处理</w:t>
      </w:r>
    </w:p>
    <w:p w14:paraId="04F91BD7">
      <w:pPr>
        <w:adjustRightInd w:val="0"/>
        <w:snapToGrid w:val="0"/>
        <w:spacing w:line="360" w:lineRule="auto"/>
        <w:ind w:firstLine="480" w:firstLineChars="200"/>
        <w:rPr>
          <w:rFonts w:hAnsi="宋体"/>
          <w:sz w:val="24"/>
          <w:szCs w:val="24"/>
        </w:rPr>
      </w:pPr>
      <w:r>
        <w:rPr>
          <w:rFonts w:hint="eastAsia" w:hAnsi="宋体"/>
          <w:sz w:val="24"/>
          <w:szCs w:val="24"/>
        </w:rPr>
        <w:t>基金管理人和基金托管人将采取必要、适当、合理的措施确保基金资产估值的准确性、及时性。当任一类基金份额净值小数点后4位以内（含第4位）发生估值错误时，视为该类基金份额净值错误。</w:t>
      </w:r>
    </w:p>
    <w:p w14:paraId="7EB8D48D">
      <w:pPr>
        <w:adjustRightInd w:val="0"/>
        <w:snapToGrid w:val="0"/>
        <w:spacing w:line="360" w:lineRule="auto"/>
        <w:ind w:firstLine="480" w:firstLineChars="200"/>
        <w:rPr>
          <w:rFonts w:hAnsi="宋体"/>
          <w:sz w:val="24"/>
          <w:szCs w:val="24"/>
        </w:rPr>
      </w:pPr>
      <w:r>
        <w:rPr>
          <w:rFonts w:hint="eastAsia" w:hAnsi="宋体"/>
          <w:sz w:val="24"/>
          <w:szCs w:val="24"/>
        </w:rPr>
        <w:t>基金合同的当事人应按照以下约定处理：</w:t>
      </w:r>
    </w:p>
    <w:p w14:paraId="38CF52BC">
      <w:pPr>
        <w:adjustRightInd w:val="0"/>
        <w:snapToGrid w:val="0"/>
        <w:spacing w:line="360" w:lineRule="auto"/>
        <w:ind w:firstLine="480" w:firstLineChars="200"/>
        <w:rPr>
          <w:rFonts w:hAnsi="宋体"/>
          <w:sz w:val="24"/>
          <w:szCs w:val="24"/>
        </w:rPr>
      </w:pPr>
      <w:r>
        <w:rPr>
          <w:rFonts w:hint="eastAsia" w:hAnsi="宋体"/>
          <w:sz w:val="24"/>
          <w:szCs w:val="24"/>
        </w:rPr>
        <w:t>1、估值错误类型</w:t>
      </w:r>
    </w:p>
    <w:p w14:paraId="565EC6A1">
      <w:pPr>
        <w:adjustRightInd w:val="0"/>
        <w:snapToGrid w:val="0"/>
        <w:spacing w:line="360" w:lineRule="auto"/>
        <w:ind w:firstLine="480" w:firstLineChars="200"/>
        <w:rPr>
          <w:rFonts w:hAnsi="宋体"/>
          <w:sz w:val="24"/>
          <w:szCs w:val="24"/>
        </w:rPr>
      </w:pPr>
      <w:r>
        <w:rPr>
          <w:rFonts w:hint="eastAsia" w:hAnsi="宋体"/>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331FC75">
      <w:pPr>
        <w:adjustRightInd w:val="0"/>
        <w:snapToGrid w:val="0"/>
        <w:spacing w:line="360" w:lineRule="auto"/>
        <w:ind w:firstLine="480" w:firstLineChars="200"/>
        <w:rPr>
          <w:rFonts w:hAnsi="宋体"/>
          <w:sz w:val="24"/>
          <w:szCs w:val="24"/>
        </w:rPr>
      </w:pPr>
      <w:r>
        <w:rPr>
          <w:rFonts w:hint="eastAsia" w:hAnsi="宋体"/>
          <w:sz w:val="24"/>
          <w:szCs w:val="24"/>
        </w:rPr>
        <w:t>上述估值错误的主要类型包括但不限于：资料申报差错、数据传输差错、数据计算差错、系统故障差错、下达指令差错等。</w:t>
      </w:r>
    </w:p>
    <w:p w14:paraId="43F021BF">
      <w:pPr>
        <w:adjustRightInd w:val="0"/>
        <w:snapToGrid w:val="0"/>
        <w:spacing w:line="360" w:lineRule="auto"/>
        <w:ind w:firstLine="480" w:firstLineChars="200"/>
        <w:rPr>
          <w:rFonts w:hAnsi="宋体"/>
          <w:sz w:val="24"/>
          <w:szCs w:val="24"/>
        </w:rPr>
      </w:pPr>
      <w:r>
        <w:rPr>
          <w:rFonts w:hint="eastAsia" w:hAnsi="宋体"/>
          <w:sz w:val="24"/>
          <w:szCs w:val="24"/>
        </w:rPr>
        <w:t>对于因技术原因引起的差错，若系同行业现有技术水平无法预见、无法避免、无法抗拒，则属不可抗力，按照下述规定执行。</w:t>
      </w:r>
    </w:p>
    <w:p w14:paraId="11F0F83F">
      <w:pPr>
        <w:adjustRightInd w:val="0"/>
        <w:snapToGrid w:val="0"/>
        <w:spacing w:line="360" w:lineRule="auto"/>
        <w:ind w:firstLine="480" w:firstLineChars="200"/>
        <w:rPr>
          <w:rFonts w:hAnsi="宋体"/>
          <w:sz w:val="24"/>
          <w:szCs w:val="24"/>
        </w:rPr>
      </w:pPr>
      <w:r>
        <w:rPr>
          <w:rFonts w:hint="eastAsia" w:hAnsi="宋体"/>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6DF46843">
      <w:pPr>
        <w:adjustRightInd w:val="0"/>
        <w:snapToGrid w:val="0"/>
        <w:spacing w:line="360" w:lineRule="auto"/>
        <w:ind w:firstLine="480" w:firstLineChars="200"/>
        <w:rPr>
          <w:rFonts w:hAnsi="宋体"/>
          <w:sz w:val="24"/>
          <w:szCs w:val="24"/>
        </w:rPr>
      </w:pPr>
      <w:r>
        <w:rPr>
          <w:rFonts w:hint="eastAsia" w:hAnsi="宋体"/>
          <w:sz w:val="24"/>
          <w:szCs w:val="24"/>
        </w:rPr>
        <w:t>2、估值错误处理原则</w:t>
      </w:r>
    </w:p>
    <w:p w14:paraId="45FE0DD8">
      <w:pPr>
        <w:adjustRightInd w:val="0"/>
        <w:snapToGrid w:val="0"/>
        <w:spacing w:line="360" w:lineRule="auto"/>
        <w:ind w:firstLine="480" w:firstLineChars="200"/>
        <w:rPr>
          <w:rFonts w:hAnsi="宋体"/>
          <w:sz w:val="24"/>
          <w:szCs w:val="24"/>
        </w:rPr>
      </w:pPr>
      <w:r>
        <w:rPr>
          <w:rFonts w:hint="eastAsia" w:hAnsi="宋体"/>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A80E4C3">
      <w:pPr>
        <w:adjustRightInd w:val="0"/>
        <w:snapToGrid w:val="0"/>
        <w:spacing w:line="360" w:lineRule="auto"/>
        <w:ind w:firstLine="480" w:firstLineChars="200"/>
        <w:rPr>
          <w:rFonts w:hAnsi="宋体"/>
          <w:sz w:val="24"/>
          <w:szCs w:val="24"/>
        </w:rPr>
      </w:pPr>
      <w:r>
        <w:rPr>
          <w:rFonts w:hint="eastAsia" w:hAnsi="宋体"/>
          <w:sz w:val="24"/>
          <w:szCs w:val="24"/>
        </w:rPr>
        <w:t>（2）估值错误的责任方对有关当事人的直接损失负责，不对间接损失负责，并且仅对估值错误的有关直接当事人负责，不对第三方负责。</w:t>
      </w:r>
    </w:p>
    <w:p w14:paraId="5FC407A5">
      <w:pPr>
        <w:adjustRightInd w:val="0"/>
        <w:snapToGrid w:val="0"/>
        <w:spacing w:line="360" w:lineRule="auto"/>
        <w:ind w:firstLine="480" w:firstLineChars="200"/>
        <w:rPr>
          <w:rFonts w:hAnsi="宋体"/>
          <w:sz w:val="24"/>
          <w:szCs w:val="24"/>
        </w:rPr>
      </w:pPr>
      <w:r>
        <w:rPr>
          <w:rFonts w:hint="eastAsia" w:hAnsi="宋体"/>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E5A00A9">
      <w:pPr>
        <w:adjustRightInd w:val="0"/>
        <w:snapToGrid w:val="0"/>
        <w:spacing w:line="360" w:lineRule="auto"/>
        <w:ind w:firstLine="480" w:firstLineChars="200"/>
        <w:rPr>
          <w:rFonts w:hAnsi="宋体"/>
          <w:sz w:val="24"/>
          <w:szCs w:val="24"/>
        </w:rPr>
      </w:pPr>
      <w:r>
        <w:rPr>
          <w:rFonts w:hint="eastAsia" w:hAnsi="宋体"/>
          <w:sz w:val="24"/>
          <w:szCs w:val="24"/>
        </w:rPr>
        <w:t>（4）估值错误调整采用尽量恢复至假设未发生估值错误的正确情形的方式。</w:t>
      </w:r>
    </w:p>
    <w:p w14:paraId="14E0BD33">
      <w:pPr>
        <w:adjustRightInd w:val="0"/>
        <w:snapToGrid w:val="0"/>
        <w:spacing w:line="360" w:lineRule="auto"/>
        <w:ind w:firstLine="480" w:firstLineChars="200"/>
        <w:rPr>
          <w:rFonts w:hAnsi="宋体"/>
          <w:sz w:val="24"/>
          <w:szCs w:val="24"/>
        </w:rPr>
      </w:pPr>
      <w:r>
        <w:rPr>
          <w:rFonts w:hint="eastAsia" w:hAnsi="宋体"/>
          <w:sz w:val="24"/>
          <w:szCs w:val="24"/>
        </w:rPr>
        <w:t>（5）按法律法规规定的其他原则处理估值错误。</w:t>
      </w:r>
    </w:p>
    <w:p w14:paraId="72AFFD7F">
      <w:pPr>
        <w:adjustRightInd w:val="0"/>
        <w:snapToGrid w:val="0"/>
        <w:spacing w:line="360" w:lineRule="auto"/>
        <w:ind w:firstLine="480" w:firstLineChars="200"/>
        <w:rPr>
          <w:rFonts w:hAnsi="宋体"/>
          <w:sz w:val="24"/>
          <w:szCs w:val="24"/>
        </w:rPr>
      </w:pPr>
      <w:r>
        <w:rPr>
          <w:rFonts w:hint="eastAsia" w:hAnsi="宋体"/>
          <w:sz w:val="24"/>
          <w:szCs w:val="24"/>
        </w:rPr>
        <w:t>3、估值错误处理程序</w:t>
      </w:r>
    </w:p>
    <w:p w14:paraId="2391BEB6">
      <w:pPr>
        <w:adjustRightInd w:val="0"/>
        <w:snapToGrid w:val="0"/>
        <w:spacing w:line="360" w:lineRule="auto"/>
        <w:ind w:firstLine="480" w:firstLineChars="200"/>
        <w:rPr>
          <w:rFonts w:hAnsi="宋体"/>
          <w:sz w:val="24"/>
          <w:szCs w:val="24"/>
        </w:rPr>
      </w:pPr>
      <w:r>
        <w:rPr>
          <w:rFonts w:hint="eastAsia" w:hAnsi="宋体"/>
          <w:sz w:val="24"/>
          <w:szCs w:val="24"/>
        </w:rPr>
        <w:t>估值错误被发现后，有关的当事人应当及时进行处理，处理的程序如下：</w:t>
      </w:r>
    </w:p>
    <w:p w14:paraId="749040BC">
      <w:pPr>
        <w:adjustRightInd w:val="0"/>
        <w:snapToGrid w:val="0"/>
        <w:spacing w:line="360" w:lineRule="auto"/>
        <w:ind w:firstLine="480" w:firstLineChars="200"/>
        <w:rPr>
          <w:rFonts w:hAnsi="宋体"/>
          <w:sz w:val="24"/>
          <w:szCs w:val="24"/>
        </w:rPr>
      </w:pPr>
      <w:r>
        <w:rPr>
          <w:rFonts w:hint="eastAsia" w:hAnsi="宋体"/>
          <w:sz w:val="24"/>
          <w:szCs w:val="24"/>
        </w:rPr>
        <w:t>（1）查明估值错误发生的原因，列明所有的当事人，并根据估值错误发生的原因确定估值错误的责任方；</w:t>
      </w:r>
    </w:p>
    <w:p w14:paraId="39DB6F01">
      <w:pPr>
        <w:adjustRightInd w:val="0"/>
        <w:snapToGrid w:val="0"/>
        <w:spacing w:line="360" w:lineRule="auto"/>
        <w:ind w:firstLine="480" w:firstLineChars="200"/>
        <w:rPr>
          <w:rFonts w:hAnsi="宋体"/>
          <w:sz w:val="24"/>
          <w:szCs w:val="24"/>
        </w:rPr>
      </w:pPr>
      <w:r>
        <w:rPr>
          <w:rFonts w:hint="eastAsia" w:hAnsi="宋体"/>
          <w:sz w:val="24"/>
          <w:szCs w:val="24"/>
        </w:rPr>
        <w:t>（2）根据估值错误处理原则或当事人协商的方法对因估值错误造成的损失进行评估；</w:t>
      </w:r>
    </w:p>
    <w:p w14:paraId="12CA610F">
      <w:pPr>
        <w:adjustRightInd w:val="0"/>
        <w:snapToGrid w:val="0"/>
        <w:spacing w:line="360" w:lineRule="auto"/>
        <w:ind w:firstLine="480" w:firstLineChars="200"/>
        <w:rPr>
          <w:rFonts w:hAnsi="宋体"/>
          <w:sz w:val="24"/>
          <w:szCs w:val="24"/>
        </w:rPr>
      </w:pPr>
      <w:r>
        <w:rPr>
          <w:rFonts w:hint="eastAsia" w:hAnsi="宋体"/>
          <w:sz w:val="24"/>
          <w:szCs w:val="24"/>
        </w:rPr>
        <w:t>（3）根据估值错误处理原则或当事人协商的方法由估值错误的责任方进行更正和赔偿损失；</w:t>
      </w:r>
    </w:p>
    <w:p w14:paraId="6407CED6">
      <w:pPr>
        <w:adjustRightInd w:val="0"/>
        <w:snapToGrid w:val="0"/>
        <w:spacing w:line="360" w:lineRule="auto"/>
        <w:ind w:firstLine="480" w:firstLineChars="200"/>
        <w:rPr>
          <w:rFonts w:hAnsi="宋体"/>
          <w:sz w:val="24"/>
          <w:szCs w:val="24"/>
        </w:rPr>
      </w:pPr>
      <w:r>
        <w:rPr>
          <w:rFonts w:hint="eastAsia" w:hAnsi="宋体"/>
          <w:sz w:val="24"/>
          <w:szCs w:val="24"/>
        </w:rPr>
        <w:t>（4）根据估值错误处理的方法，需要修改基金登记机构交易数据的，由基金登记机构进行更正，并就估值错误的更正向有关当事人进行确认。</w:t>
      </w:r>
    </w:p>
    <w:p w14:paraId="3B45D333">
      <w:pPr>
        <w:adjustRightInd w:val="0"/>
        <w:snapToGrid w:val="0"/>
        <w:spacing w:line="360" w:lineRule="auto"/>
        <w:ind w:firstLine="480" w:firstLineChars="200"/>
        <w:rPr>
          <w:rFonts w:hAnsi="宋体"/>
          <w:sz w:val="24"/>
          <w:szCs w:val="24"/>
        </w:rPr>
      </w:pPr>
      <w:r>
        <w:rPr>
          <w:rFonts w:hint="eastAsia" w:hAnsi="宋体"/>
          <w:sz w:val="24"/>
          <w:szCs w:val="24"/>
        </w:rPr>
        <w:t>4、基金份额净值估值错误处理的方法如下：</w:t>
      </w:r>
    </w:p>
    <w:p w14:paraId="7EEE9BA5">
      <w:pPr>
        <w:adjustRightInd w:val="0"/>
        <w:snapToGrid w:val="0"/>
        <w:spacing w:line="360" w:lineRule="auto"/>
        <w:ind w:firstLine="480" w:firstLineChars="200"/>
        <w:rPr>
          <w:rFonts w:hAnsi="宋体"/>
          <w:sz w:val="24"/>
          <w:szCs w:val="24"/>
        </w:rPr>
      </w:pPr>
      <w:r>
        <w:rPr>
          <w:rFonts w:hint="eastAsia" w:hAnsi="宋体"/>
          <w:sz w:val="24"/>
          <w:szCs w:val="24"/>
        </w:rPr>
        <w:t>（1）基金份额净值计算出现错误时，基金管理人应当立即予以纠正，通报基金托管人，并采取合理的措施防止损失进一步扩大。</w:t>
      </w:r>
    </w:p>
    <w:p w14:paraId="2CA9B10D">
      <w:pPr>
        <w:adjustRightInd w:val="0"/>
        <w:snapToGrid w:val="0"/>
        <w:spacing w:line="360" w:lineRule="auto"/>
        <w:ind w:firstLine="480" w:firstLineChars="200"/>
        <w:rPr>
          <w:rFonts w:hAnsi="宋体"/>
          <w:sz w:val="24"/>
          <w:szCs w:val="24"/>
        </w:rPr>
      </w:pPr>
      <w:r>
        <w:rPr>
          <w:rFonts w:hint="eastAsia" w:hAnsi="宋体"/>
          <w:sz w:val="24"/>
          <w:szCs w:val="24"/>
        </w:rPr>
        <w:t>（2）</w:t>
      </w:r>
      <w:r>
        <w:rPr>
          <w:rFonts w:hint="eastAsia"/>
          <w:bCs/>
          <w:sz w:val="24"/>
        </w:rPr>
        <w:t>任一类基金份额的</w:t>
      </w:r>
      <w:r>
        <w:rPr>
          <w:rFonts w:hint="eastAsia" w:hAnsi="宋体"/>
          <w:sz w:val="24"/>
          <w:szCs w:val="24"/>
        </w:rPr>
        <w:t>错误偏差达到该类基金份额净值的0.25%时，基金管理人应当通报基金托管人并报中国证监会备案；错误偏差达到该类基金份额净值的0.5%时，基金管理人应当公告，并报中国证监会备案。</w:t>
      </w:r>
    </w:p>
    <w:p w14:paraId="26368A41">
      <w:pPr>
        <w:adjustRightInd w:val="0"/>
        <w:snapToGrid w:val="0"/>
        <w:spacing w:line="360" w:lineRule="auto"/>
        <w:ind w:firstLine="480" w:firstLineChars="200"/>
        <w:rPr>
          <w:rFonts w:hAnsi="宋体"/>
          <w:sz w:val="24"/>
          <w:szCs w:val="24"/>
        </w:rPr>
      </w:pPr>
      <w:r>
        <w:rPr>
          <w:rFonts w:hint="eastAsia" w:hAnsi="宋体"/>
          <w:sz w:val="24"/>
          <w:szCs w:val="24"/>
        </w:rPr>
        <w:t>（3）前述内容如法律法规或监管机关另有规定的，从其规定处理。</w:t>
      </w:r>
    </w:p>
    <w:p w14:paraId="5F768679">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七</w:t>
      </w:r>
      <w:r>
        <w:rPr>
          <w:rFonts w:hAnsi="宋体"/>
          <w:b/>
          <w:sz w:val="24"/>
          <w:szCs w:val="24"/>
        </w:rPr>
        <w:t>）暂停估值的情形</w:t>
      </w:r>
    </w:p>
    <w:p w14:paraId="2A997383">
      <w:pPr>
        <w:adjustRightInd w:val="0"/>
        <w:snapToGrid w:val="0"/>
        <w:spacing w:line="360" w:lineRule="auto"/>
        <w:ind w:firstLine="480" w:firstLineChars="200"/>
        <w:rPr>
          <w:sz w:val="24"/>
          <w:szCs w:val="24"/>
        </w:rPr>
      </w:pPr>
      <w:r>
        <w:rPr>
          <w:rFonts w:hint="eastAsia"/>
          <w:sz w:val="24"/>
          <w:szCs w:val="24"/>
        </w:rPr>
        <w:t>1、基金投资所涉及的证券、期货交易市场遇法定节假日或因其他原因暂停营业时；</w:t>
      </w:r>
    </w:p>
    <w:p w14:paraId="4B256107">
      <w:pPr>
        <w:adjustRightInd w:val="0"/>
        <w:snapToGrid w:val="0"/>
        <w:spacing w:line="360" w:lineRule="auto"/>
        <w:ind w:firstLine="480" w:firstLineChars="200"/>
        <w:rPr>
          <w:sz w:val="24"/>
          <w:szCs w:val="24"/>
        </w:rPr>
      </w:pPr>
      <w:r>
        <w:rPr>
          <w:rFonts w:hint="eastAsia"/>
          <w:sz w:val="24"/>
          <w:szCs w:val="24"/>
        </w:rPr>
        <w:t>2、因不可抗力致使基金管理人、基金托管人无法准确评估基金资产价值时；</w:t>
      </w:r>
    </w:p>
    <w:p w14:paraId="6C76350B">
      <w:pPr>
        <w:adjustRightInd w:val="0"/>
        <w:snapToGrid w:val="0"/>
        <w:spacing w:line="360" w:lineRule="auto"/>
        <w:ind w:firstLine="480" w:firstLineChars="200"/>
        <w:rPr>
          <w:sz w:val="24"/>
          <w:szCs w:val="24"/>
        </w:rPr>
      </w:pPr>
      <w:r>
        <w:rPr>
          <w:rFonts w:hint="eastAsia"/>
          <w:sz w:val="24"/>
          <w:szCs w:val="24"/>
        </w:rPr>
        <w:t>3、</w:t>
      </w:r>
      <w:r>
        <w:rPr>
          <w:rFonts w:hint="eastAsia"/>
          <w:bCs/>
          <w:sz w:val="24"/>
        </w:rPr>
        <w:t>当特定资产占前一估值日基金资产净值50%以上的</w:t>
      </w:r>
      <w:r>
        <w:rPr>
          <w:rFonts w:hint="eastAsia"/>
          <w:sz w:val="24"/>
          <w:szCs w:val="24"/>
        </w:rPr>
        <w:t>，经与基金托管人协商确认后，基金管理人应当暂停估值；</w:t>
      </w:r>
    </w:p>
    <w:p w14:paraId="122ACFD5">
      <w:pPr>
        <w:adjustRightInd w:val="0"/>
        <w:snapToGrid w:val="0"/>
        <w:spacing w:line="360" w:lineRule="auto"/>
        <w:ind w:firstLine="480" w:firstLineChars="200"/>
        <w:rPr>
          <w:sz w:val="24"/>
          <w:szCs w:val="24"/>
        </w:rPr>
      </w:pPr>
      <w:r>
        <w:rPr>
          <w:rFonts w:hint="eastAsia"/>
          <w:sz w:val="24"/>
          <w:szCs w:val="24"/>
        </w:rPr>
        <w:t>4、法律法规、中国证监会和基金合同认定的其它情形。</w:t>
      </w:r>
    </w:p>
    <w:p w14:paraId="3F3328A0">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八</w:t>
      </w:r>
      <w:r>
        <w:rPr>
          <w:rFonts w:hAnsi="宋体"/>
          <w:b/>
          <w:sz w:val="24"/>
          <w:szCs w:val="24"/>
        </w:rPr>
        <w:t>）基金净值的确认</w:t>
      </w:r>
    </w:p>
    <w:p w14:paraId="5B292F7B">
      <w:pPr>
        <w:adjustRightInd w:val="0"/>
        <w:snapToGrid w:val="0"/>
        <w:spacing w:line="360" w:lineRule="auto"/>
        <w:ind w:firstLine="480" w:firstLineChars="200"/>
        <w:rPr>
          <w:sz w:val="24"/>
          <w:szCs w:val="24"/>
        </w:rPr>
      </w:pPr>
      <w:r>
        <w:rPr>
          <w:rFonts w:hint="eastAsia" w:hAnsi="宋体"/>
          <w:sz w:val="24"/>
          <w:szCs w:val="24"/>
        </w:rPr>
        <w:t>各类基金份额的基金资产净值和各类基金份额净值由基金管理人负责计算，基金托管人负责进行复核。基金管理人应于每个开放日交易结束后计算当日各类基金份额的基金资产净值和基金份额净值并发送给基金托管人。基金托管人对净值计算结果复核确认后发送给基金管理人，由基金管理人依据基金合同和相关法律法规的规定对基金净值予以公布。</w:t>
      </w:r>
    </w:p>
    <w:p w14:paraId="1E7D4E82">
      <w:pPr>
        <w:adjustRightInd w:val="0"/>
        <w:snapToGrid w:val="0"/>
        <w:spacing w:line="360" w:lineRule="auto"/>
        <w:ind w:firstLine="482" w:firstLineChars="200"/>
        <w:rPr>
          <w:b/>
          <w:sz w:val="24"/>
          <w:szCs w:val="24"/>
        </w:rPr>
      </w:pPr>
      <w:r>
        <w:rPr>
          <w:rFonts w:hAnsi="宋体"/>
          <w:b/>
          <w:sz w:val="24"/>
          <w:szCs w:val="24"/>
        </w:rPr>
        <w:t>（</w:t>
      </w:r>
      <w:r>
        <w:rPr>
          <w:rFonts w:hint="eastAsia" w:hAnsi="宋体"/>
          <w:b/>
          <w:sz w:val="24"/>
          <w:szCs w:val="24"/>
        </w:rPr>
        <w:t>九</w:t>
      </w:r>
      <w:r>
        <w:rPr>
          <w:rFonts w:hAnsi="宋体"/>
          <w:b/>
          <w:sz w:val="24"/>
          <w:szCs w:val="24"/>
        </w:rPr>
        <w:t>）特殊情</w:t>
      </w:r>
      <w:r>
        <w:rPr>
          <w:rFonts w:hint="eastAsia" w:hAnsi="宋体"/>
          <w:b/>
          <w:sz w:val="24"/>
          <w:szCs w:val="24"/>
        </w:rPr>
        <w:t>形</w:t>
      </w:r>
      <w:r>
        <w:rPr>
          <w:rFonts w:hAnsi="宋体"/>
          <w:b/>
          <w:sz w:val="24"/>
          <w:szCs w:val="24"/>
        </w:rPr>
        <w:t>的处理</w:t>
      </w:r>
    </w:p>
    <w:p w14:paraId="78BCCEB1">
      <w:pPr>
        <w:adjustRightInd w:val="0"/>
        <w:snapToGrid w:val="0"/>
        <w:spacing w:line="360" w:lineRule="auto"/>
        <w:ind w:firstLine="480" w:firstLineChars="200"/>
        <w:rPr>
          <w:rFonts w:hAnsi="宋体"/>
          <w:sz w:val="24"/>
          <w:szCs w:val="24"/>
        </w:rPr>
      </w:pPr>
      <w:r>
        <w:rPr>
          <w:rFonts w:hint="eastAsia" w:hAnsi="宋体"/>
          <w:sz w:val="24"/>
          <w:szCs w:val="24"/>
        </w:rPr>
        <w:t>1、基金管理人或基金托管人按估值方法的第9项进行估值时，所造成的误差不作为基金资产估值错误处理。</w:t>
      </w:r>
    </w:p>
    <w:p w14:paraId="1DEBECB8">
      <w:pPr>
        <w:adjustRightInd w:val="0"/>
        <w:snapToGrid w:val="0"/>
        <w:spacing w:line="360" w:lineRule="auto"/>
        <w:ind w:firstLine="480" w:firstLineChars="200"/>
        <w:rPr>
          <w:rFonts w:hAnsi="宋体"/>
          <w:sz w:val="24"/>
          <w:szCs w:val="24"/>
        </w:rPr>
      </w:pPr>
      <w:r>
        <w:rPr>
          <w:rFonts w:hint="eastAsia" w:hAnsi="宋体"/>
          <w:sz w:val="24"/>
          <w:szCs w:val="24"/>
        </w:rPr>
        <w:t>2、由于不可抗力原因，或由于证券、期货交易所、证券经纪机构、期货公司及登记结算公司</w:t>
      </w:r>
      <w:r>
        <w:rPr>
          <w:rFonts w:hint="eastAsia"/>
          <w:bCs/>
          <w:sz w:val="24"/>
        </w:rPr>
        <w:t>等第三方机构</w:t>
      </w:r>
      <w:r>
        <w:rPr>
          <w:rFonts w:hint="eastAsia" w:hAnsi="宋体"/>
          <w:sz w:val="24"/>
          <w:szCs w:val="24"/>
        </w:rPr>
        <w:t>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36C2FECC">
      <w:pPr>
        <w:adjustRightInd w:val="0"/>
        <w:snapToGrid w:val="0"/>
        <w:spacing w:line="360" w:lineRule="auto"/>
        <w:ind w:firstLine="482" w:firstLineChars="200"/>
        <w:rPr>
          <w:rFonts w:hAnsi="宋体"/>
          <w:b/>
          <w:bCs/>
          <w:sz w:val="24"/>
          <w:szCs w:val="24"/>
        </w:rPr>
      </w:pPr>
      <w:r>
        <w:rPr>
          <w:rFonts w:hint="eastAsia" w:hAnsi="宋体"/>
          <w:b/>
          <w:bCs/>
          <w:sz w:val="24"/>
          <w:szCs w:val="24"/>
        </w:rPr>
        <w:t>（十）实施侧袋机制期间的基金资产估值</w:t>
      </w:r>
    </w:p>
    <w:p w14:paraId="2481826B">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本基金实施侧袋机制的，应根据本部分的约定对主袋账户资产进行估值并披露主袋账户的基金净值信息，暂停披露侧袋账户份额净值。</w:t>
      </w:r>
      <w:bookmarkEnd w:id="54"/>
    </w:p>
    <w:p w14:paraId="1956B7FB">
      <w:pPr>
        <w:widowControl/>
        <w:jc w:val="left"/>
        <w:rPr>
          <w:rFonts w:hAnsi="宋体"/>
          <w:sz w:val="24"/>
          <w:szCs w:val="24"/>
        </w:rPr>
      </w:pPr>
      <w:r>
        <w:rPr>
          <w:rFonts w:hAnsi="宋体"/>
          <w:sz w:val="24"/>
          <w:szCs w:val="24"/>
        </w:rPr>
        <w:br w:type="page"/>
      </w:r>
    </w:p>
    <w:p w14:paraId="1235022B">
      <w:pPr>
        <w:adjustRightInd w:val="0"/>
        <w:snapToGrid w:val="0"/>
        <w:spacing w:line="360" w:lineRule="auto"/>
        <w:ind w:firstLine="480" w:firstLineChars="200"/>
        <w:rPr>
          <w:rFonts w:hAnsi="宋体"/>
          <w:sz w:val="24"/>
          <w:szCs w:val="24"/>
        </w:rPr>
      </w:pPr>
    </w:p>
    <w:bookmarkEnd w:id="75"/>
    <w:p w14:paraId="730D2747">
      <w:pPr>
        <w:widowControl/>
        <w:adjustRightInd w:val="0"/>
        <w:snapToGrid w:val="0"/>
        <w:spacing w:before="143" w:beforeLines="50" w:after="143" w:afterLines="50" w:line="360" w:lineRule="auto"/>
        <w:jc w:val="center"/>
        <w:outlineLvl w:val="0"/>
        <w:rPr>
          <w:rFonts w:ascii="宋体" w:hAnsi="宋体"/>
          <w:b/>
          <w:kern w:val="0"/>
          <w:sz w:val="30"/>
        </w:rPr>
      </w:pPr>
      <w:bookmarkStart w:id="76" w:name="_Toc50983780"/>
      <w:bookmarkStart w:id="77" w:name="_Hlk209967510"/>
      <w:bookmarkStart w:id="78" w:name="_Hlk120806984"/>
      <w:r>
        <w:rPr>
          <w:rFonts w:hint="eastAsia" w:ascii="宋体" w:hAnsi="宋体"/>
          <w:b/>
          <w:kern w:val="0"/>
          <w:sz w:val="30"/>
        </w:rPr>
        <w:t>十二、基金收益与分配</w:t>
      </w:r>
      <w:bookmarkEnd w:id="76"/>
    </w:p>
    <w:p w14:paraId="3DE34FC5">
      <w:pPr>
        <w:adjustRightInd w:val="0"/>
        <w:snapToGrid w:val="0"/>
        <w:spacing w:line="360" w:lineRule="auto"/>
        <w:ind w:firstLine="482" w:firstLineChars="200"/>
        <w:rPr>
          <w:b/>
          <w:sz w:val="24"/>
        </w:rPr>
      </w:pPr>
      <w:r>
        <w:rPr>
          <w:rFonts w:hAnsi="宋体"/>
          <w:b/>
          <w:sz w:val="24"/>
        </w:rPr>
        <w:t>（一）基金利润的构成</w:t>
      </w:r>
    </w:p>
    <w:p w14:paraId="49E7912A">
      <w:pPr>
        <w:adjustRightInd w:val="0"/>
        <w:snapToGrid w:val="0"/>
        <w:spacing w:line="360" w:lineRule="auto"/>
        <w:ind w:firstLine="480" w:firstLineChars="200"/>
        <w:rPr>
          <w:rFonts w:hAnsi="宋体"/>
          <w:sz w:val="24"/>
        </w:rPr>
      </w:pPr>
      <w:r>
        <w:rPr>
          <w:rFonts w:hAnsi="宋体"/>
          <w:sz w:val="24"/>
        </w:rPr>
        <w:t>基金利润指基金利息收入、投资收益、公允价值变动收益和其他收入扣除相关费用后的余额，基金已实现收益指基金利润减去公允价值变动收益后的余额。</w:t>
      </w:r>
    </w:p>
    <w:p w14:paraId="4AF49780">
      <w:pPr>
        <w:adjustRightInd w:val="0"/>
        <w:snapToGrid w:val="0"/>
        <w:spacing w:line="360" w:lineRule="auto"/>
        <w:ind w:firstLine="482" w:firstLineChars="200"/>
        <w:rPr>
          <w:b/>
          <w:sz w:val="24"/>
        </w:rPr>
      </w:pPr>
      <w:r>
        <w:rPr>
          <w:rFonts w:hAnsi="宋体"/>
          <w:b/>
          <w:sz w:val="24"/>
        </w:rPr>
        <w:t>（二）基金可供分配利润</w:t>
      </w:r>
    </w:p>
    <w:p w14:paraId="2E1B3B86">
      <w:pPr>
        <w:adjustRightInd w:val="0"/>
        <w:snapToGrid w:val="0"/>
        <w:spacing w:line="360" w:lineRule="auto"/>
        <w:ind w:firstLine="480" w:firstLineChars="200"/>
        <w:rPr>
          <w:rFonts w:hAnsi="宋体"/>
          <w:sz w:val="24"/>
        </w:rPr>
      </w:pPr>
      <w:r>
        <w:rPr>
          <w:rFonts w:hAnsi="宋体"/>
          <w:sz w:val="24"/>
        </w:rPr>
        <w:t>基金可供分配利润指截至收益分</w:t>
      </w:r>
      <w:bookmarkStart w:id="79" w:name="_Hlt80435237"/>
      <w:bookmarkEnd w:id="79"/>
      <w:bookmarkStart w:id="80" w:name="_Hlt88900301"/>
      <w:bookmarkEnd w:id="80"/>
      <w:bookmarkStart w:id="81" w:name="_Hlt81129040"/>
      <w:bookmarkEnd w:id="81"/>
      <w:bookmarkStart w:id="82" w:name="_Toc15118286"/>
      <w:bookmarkStart w:id="83" w:name="_Toc109537392"/>
      <w:r>
        <w:rPr>
          <w:rFonts w:hAnsi="宋体"/>
          <w:sz w:val="24"/>
        </w:rPr>
        <w:t>配</w:t>
      </w:r>
      <w:bookmarkEnd w:id="82"/>
      <w:r>
        <w:rPr>
          <w:rFonts w:hAnsi="宋体"/>
          <w:sz w:val="24"/>
        </w:rPr>
        <w:t>基准日基金未分配利润与</w:t>
      </w:r>
      <w:bookmarkEnd w:id="83"/>
      <w:r>
        <w:rPr>
          <w:rFonts w:hAnsi="宋体"/>
          <w:sz w:val="24"/>
        </w:rPr>
        <w:t>未分配利润中已实现收益的孰低数。</w:t>
      </w:r>
    </w:p>
    <w:p w14:paraId="01F1DD2B">
      <w:pPr>
        <w:adjustRightInd w:val="0"/>
        <w:snapToGrid w:val="0"/>
        <w:spacing w:line="360" w:lineRule="auto"/>
        <w:ind w:firstLine="482" w:firstLineChars="200"/>
        <w:rPr>
          <w:rFonts w:hAnsi="宋体"/>
          <w:b/>
          <w:sz w:val="24"/>
        </w:rPr>
      </w:pPr>
      <w:r>
        <w:rPr>
          <w:rFonts w:hAnsi="宋体"/>
          <w:b/>
          <w:sz w:val="24"/>
        </w:rPr>
        <w:t>（三）</w:t>
      </w:r>
      <w:r>
        <w:rPr>
          <w:rFonts w:hint="eastAsia" w:hAnsi="宋体"/>
          <w:b/>
          <w:sz w:val="24"/>
        </w:rPr>
        <w:t>基金</w:t>
      </w:r>
      <w:r>
        <w:rPr>
          <w:rFonts w:hAnsi="宋体"/>
          <w:b/>
          <w:sz w:val="24"/>
        </w:rPr>
        <w:t>收益分配原则</w:t>
      </w:r>
    </w:p>
    <w:p w14:paraId="57ACD2AE">
      <w:pPr>
        <w:adjustRightInd w:val="0"/>
        <w:snapToGrid w:val="0"/>
        <w:spacing w:line="360" w:lineRule="auto"/>
        <w:ind w:firstLine="480" w:firstLineChars="200"/>
        <w:rPr>
          <w:b/>
          <w:sz w:val="24"/>
        </w:rPr>
      </w:pPr>
      <w:r>
        <w:rPr>
          <w:rFonts w:hint="eastAsia" w:ascii="宋体" w:hAnsi="宋体"/>
          <w:bCs/>
          <w:sz w:val="24"/>
          <w:szCs w:val="24"/>
        </w:rPr>
        <w:t>1、由于本基金A类基金份额不收取销售服务费，C类基金份额收取销售服务费，各基金份额类别对应的可供分配利润将有所不同；</w:t>
      </w:r>
    </w:p>
    <w:p w14:paraId="5BD2A0A4">
      <w:pPr>
        <w:adjustRightInd w:val="0"/>
        <w:snapToGrid w:val="0"/>
        <w:spacing w:line="360" w:lineRule="auto"/>
        <w:ind w:firstLine="480" w:firstLineChars="200"/>
        <w:rPr>
          <w:rFonts w:ascii="宋体" w:hAnsi="宋体"/>
          <w:bCs/>
          <w:sz w:val="24"/>
          <w:szCs w:val="24"/>
        </w:rPr>
      </w:pPr>
      <w:bookmarkStart w:id="84" w:name="OLE_LINK73"/>
      <w:bookmarkStart w:id="85" w:name="OLE_LINK72"/>
      <w:r>
        <w:rPr>
          <w:rFonts w:ascii="宋体" w:hAnsi="宋体"/>
          <w:bCs/>
          <w:sz w:val="24"/>
          <w:szCs w:val="24"/>
        </w:rPr>
        <w:t>2、</w:t>
      </w:r>
      <w:r>
        <w:rPr>
          <w:rFonts w:hint="eastAsia" w:ascii="宋体" w:hAnsi="宋体"/>
          <w:bCs/>
          <w:sz w:val="24"/>
          <w:szCs w:val="24"/>
        </w:rPr>
        <w:t>在符合有关基金分红条件的前提下，本基金管理人可以根据实际情况进行收益分配，具体分配方案以公告为准，</w:t>
      </w:r>
      <w:r>
        <w:rPr>
          <w:rFonts w:ascii="宋体" w:hAnsi="宋体"/>
          <w:bCs/>
          <w:sz w:val="24"/>
          <w:szCs w:val="24"/>
        </w:rPr>
        <w:t>若《基金合同》生效不满3个月可不进行收益分配；</w:t>
      </w:r>
    </w:p>
    <w:p w14:paraId="1111F1FF">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r>
        <w:rPr>
          <w:rFonts w:ascii="宋体" w:hAnsi="宋体"/>
          <w:bCs/>
          <w:sz w:val="24"/>
          <w:szCs w:val="24"/>
        </w:rPr>
        <w:t>；</w:t>
      </w:r>
    </w:p>
    <w:p w14:paraId="070EC9F7">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、基金收益分配后任一类基金份额净值不能低于面值；即基金收益分配基准日的任一类基金份额净值减去该类每单位基金份额收益分配金额后不能低于面值；</w:t>
      </w:r>
    </w:p>
    <w:p w14:paraId="4EE916B4">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本基金同一基金份额类别的每一基金份额享有同等分配权</w:t>
      </w:r>
      <w:r>
        <w:rPr>
          <w:rFonts w:ascii="宋体" w:hAnsi="宋体"/>
          <w:bCs/>
          <w:sz w:val="24"/>
          <w:szCs w:val="24"/>
        </w:rPr>
        <w:t>；</w:t>
      </w:r>
    </w:p>
    <w:p w14:paraId="0E74AC4E">
      <w:pPr>
        <w:adjustRightInd w:val="0"/>
        <w:snapToGrid w:val="0"/>
        <w:spacing w:line="360" w:lineRule="auto"/>
        <w:ind w:firstLine="480" w:firstLineChars="200"/>
        <w:rPr>
          <w:rFonts w:ascii="宋体" w:hAnsi="宋体"/>
          <w:bCs/>
          <w:sz w:val="24"/>
          <w:szCs w:val="24"/>
        </w:rPr>
      </w:pPr>
      <w:r>
        <w:rPr>
          <w:rFonts w:ascii="宋体" w:hAnsi="宋体"/>
          <w:bCs/>
          <w:sz w:val="24"/>
          <w:szCs w:val="24"/>
        </w:rPr>
        <w:t>6、法律法规或监管</w:t>
      </w:r>
      <w:r>
        <w:rPr>
          <w:rFonts w:hint="eastAsia" w:ascii="宋体" w:hAnsi="宋体"/>
          <w:bCs/>
          <w:sz w:val="24"/>
          <w:szCs w:val="24"/>
        </w:rPr>
        <w:t>机</w:t>
      </w:r>
      <w:r>
        <w:rPr>
          <w:rFonts w:ascii="宋体" w:hAnsi="宋体"/>
          <w:bCs/>
          <w:sz w:val="24"/>
          <w:szCs w:val="24"/>
        </w:rPr>
        <w:t>关另有规定的，从其规定。</w:t>
      </w:r>
    </w:p>
    <w:bookmarkEnd w:id="84"/>
    <w:bookmarkEnd w:id="85"/>
    <w:p w14:paraId="49E7DB4E">
      <w:pPr>
        <w:snapToGrid w:val="0"/>
        <w:spacing w:line="360" w:lineRule="auto"/>
        <w:ind w:firstLine="482" w:firstLineChars="200"/>
        <w:rPr>
          <w:b/>
          <w:sz w:val="24"/>
        </w:rPr>
      </w:pPr>
      <w:r>
        <w:rPr>
          <w:rFonts w:hAnsi="宋体"/>
          <w:b/>
          <w:sz w:val="24"/>
        </w:rPr>
        <w:t>（四）收益分配方案</w:t>
      </w:r>
    </w:p>
    <w:p w14:paraId="1E2E3D03">
      <w:pPr>
        <w:adjustRightInd w:val="0"/>
        <w:snapToGrid w:val="0"/>
        <w:spacing w:line="360" w:lineRule="auto"/>
        <w:ind w:firstLine="480" w:firstLineChars="200"/>
        <w:rPr>
          <w:rFonts w:hAnsi="宋体"/>
          <w:sz w:val="24"/>
        </w:rPr>
      </w:pPr>
      <w:r>
        <w:rPr>
          <w:rFonts w:hAnsi="宋体"/>
          <w:sz w:val="24"/>
        </w:rPr>
        <w:t>基金收益分配方案中应载明截止收益分配基准日的可供分配利润、基金收益分配对象、分配时间、分配数额及比例、分配方式等内容。</w:t>
      </w:r>
    </w:p>
    <w:p w14:paraId="31F9A5EA">
      <w:pPr>
        <w:adjustRightInd w:val="0"/>
        <w:snapToGrid w:val="0"/>
        <w:spacing w:line="360" w:lineRule="auto"/>
        <w:ind w:firstLine="482" w:firstLineChars="200"/>
        <w:rPr>
          <w:b/>
          <w:sz w:val="24"/>
        </w:rPr>
      </w:pPr>
      <w:r>
        <w:rPr>
          <w:rFonts w:hAnsi="宋体"/>
          <w:b/>
          <w:sz w:val="24"/>
        </w:rPr>
        <w:t>（五）收益分配方案的确定、公告与实施</w:t>
      </w:r>
    </w:p>
    <w:p w14:paraId="5C64F8A9">
      <w:pPr>
        <w:adjustRightInd w:val="0"/>
        <w:snapToGrid w:val="0"/>
        <w:spacing w:line="360" w:lineRule="auto"/>
        <w:ind w:firstLine="480" w:firstLineChars="200"/>
        <w:rPr>
          <w:bCs/>
          <w:sz w:val="24"/>
        </w:rPr>
      </w:pPr>
      <w:r>
        <w:rPr>
          <w:rFonts w:hint="eastAsia"/>
          <w:bCs/>
          <w:sz w:val="24"/>
        </w:rPr>
        <w:t>本基金收益分配方案由基金管理人拟定，并由基金托管人复核，依照《信息披露办法》的规定在规定媒介公告。</w:t>
      </w:r>
    </w:p>
    <w:p w14:paraId="56617D71">
      <w:pPr>
        <w:adjustRightInd w:val="0"/>
        <w:snapToGrid w:val="0"/>
        <w:spacing w:line="360" w:lineRule="auto"/>
        <w:ind w:firstLine="480" w:firstLineChars="200"/>
        <w:rPr>
          <w:rFonts w:ascii="宋体" w:hAnsi="宋体"/>
          <w:sz w:val="24"/>
        </w:rPr>
      </w:pPr>
      <w:r>
        <w:rPr>
          <w:rFonts w:hint="eastAsia"/>
          <w:bCs/>
          <w:sz w:val="24"/>
        </w:rPr>
        <w:t>法律法规或监管机关另有规定的，从其规定。</w:t>
      </w:r>
    </w:p>
    <w:p w14:paraId="5E257AEC">
      <w:pPr>
        <w:adjustRightInd w:val="0"/>
        <w:snapToGrid w:val="0"/>
        <w:spacing w:line="360" w:lineRule="auto"/>
        <w:ind w:firstLine="482" w:firstLineChars="200"/>
        <w:rPr>
          <w:b/>
          <w:sz w:val="24"/>
        </w:rPr>
      </w:pPr>
      <w:r>
        <w:rPr>
          <w:b/>
          <w:sz w:val="24"/>
        </w:rPr>
        <w:t>（六）基金收益分配中发生的费用</w:t>
      </w:r>
    </w:p>
    <w:p w14:paraId="6AC18D09">
      <w:pPr>
        <w:adjustRightInd w:val="0"/>
        <w:snapToGrid w:val="0"/>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70DF394">
      <w:pPr>
        <w:adjustRightInd w:val="0"/>
        <w:snapToGrid w:val="0"/>
        <w:spacing w:line="360" w:lineRule="auto"/>
        <w:ind w:firstLine="482" w:firstLineChars="200"/>
        <w:rPr>
          <w:b/>
          <w:sz w:val="24"/>
        </w:rPr>
      </w:pPr>
      <w:r>
        <w:rPr>
          <w:b/>
          <w:sz w:val="24"/>
        </w:rPr>
        <w:t>（七）收益分配方式的修改</w:t>
      </w:r>
    </w:p>
    <w:p w14:paraId="472923FB">
      <w:pPr>
        <w:adjustRightInd w:val="0"/>
        <w:snapToGrid w:val="0"/>
        <w:spacing w:line="360" w:lineRule="auto"/>
        <w:ind w:firstLine="480" w:firstLineChars="200"/>
        <w:rPr>
          <w:sz w:val="24"/>
        </w:rPr>
      </w:pPr>
      <w:r>
        <w:rPr>
          <w:sz w:val="24"/>
        </w:rPr>
        <w:t>投资人可至销售机构办理收益分配方式的修改，投资人对本基金不同的交易账户可设置不同的收益分配方式。</w:t>
      </w:r>
    </w:p>
    <w:p w14:paraId="2E524483">
      <w:pPr>
        <w:adjustRightInd w:val="0"/>
        <w:snapToGrid w:val="0"/>
        <w:spacing w:line="360" w:lineRule="auto"/>
        <w:ind w:firstLine="480" w:firstLineChars="20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14:paraId="72E08460">
      <w:pPr>
        <w:adjustRightInd w:val="0"/>
        <w:snapToGrid w:val="0"/>
        <w:spacing w:line="360" w:lineRule="auto"/>
        <w:ind w:firstLine="482" w:firstLineChars="200"/>
        <w:rPr>
          <w:b/>
          <w:sz w:val="24"/>
        </w:rPr>
      </w:pPr>
      <w:r>
        <w:rPr>
          <w:rFonts w:hint="eastAsia"/>
          <w:b/>
          <w:sz w:val="24"/>
        </w:rPr>
        <w:t>（八</w:t>
      </w:r>
      <w:r>
        <w:rPr>
          <w:b/>
          <w:sz w:val="24"/>
        </w:rPr>
        <w:t>）</w:t>
      </w:r>
      <w:r>
        <w:rPr>
          <w:rFonts w:hint="eastAsia"/>
          <w:b/>
          <w:sz w:val="24"/>
        </w:rPr>
        <w:t>实施侧袋机制期间的收益分配</w:t>
      </w:r>
    </w:p>
    <w:p w14:paraId="5B812E2C">
      <w:pPr>
        <w:adjustRightInd w:val="0"/>
        <w:snapToGrid w:val="0"/>
        <w:spacing w:line="360" w:lineRule="auto"/>
        <w:ind w:firstLine="480" w:firstLineChars="200"/>
        <w:rPr>
          <w:sz w:val="24"/>
        </w:rPr>
      </w:pPr>
      <w:r>
        <w:rPr>
          <w:rFonts w:hint="eastAsia"/>
          <w:sz w:val="24"/>
        </w:rPr>
        <w:t>本基金实施侧袋机制的，侧袋账户不进行收益分配。</w:t>
      </w:r>
      <w:bookmarkEnd w:id="77"/>
    </w:p>
    <w:p w14:paraId="019C5EB2">
      <w:pPr>
        <w:widowControl/>
        <w:adjustRightInd w:val="0"/>
        <w:snapToGrid w:val="0"/>
        <w:spacing w:line="360" w:lineRule="auto"/>
        <w:ind w:firstLine="200"/>
        <w:rPr>
          <w:rFonts w:ascii="宋体" w:hAnsi="宋体"/>
          <w:kern w:val="0"/>
          <w:sz w:val="24"/>
        </w:rPr>
      </w:pPr>
    </w:p>
    <w:p w14:paraId="5EE4EC4D">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End w:id="78"/>
      <w:bookmarkStart w:id="86" w:name="_Toc50983781"/>
      <w:bookmarkStart w:id="87" w:name="_Hlk209967498"/>
      <w:bookmarkStart w:id="88" w:name="_Hlk120807079"/>
      <w:r>
        <w:rPr>
          <w:rFonts w:hint="eastAsia" w:ascii="宋体" w:hAnsi="宋体"/>
          <w:b/>
          <w:kern w:val="0"/>
          <w:sz w:val="30"/>
        </w:rPr>
        <w:t>十三、基金的费用与税收</w:t>
      </w:r>
      <w:bookmarkEnd w:id="86"/>
    </w:p>
    <w:p w14:paraId="72F537C1">
      <w:pPr>
        <w:adjustRightInd w:val="0"/>
        <w:snapToGrid w:val="0"/>
        <w:spacing w:line="360" w:lineRule="auto"/>
        <w:ind w:firstLine="482" w:firstLineChars="200"/>
        <w:rPr>
          <w:i/>
          <w:sz w:val="24"/>
          <w:u w:val="single"/>
        </w:rPr>
      </w:pPr>
      <w:r>
        <w:rPr>
          <w:rFonts w:hAnsi="宋体"/>
          <w:b/>
          <w:sz w:val="24"/>
        </w:rPr>
        <w:t>（一）基金费用的种类</w:t>
      </w:r>
    </w:p>
    <w:p w14:paraId="60DC0B12">
      <w:pPr>
        <w:adjustRightInd w:val="0"/>
        <w:snapToGrid w:val="0"/>
        <w:spacing w:line="360" w:lineRule="auto"/>
        <w:ind w:firstLine="480" w:firstLineChars="200"/>
        <w:rPr>
          <w:sz w:val="24"/>
        </w:rPr>
      </w:pPr>
      <w:r>
        <w:rPr>
          <w:sz w:val="24"/>
        </w:rPr>
        <w:t>1、基金管理人的管理费；</w:t>
      </w:r>
    </w:p>
    <w:p w14:paraId="52600209">
      <w:pPr>
        <w:adjustRightInd w:val="0"/>
        <w:snapToGrid w:val="0"/>
        <w:spacing w:line="360" w:lineRule="auto"/>
        <w:ind w:firstLine="480" w:firstLineChars="200"/>
        <w:rPr>
          <w:sz w:val="24"/>
        </w:rPr>
      </w:pPr>
      <w:r>
        <w:rPr>
          <w:rFonts w:hint="eastAsia"/>
          <w:sz w:val="24"/>
        </w:rPr>
        <w:t>2、基金托管人的托管费；</w:t>
      </w:r>
    </w:p>
    <w:p w14:paraId="59126131">
      <w:pPr>
        <w:adjustRightInd w:val="0"/>
        <w:snapToGrid w:val="0"/>
        <w:spacing w:line="360" w:lineRule="auto"/>
        <w:ind w:firstLine="480" w:firstLineChars="200"/>
        <w:rPr>
          <w:sz w:val="24"/>
        </w:rPr>
      </w:pPr>
      <w:r>
        <w:rPr>
          <w:rFonts w:hint="eastAsia"/>
          <w:sz w:val="24"/>
        </w:rPr>
        <w:t>3、《基金合同》生效后与基金相关的信息披露费用；</w:t>
      </w:r>
    </w:p>
    <w:p w14:paraId="5D34A90C">
      <w:pPr>
        <w:adjustRightInd w:val="0"/>
        <w:snapToGrid w:val="0"/>
        <w:spacing w:line="360" w:lineRule="auto"/>
        <w:ind w:firstLine="480" w:firstLineChars="200"/>
        <w:rPr>
          <w:sz w:val="24"/>
        </w:rPr>
      </w:pPr>
      <w:r>
        <w:rPr>
          <w:rFonts w:hint="eastAsia"/>
          <w:sz w:val="24"/>
        </w:rPr>
        <w:t>4、《基金合同》生效后与基金相关的会计师费、律师费</w:t>
      </w:r>
      <w:r>
        <w:rPr>
          <w:rFonts w:hint="eastAsia"/>
          <w:bCs/>
          <w:sz w:val="24"/>
        </w:rPr>
        <w:t>、仲裁费</w:t>
      </w:r>
      <w:r>
        <w:rPr>
          <w:rFonts w:hint="eastAsia"/>
          <w:sz w:val="24"/>
        </w:rPr>
        <w:t>和诉讼费；</w:t>
      </w:r>
    </w:p>
    <w:p w14:paraId="213BA67B">
      <w:pPr>
        <w:adjustRightInd w:val="0"/>
        <w:snapToGrid w:val="0"/>
        <w:spacing w:line="360" w:lineRule="auto"/>
        <w:ind w:firstLine="480" w:firstLineChars="200"/>
        <w:rPr>
          <w:sz w:val="24"/>
        </w:rPr>
      </w:pPr>
      <w:r>
        <w:rPr>
          <w:rFonts w:hint="eastAsia"/>
          <w:sz w:val="24"/>
        </w:rPr>
        <w:t>5、基金份额持有人大会费用；</w:t>
      </w:r>
    </w:p>
    <w:p w14:paraId="51758C91">
      <w:pPr>
        <w:adjustRightInd w:val="0"/>
        <w:snapToGrid w:val="0"/>
        <w:spacing w:line="360" w:lineRule="auto"/>
        <w:ind w:firstLine="480" w:firstLineChars="200"/>
        <w:rPr>
          <w:sz w:val="24"/>
        </w:rPr>
      </w:pPr>
      <w:r>
        <w:rPr>
          <w:rFonts w:hint="eastAsia"/>
          <w:sz w:val="24"/>
        </w:rPr>
        <w:t>6、基金的证券、期货交易费用；</w:t>
      </w:r>
    </w:p>
    <w:p w14:paraId="014A9B97">
      <w:pPr>
        <w:adjustRightInd w:val="0"/>
        <w:snapToGrid w:val="0"/>
        <w:spacing w:line="360" w:lineRule="auto"/>
        <w:ind w:firstLine="480" w:firstLineChars="200"/>
        <w:rPr>
          <w:sz w:val="24"/>
        </w:rPr>
      </w:pPr>
      <w:r>
        <w:rPr>
          <w:rFonts w:hint="eastAsia"/>
          <w:sz w:val="24"/>
        </w:rPr>
        <w:t>7、基金的银行汇划费用；</w:t>
      </w:r>
    </w:p>
    <w:p w14:paraId="3B9FD327">
      <w:pPr>
        <w:adjustRightInd w:val="0"/>
        <w:snapToGrid w:val="0"/>
        <w:spacing w:line="360" w:lineRule="auto"/>
        <w:ind w:firstLine="480" w:firstLineChars="200"/>
        <w:rPr>
          <w:sz w:val="24"/>
        </w:rPr>
      </w:pPr>
      <w:r>
        <w:rPr>
          <w:rFonts w:hint="eastAsia"/>
          <w:sz w:val="24"/>
        </w:rPr>
        <w:t>8、基金的开户费用、账户维护费用；</w:t>
      </w:r>
    </w:p>
    <w:p w14:paraId="7437239D">
      <w:pPr>
        <w:adjustRightInd w:val="0"/>
        <w:snapToGrid w:val="0"/>
        <w:spacing w:line="360" w:lineRule="auto"/>
        <w:ind w:firstLine="480" w:firstLineChars="200"/>
        <w:rPr>
          <w:bCs/>
          <w:sz w:val="24"/>
        </w:rPr>
      </w:pPr>
      <w:r>
        <w:rPr>
          <w:rFonts w:hint="eastAsia"/>
          <w:bCs/>
          <w:sz w:val="24"/>
        </w:rPr>
        <w:t>9</w:t>
      </w:r>
      <w:r>
        <w:rPr>
          <w:bCs/>
          <w:sz w:val="24"/>
        </w:rPr>
        <w:t>、</w:t>
      </w:r>
      <w:r>
        <w:rPr>
          <w:rFonts w:hint="eastAsia"/>
          <w:bCs/>
          <w:sz w:val="24"/>
        </w:rPr>
        <w:t>因投资港股通标的股票而产生的各项合理费用；</w:t>
      </w:r>
    </w:p>
    <w:p w14:paraId="537E7247">
      <w:pPr>
        <w:adjustRightInd w:val="0"/>
        <w:snapToGrid w:val="0"/>
        <w:spacing w:line="360" w:lineRule="auto"/>
        <w:ind w:firstLine="480" w:firstLineChars="200"/>
        <w:rPr>
          <w:sz w:val="24"/>
        </w:rPr>
      </w:pPr>
      <w:r>
        <w:rPr>
          <w:rFonts w:hint="eastAsia"/>
          <w:sz w:val="24"/>
        </w:rPr>
        <w:t>10、本基金从C类基金份额的基金财产中计提的销售服务费；</w:t>
      </w:r>
    </w:p>
    <w:p w14:paraId="60778CBC">
      <w:pPr>
        <w:adjustRightInd w:val="0"/>
        <w:snapToGrid w:val="0"/>
        <w:spacing w:line="360" w:lineRule="auto"/>
        <w:ind w:firstLine="480" w:firstLineChars="200"/>
        <w:rPr>
          <w:sz w:val="24"/>
        </w:rPr>
      </w:pPr>
      <w:r>
        <w:rPr>
          <w:sz w:val="24"/>
        </w:rPr>
        <w:t>11</w:t>
      </w:r>
      <w:r>
        <w:rPr>
          <w:rFonts w:hint="eastAsia"/>
          <w:sz w:val="24"/>
        </w:rPr>
        <w:t>、本基金投资其他基金产生的其他基金的销售费用（如申购费、赎回费、销售服务费等），但法律法规禁止从基金财产中列支的除外；</w:t>
      </w:r>
    </w:p>
    <w:p w14:paraId="3FBE9765">
      <w:pPr>
        <w:adjustRightInd w:val="0"/>
        <w:snapToGrid w:val="0"/>
        <w:spacing w:line="360" w:lineRule="auto"/>
        <w:ind w:firstLine="480" w:firstLineChars="200"/>
        <w:rPr>
          <w:sz w:val="24"/>
        </w:rPr>
      </w:pPr>
      <w:r>
        <w:rPr>
          <w:rFonts w:hint="eastAsia"/>
          <w:sz w:val="24"/>
        </w:rPr>
        <w:t>12、按照国家有关规定和《基金合同》约定，可以在基金财产中列支的其他费用。</w:t>
      </w:r>
    </w:p>
    <w:p w14:paraId="1B4C66E4">
      <w:pPr>
        <w:adjustRightInd w:val="0"/>
        <w:snapToGrid w:val="0"/>
        <w:spacing w:line="360" w:lineRule="auto"/>
        <w:ind w:firstLine="482"/>
        <w:rPr>
          <w:b/>
          <w:bCs/>
          <w:sz w:val="24"/>
        </w:rPr>
      </w:pPr>
      <w:r>
        <w:rPr>
          <w:b/>
          <w:bCs/>
          <w:sz w:val="24"/>
        </w:rPr>
        <w:t>（二）基金费用计提方法、计提标准和支付方式</w:t>
      </w:r>
    </w:p>
    <w:p w14:paraId="2B764AEC">
      <w:pPr>
        <w:adjustRightInd w:val="0"/>
        <w:snapToGrid w:val="0"/>
        <w:spacing w:line="360" w:lineRule="auto"/>
        <w:ind w:firstLine="480" w:firstLineChars="200"/>
        <w:rPr>
          <w:sz w:val="24"/>
        </w:rPr>
      </w:pPr>
      <w:r>
        <w:rPr>
          <w:rFonts w:hint="eastAsia"/>
          <w:sz w:val="24"/>
        </w:rPr>
        <w:t>1、与基金运作有关的费用</w:t>
      </w:r>
    </w:p>
    <w:p w14:paraId="4F5AB583">
      <w:pPr>
        <w:adjustRightInd w:val="0"/>
        <w:snapToGrid w:val="0"/>
        <w:spacing w:line="360" w:lineRule="auto"/>
        <w:ind w:firstLine="480" w:firstLineChars="200"/>
        <w:rPr>
          <w:sz w:val="24"/>
        </w:rPr>
      </w:pPr>
      <w:r>
        <w:rPr>
          <w:rFonts w:hint="eastAsia"/>
          <w:sz w:val="24"/>
        </w:rPr>
        <w:t>（1）基金管理人的管理费</w:t>
      </w:r>
    </w:p>
    <w:p w14:paraId="4635704A">
      <w:pPr>
        <w:adjustRightInd w:val="0"/>
        <w:snapToGrid w:val="0"/>
        <w:spacing w:line="360" w:lineRule="auto"/>
        <w:ind w:firstLine="480" w:firstLineChars="200"/>
        <w:rPr>
          <w:sz w:val="24"/>
        </w:rPr>
      </w:pPr>
      <w:r>
        <w:rPr>
          <w:rFonts w:hint="eastAsia"/>
          <w:sz w:val="24"/>
        </w:rPr>
        <w:t>本基金基金财产中持有的基金管理人自身管理的基金部分不收取管理费。本基金的管理费按前一日基金资产净值扣除基金财产中持有的基金管理人自身管理的基金部分所对应资产后剩余部分的0.5%年费率计提。管理费的计算方法如下：</w:t>
      </w:r>
    </w:p>
    <w:p w14:paraId="38A9A42F">
      <w:pPr>
        <w:adjustRightInd w:val="0"/>
        <w:snapToGrid w:val="0"/>
        <w:spacing w:line="360" w:lineRule="auto"/>
        <w:ind w:firstLine="480" w:firstLineChars="200"/>
        <w:rPr>
          <w:sz w:val="24"/>
        </w:rPr>
      </w:pPr>
      <w:r>
        <w:rPr>
          <w:rFonts w:hint="eastAsia"/>
          <w:sz w:val="24"/>
        </w:rPr>
        <w:t>H＝E×0.5%÷当年天数</w:t>
      </w:r>
    </w:p>
    <w:p w14:paraId="0779B2AC">
      <w:pPr>
        <w:adjustRightInd w:val="0"/>
        <w:snapToGrid w:val="0"/>
        <w:spacing w:line="360" w:lineRule="auto"/>
        <w:ind w:firstLine="480" w:firstLineChars="200"/>
        <w:rPr>
          <w:sz w:val="24"/>
        </w:rPr>
      </w:pPr>
      <w:r>
        <w:rPr>
          <w:rFonts w:hint="eastAsia"/>
          <w:sz w:val="24"/>
        </w:rPr>
        <w:t>H为每日应计提的基金管理费</w:t>
      </w:r>
    </w:p>
    <w:p w14:paraId="56A24C8A">
      <w:pPr>
        <w:adjustRightInd w:val="0"/>
        <w:snapToGrid w:val="0"/>
        <w:spacing w:line="360" w:lineRule="auto"/>
        <w:ind w:firstLine="480" w:firstLineChars="200"/>
        <w:rPr>
          <w:sz w:val="24"/>
        </w:rPr>
      </w:pPr>
      <w:r>
        <w:rPr>
          <w:rFonts w:hint="eastAsia"/>
          <w:sz w:val="24"/>
        </w:rPr>
        <w:t>E为前一日的基金资产净值扣除基金财产中持有的基金管理人自身管理的基金部分所对应资产后剩余部分，若为负数，则E取0。</w:t>
      </w:r>
    </w:p>
    <w:p w14:paraId="20C2682E">
      <w:pPr>
        <w:adjustRightInd w:val="0"/>
        <w:snapToGrid w:val="0"/>
        <w:spacing w:line="360" w:lineRule="auto"/>
        <w:ind w:firstLine="480" w:firstLineChars="200"/>
        <w:rPr>
          <w:sz w:val="24"/>
        </w:rPr>
      </w:pPr>
      <w:r>
        <w:rPr>
          <w:rFonts w:hint="eastAsia"/>
          <w:bCs/>
          <w:sz w:val="24"/>
        </w:rPr>
        <w:t>基金管理费每日计提，逐日累计至每月月末，按月支付。由基金管理人向基金托管人发送基金管理费划付指令，经基金托管人复核无误后于次月首日起5个工作日内从基金财产中一次性支付给基金管理人。若遇法定节假日、休息日或不可抗力致使无法按时支付的，顺延至最近可支付日支付。</w:t>
      </w:r>
    </w:p>
    <w:p w14:paraId="56CC4EF0">
      <w:pPr>
        <w:adjustRightInd w:val="0"/>
        <w:snapToGrid w:val="0"/>
        <w:spacing w:line="360" w:lineRule="auto"/>
        <w:ind w:firstLine="480" w:firstLineChars="200"/>
        <w:rPr>
          <w:sz w:val="24"/>
        </w:rPr>
      </w:pPr>
      <w:r>
        <w:rPr>
          <w:rFonts w:hint="eastAsia"/>
          <w:sz w:val="24"/>
        </w:rPr>
        <w:t>（2）基金托管人的托管费</w:t>
      </w:r>
    </w:p>
    <w:p w14:paraId="49211ED3">
      <w:pPr>
        <w:adjustRightInd w:val="0"/>
        <w:snapToGrid w:val="0"/>
        <w:spacing w:line="360" w:lineRule="auto"/>
        <w:ind w:firstLine="480" w:firstLineChars="200"/>
        <w:rPr>
          <w:sz w:val="24"/>
        </w:rPr>
      </w:pPr>
      <w:r>
        <w:rPr>
          <w:rFonts w:hint="eastAsia"/>
          <w:sz w:val="24"/>
        </w:rPr>
        <w:t>本基金基金财产中持有的基金托管人自身托管的基金部分不收取托管费。本基金的托管费按前一日基金资产净值扣除基金财产中持有的基金托管人自身托管的基金部分所对应资产后剩余部分的0.1%的年费率计提。托管费的计算方法如下：</w:t>
      </w:r>
    </w:p>
    <w:p w14:paraId="43C553F1">
      <w:pPr>
        <w:adjustRightInd w:val="0"/>
        <w:snapToGrid w:val="0"/>
        <w:spacing w:line="360" w:lineRule="auto"/>
        <w:ind w:firstLine="480" w:firstLineChars="200"/>
        <w:rPr>
          <w:sz w:val="24"/>
        </w:rPr>
      </w:pPr>
      <w:r>
        <w:rPr>
          <w:rFonts w:hint="eastAsia"/>
          <w:sz w:val="24"/>
        </w:rPr>
        <w:t>H＝E×0.1%÷当年天数</w:t>
      </w:r>
    </w:p>
    <w:p w14:paraId="1B50E2E9">
      <w:pPr>
        <w:adjustRightInd w:val="0"/>
        <w:snapToGrid w:val="0"/>
        <w:spacing w:line="360" w:lineRule="auto"/>
        <w:ind w:firstLine="480" w:firstLineChars="200"/>
        <w:rPr>
          <w:sz w:val="24"/>
        </w:rPr>
      </w:pPr>
      <w:r>
        <w:rPr>
          <w:rFonts w:hint="eastAsia"/>
          <w:sz w:val="24"/>
        </w:rPr>
        <w:t>H为每日应计提的基金托管费</w:t>
      </w:r>
    </w:p>
    <w:p w14:paraId="2DDD8FCA">
      <w:pPr>
        <w:adjustRightInd w:val="0"/>
        <w:snapToGrid w:val="0"/>
        <w:spacing w:line="360" w:lineRule="auto"/>
        <w:ind w:firstLine="480" w:firstLineChars="200"/>
        <w:rPr>
          <w:sz w:val="24"/>
        </w:rPr>
      </w:pPr>
      <w:r>
        <w:rPr>
          <w:rFonts w:hint="eastAsia"/>
          <w:sz w:val="24"/>
        </w:rPr>
        <w:t>E为前一日的基金资产净值扣除基金财产中持有的基金托管人自身托管的基金部分所对应资产后剩余部分，若为负数，则E取0。</w:t>
      </w:r>
    </w:p>
    <w:p w14:paraId="286B33AE">
      <w:pPr>
        <w:adjustRightInd w:val="0"/>
        <w:snapToGrid w:val="0"/>
        <w:spacing w:line="360" w:lineRule="auto"/>
        <w:ind w:firstLine="480" w:firstLineChars="200"/>
        <w:rPr>
          <w:sz w:val="24"/>
        </w:rPr>
      </w:pPr>
      <w:r>
        <w:rPr>
          <w:rFonts w:hint="eastAsia"/>
          <w:bCs/>
          <w:sz w:val="24"/>
        </w:rPr>
        <w:t>基金托管费每日计提，逐日累计至每月月末，按月支付。由基金管理人向基金托管人发送基金托管费划付指令，经基金托管人复核无误后于次月首日起5个工作日内从基金</w:t>
      </w:r>
      <w:r>
        <w:rPr>
          <w:bCs/>
          <w:sz w:val="24"/>
        </w:rPr>
        <w:t>财</w:t>
      </w:r>
      <w:r>
        <w:rPr>
          <w:rFonts w:hint="eastAsia"/>
          <w:bCs/>
          <w:sz w:val="24"/>
        </w:rPr>
        <w:t>产中一次性支付给基金托管人。若遇法定节假日、休息日或不可抗力致使无法按时支付的，顺延至最近可支付日支付。</w:t>
      </w:r>
    </w:p>
    <w:p w14:paraId="058B00EE">
      <w:pPr>
        <w:adjustRightInd w:val="0"/>
        <w:snapToGrid w:val="0"/>
        <w:spacing w:line="360" w:lineRule="auto"/>
        <w:ind w:firstLine="480" w:firstLineChars="200"/>
        <w:rPr>
          <w:sz w:val="24"/>
        </w:rPr>
      </w:pPr>
      <w:r>
        <w:rPr>
          <w:rFonts w:hint="eastAsia"/>
          <w:sz w:val="24"/>
        </w:rPr>
        <w:t>（3）C类基金份额的销售服务费</w:t>
      </w:r>
    </w:p>
    <w:p w14:paraId="4A0EF7F6">
      <w:pPr>
        <w:adjustRightInd w:val="0"/>
        <w:snapToGrid w:val="0"/>
        <w:spacing w:line="360" w:lineRule="auto"/>
        <w:ind w:firstLine="480" w:firstLineChars="200"/>
        <w:rPr>
          <w:sz w:val="24"/>
        </w:rPr>
      </w:pPr>
      <w:r>
        <w:rPr>
          <w:rFonts w:hint="eastAsia"/>
          <w:sz w:val="24"/>
        </w:rPr>
        <w:t>本基金A类基金份额不收取销售服务费，C类基金份额的销售服务费按前一日C类基金份额的基金资产净值的0.</w:t>
      </w:r>
      <w:r>
        <w:rPr>
          <w:rFonts w:hint="eastAsia"/>
          <w:sz w:val="24"/>
          <w:lang w:val="en-US" w:eastAsia="zh-CN"/>
        </w:rPr>
        <w:t>2</w:t>
      </w:r>
      <w:r>
        <w:rPr>
          <w:rFonts w:hint="eastAsia"/>
          <w:sz w:val="24"/>
        </w:rPr>
        <w:t>%年费率计提。计算方法如下：</w:t>
      </w:r>
    </w:p>
    <w:p w14:paraId="401ECE9C">
      <w:pPr>
        <w:adjustRightInd w:val="0"/>
        <w:snapToGrid w:val="0"/>
        <w:spacing w:line="360" w:lineRule="auto"/>
        <w:ind w:firstLine="480" w:firstLineChars="200"/>
        <w:rPr>
          <w:sz w:val="24"/>
        </w:rPr>
      </w:pPr>
      <w:r>
        <w:rPr>
          <w:rFonts w:hint="eastAsia"/>
          <w:sz w:val="24"/>
        </w:rPr>
        <w:t>H＝E×0.</w:t>
      </w:r>
      <w:r>
        <w:rPr>
          <w:rFonts w:hint="eastAsia"/>
          <w:sz w:val="24"/>
          <w:lang w:val="en-US" w:eastAsia="zh-CN"/>
        </w:rPr>
        <w:t>2</w:t>
      </w:r>
      <w:r>
        <w:rPr>
          <w:rFonts w:hint="eastAsia"/>
          <w:sz w:val="24"/>
        </w:rPr>
        <w:t>%÷当年天数</w:t>
      </w:r>
    </w:p>
    <w:p w14:paraId="27E56479">
      <w:pPr>
        <w:adjustRightInd w:val="0"/>
        <w:snapToGrid w:val="0"/>
        <w:spacing w:line="360" w:lineRule="auto"/>
        <w:ind w:firstLine="480" w:firstLineChars="200"/>
        <w:rPr>
          <w:sz w:val="24"/>
        </w:rPr>
      </w:pPr>
      <w:r>
        <w:rPr>
          <w:rFonts w:hint="eastAsia"/>
          <w:sz w:val="24"/>
        </w:rPr>
        <w:t>H为C类基金份额每日应计提的销售服务费</w:t>
      </w:r>
    </w:p>
    <w:p w14:paraId="725E66D3">
      <w:pPr>
        <w:adjustRightInd w:val="0"/>
        <w:snapToGrid w:val="0"/>
        <w:spacing w:line="360" w:lineRule="auto"/>
        <w:ind w:firstLine="480" w:firstLineChars="200"/>
        <w:rPr>
          <w:sz w:val="24"/>
        </w:rPr>
      </w:pPr>
      <w:r>
        <w:rPr>
          <w:rFonts w:hint="eastAsia"/>
          <w:sz w:val="24"/>
        </w:rPr>
        <w:t>E为C类基金份额前一日基金资产净值</w:t>
      </w:r>
    </w:p>
    <w:p w14:paraId="7680A67E">
      <w:pPr>
        <w:adjustRightInd w:val="0"/>
        <w:snapToGrid w:val="0"/>
        <w:spacing w:line="360" w:lineRule="auto"/>
        <w:ind w:firstLine="480" w:firstLineChars="200"/>
        <w:rPr>
          <w:rFonts w:hint="eastAsia"/>
          <w:bCs/>
          <w:sz w:val="24"/>
        </w:rPr>
      </w:pPr>
      <w:r>
        <w:rPr>
          <w:rFonts w:hint="eastAsia"/>
          <w:bCs/>
          <w:sz w:val="24"/>
        </w:rPr>
        <w:t>C类基金份额的销售服务费具体收取/返还方式：</w:t>
      </w:r>
    </w:p>
    <w:p w14:paraId="3EFEC69F">
      <w:pPr>
        <w:adjustRightInd w:val="0"/>
        <w:snapToGrid w:val="0"/>
        <w:spacing w:line="360" w:lineRule="auto"/>
        <w:ind w:firstLine="480" w:firstLineChars="200"/>
        <w:rPr>
          <w:rFonts w:hint="eastAsia"/>
          <w:bCs/>
          <w:sz w:val="24"/>
        </w:rPr>
      </w:pPr>
      <w:r>
        <w:rPr>
          <w:rFonts w:hint="eastAsia"/>
          <w:bCs/>
          <w:sz w:val="24"/>
        </w:rPr>
        <w:t>（1）通过直销机构认购/申购的C类基金份额</w:t>
      </w:r>
    </w:p>
    <w:p w14:paraId="19144E87">
      <w:pPr>
        <w:adjustRightInd w:val="0"/>
        <w:snapToGrid w:val="0"/>
        <w:spacing w:line="360" w:lineRule="auto"/>
        <w:ind w:firstLine="480" w:firstLineChars="200"/>
        <w:rPr>
          <w:rFonts w:hint="eastAsia"/>
          <w:bCs/>
          <w:sz w:val="24"/>
        </w:rPr>
      </w:pPr>
      <w:r>
        <w:rPr>
          <w:rFonts w:hint="eastAsia"/>
          <w:bCs/>
          <w:sz w:val="24"/>
        </w:rPr>
        <w:t>对于C类基金份额计提的销售服务费，在投资人赎回基金份额或基金合同终止时随赎回款或清算款一并返还给投资人。</w:t>
      </w:r>
    </w:p>
    <w:p w14:paraId="40544EB7">
      <w:pPr>
        <w:adjustRightInd w:val="0"/>
        <w:snapToGrid w:val="0"/>
        <w:spacing w:line="360" w:lineRule="auto"/>
        <w:ind w:firstLine="480" w:firstLineChars="200"/>
        <w:rPr>
          <w:rFonts w:hint="eastAsia"/>
          <w:bCs/>
          <w:sz w:val="24"/>
        </w:rPr>
      </w:pPr>
      <w:r>
        <w:rPr>
          <w:rFonts w:hint="eastAsia"/>
          <w:bCs/>
          <w:sz w:val="24"/>
        </w:rPr>
        <w:t>（2）通过其他销售机构认购/申购的C类基金份额</w:t>
      </w:r>
    </w:p>
    <w:p w14:paraId="04648E29">
      <w:pPr>
        <w:adjustRightInd w:val="0"/>
        <w:snapToGrid w:val="0"/>
        <w:spacing w:line="360" w:lineRule="auto"/>
        <w:ind w:firstLine="480" w:firstLineChars="200"/>
        <w:rPr>
          <w:rFonts w:hint="eastAsia"/>
          <w:bCs/>
          <w:sz w:val="24"/>
        </w:rPr>
      </w:pPr>
      <w:r>
        <w:rPr>
          <w:rFonts w:hint="eastAsia"/>
          <w:bCs/>
          <w:sz w:val="24"/>
        </w:rPr>
        <w:t>对于投资人持续持有期限未超过一年的C类基金份额，销售服务费每日计提，逐日累计至每月月末，按月支付。由基金管理人与基金托管人核对一致后，由基金托管人按照与基金管理人协商一致的方式自动于次月首日起5个工作日内从基金财产中一次性支付给基金管理人，由基金管理人代付给销售机构，若遇法定节假日、休息日或不可抗力致使无法按时支付的，顺延至最近可支付日支付。</w:t>
      </w:r>
    </w:p>
    <w:p w14:paraId="6494715C">
      <w:pPr>
        <w:adjustRightInd w:val="0"/>
        <w:snapToGrid w:val="0"/>
        <w:spacing w:line="360" w:lineRule="auto"/>
        <w:ind w:firstLine="480" w:firstLineChars="200"/>
        <w:rPr>
          <w:rFonts w:hint="eastAsia"/>
          <w:bCs/>
          <w:sz w:val="24"/>
        </w:rPr>
      </w:pPr>
      <w:r>
        <w:rPr>
          <w:rFonts w:hint="eastAsia"/>
          <w:sz w:val="24"/>
        </w:rPr>
        <w:t>对于投资人持续持有期限超过一年的C类基金份额，持续持有超过一年后计提的销售服务费将在投资人赎回相应基金份额或基金合同终止时随赎回款或清算款一并返还给投资人。</w:t>
      </w:r>
    </w:p>
    <w:p w14:paraId="600CC971">
      <w:pPr>
        <w:adjustRightInd w:val="0"/>
        <w:snapToGrid w:val="0"/>
        <w:spacing w:line="360" w:lineRule="auto"/>
        <w:ind w:firstLine="480" w:firstLineChars="200"/>
        <w:rPr>
          <w:bCs/>
          <w:sz w:val="24"/>
        </w:rPr>
      </w:pPr>
      <w:r>
        <w:rPr>
          <w:rFonts w:hint="eastAsia"/>
          <w:sz w:val="24"/>
        </w:rPr>
        <w:t>C类基金份额的销售服务费将专门用于本基金的推广、销售与基金份额持有人服务。</w:t>
      </w:r>
    </w:p>
    <w:p w14:paraId="0E901588">
      <w:pPr>
        <w:adjustRightInd w:val="0"/>
        <w:snapToGrid w:val="0"/>
        <w:spacing w:line="360" w:lineRule="auto"/>
        <w:ind w:firstLine="480" w:firstLineChars="200"/>
        <w:rPr>
          <w:bCs/>
          <w:sz w:val="24"/>
        </w:rPr>
      </w:pPr>
      <w:r>
        <w:rPr>
          <w:rFonts w:hint="eastAsia"/>
          <w:bCs/>
          <w:sz w:val="24"/>
        </w:rPr>
        <w:t>（4）</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中第3－</w:t>
      </w:r>
      <w:r>
        <w:rPr>
          <w:rFonts w:hint="eastAsia"/>
          <w:bCs/>
          <w:sz w:val="24"/>
        </w:rPr>
        <w:t>9</w:t>
      </w:r>
      <w:r>
        <w:rPr>
          <w:bCs/>
          <w:sz w:val="24"/>
        </w:rPr>
        <w:t>项</w:t>
      </w:r>
      <w:r>
        <w:rPr>
          <w:rFonts w:hint="eastAsia"/>
          <w:bCs/>
          <w:sz w:val="24"/>
        </w:rPr>
        <w:t>、</w:t>
      </w:r>
      <w:r>
        <w:rPr>
          <w:bCs/>
          <w:sz w:val="24"/>
        </w:rPr>
        <w:t>第</w:t>
      </w:r>
      <w:r>
        <w:rPr>
          <w:rFonts w:hint="eastAsia"/>
          <w:bCs/>
          <w:sz w:val="24"/>
        </w:rPr>
        <w:t>11-</w:t>
      </w:r>
      <w:r>
        <w:rPr>
          <w:bCs/>
          <w:sz w:val="24"/>
        </w:rPr>
        <w:t>12项费用，根据有关法规及相应协议规定，按费用实际支出金额列入当期费用，由基金托管人从基金财产中支付。</w:t>
      </w:r>
    </w:p>
    <w:p w14:paraId="23E57478">
      <w:pPr>
        <w:adjustRightInd w:val="0"/>
        <w:snapToGrid w:val="0"/>
        <w:spacing w:line="360" w:lineRule="auto"/>
        <w:ind w:firstLine="480" w:firstLineChars="200"/>
        <w:rPr>
          <w:sz w:val="24"/>
        </w:rPr>
      </w:pPr>
      <w:r>
        <w:rPr>
          <w:rFonts w:hint="eastAsia"/>
          <w:sz w:val="24"/>
        </w:rPr>
        <w:t>（5）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14:paraId="3FE5428A">
      <w:pPr>
        <w:adjustRightInd w:val="0"/>
        <w:snapToGrid w:val="0"/>
        <w:spacing w:line="360" w:lineRule="auto"/>
        <w:ind w:firstLine="480" w:firstLineChars="200"/>
        <w:rPr>
          <w:bCs/>
          <w:sz w:val="24"/>
        </w:rPr>
      </w:pPr>
      <w:r>
        <w:rPr>
          <w:bCs/>
          <w:sz w:val="24"/>
        </w:rPr>
        <w:t>2、与基金销售有关的费用</w:t>
      </w:r>
    </w:p>
    <w:p w14:paraId="03E6F0ED">
      <w:pPr>
        <w:adjustRightInd w:val="0"/>
        <w:snapToGrid w:val="0"/>
        <w:spacing w:line="360" w:lineRule="auto"/>
        <w:ind w:firstLine="480" w:firstLineChars="200"/>
        <w:rPr>
          <w:bCs/>
          <w:sz w:val="24"/>
        </w:rPr>
      </w:pPr>
      <w:r>
        <w:rPr>
          <w:bCs/>
          <w:sz w:val="24"/>
        </w:rPr>
        <w:t>（1）申购费</w:t>
      </w:r>
    </w:p>
    <w:p w14:paraId="5DDDF6B7">
      <w:pPr>
        <w:adjustRightInd w:val="0"/>
        <w:snapToGrid w:val="0"/>
        <w:spacing w:line="360" w:lineRule="auto"/>
        <w:ind w:firstLine="480" w:firstLineChars="200"/>
        <w:rPr>
          <w:bCs/>
          <w:sz w:val="24"/>
        </w:rPr>
      </w:pPr>
      <w:r>
        <w:rPr>
          <w:bCs/>
          <w:sz w:val="24"/>
        </w:rPr>
        <w:t>本基金申购费的费率水平、计算公式和收取方式详见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14:paraId="05A07DFF">
      <w:pPr>
        <w:adjustRightInd w:val="0"/>
        <w:snapToGrid w:val="0"/>
        <w:spacing w:line="360" w:lineRule="auto"/>
        <w:ind w:firstLine="480" w:firstLineChars="200"/>
        <w:rPr>
          <w:bCs/>
          <w:sz w:val="24"/>
        </w:rPr>
      </w:pPr>
      <w:r>
        <w:rPr>
          <w:bCs/>
          <w:sz w:val="24"/>
        </w:rPr>
        <w:t>（2）赎回费</w:t>
      </w:r>
    </w:p>
    <w:p w14:paraId="0670F6DE">
      <w:pPr>
        <w:adjustRightInd w:val="0"/>
        <w:snapToGrid w:val="0"/>
        <w:spacing w:line="360" w:lineRule="auto"/>
        <w:ind w:firstLine="480" w:firstLineChars="200"/>
        <w:rPr>
          <w:bCs/>
          <w:sz w:val="24"/>
        </w:rPr>
      </w:pPr>
      <w:r>
        <w:rPr>
          <w:bCs/>
          <w:sz w:val="24"/>
        </w:rPr>
        <w:t>本基金赎回费的费率水平、计算公式和收取方式详见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14:paraId="6EA2B31E">
      <w:pPr>
        <w:adjustRightInd w:val="0"/>
        <w:snapToGrid w:val="0"/>
        <w:spacing w:line="360" w:lineRule="auto"/>
        <w:ind w:firstLine="482"/>
        <w:rPr>
          <w:b/>
          <w:bCs/>
          <w:sz w:val="24"/>
        </w:rPr>
      </w:pPr>
      <w:r>
        <w:rPr>
          <w:b/>
          <w:bCs/>
          <w:sz w:val="24"/>
        </w:rPr>
        <w:t>（三）不列入基金费用的项目</w:t>
      </w:r>
    </w:p>
    <w:p w14:paraId="6523E274">
      <w:pPr>
        <w:adjustRightInd w:val="0"/>
        <w:snapToGrid w:val="0"/>
        <w:spacing w:line="360" w:lineRule="auto"/>
        <w:ind w:firstLine="480" w:firstLineChars="200"/>
        <w:rPr>
          <w:rFonts w:hAnsi="宋体"/>
          <w:sz w:val="24"/>
          <w:szCs w:val="21"/>
        </w:rPr>
      </w:pPr>
      <w:r>
        <w:rPr>
          <w:rFonts w:hAnsi="宋体"/>
          <w:sz w:val="24"/>
          <w:szCs w:val="21"/>
        </w:rPr>
        <w:t>下列费用不列入基金费用：</w:t>
      </w:r>
    </w:p>
    <w:p w14:paraId="7E913521">
      <w:pPr>
        <w:adjustRightInd w:val="0"/>
        <w:snapToGrid w:val="0"/>
        <w:spacing w:line="360" w:lineRule="auto"/>
        <w:ind w:firstLine="480" w:firstLineChars="200"/>
        <w:rPr>
          <w:rFonts w:hAnsi="宋体"/>
          <w:sz w:val="24"/>
          <w:szCs w:val="21"/>
        </w:rPr>
      </w:pPr>
      <w:r>
        <w:rPr>
          <w:rFonts w:hAnsi="宋体"/>
          <w:sz w:val="24"/>
          <w:szCs w:val="21"/>
        </w:rPr>
        <w:t>1、基金管理人和基金托管人因未履行或未完全履行义务导致的费用支出或基金财产的损失；</w:t>
      </w:r>
    </w:p>
    <w:p w14:paraId="3459F5A6">
      <w:pPr>
        <w:adjustRightInd w:val="0"/>
        <w:snapToGrid w:val="0"/>
        <w:spacing w:line="360" w:lineRule="auto"/>
        <w:ind w:firstLine="480" w:firstLineChars="200"/>
        <w:rPr>
          <w:rFonts w:hAnsi="宋体"/>
          <w:sz w:val="24"/>
          <w:szCs w:val="21"/>
        </w:rPr>
      </w:pPr>
      <w:r>
        <w:rPr>
          <w:rFonts w:hAnsi="宋体"/>
          <w:sz w:val="24"/>
          <w:szCs w:val="21"/>
        </w:rPr>
        <w:t>2、基金管理人和基金托管人处理与基金运作无关的事项发生的费用；</w:t>
      </w:r>
    </w:p>
    <w:p w14:paraId="5D2F3183">
      <w:pPr>
        <w:adjustRightInd w:val="0"/>
        <w:snapToGrid w:val="0"/>
        <w:spacing w:line="360" w:lineRule="auto"/>
        <w:ind w:firstLine="480" w:firstLineChars="200"/>
        <w:rPr>
          <w:rFonts w:hAnsi="宋体"/>
          <w:sz w:val="24"/>
          <w:szCs w:val="21"/>
        </w:rPr>
      </w:pPr>
      <w:r>
        <w:rPr>
          <w:rFonts w:hAnsi="宋体"/>
          <w:sz w:val="24"/>
          <w:szCs w:val="21"/>
        </w:rPr>
        <w:t>3、</w:t>
      </w:r>
      <w:r>
        <w:rPr>
          <w:rFonts w:hint="eastAsia" w:hAnsi="宋体"/>
          <w:sz w:val="24"/>
          <w:szCs w:val="21"/>
        </w:rPr>
        <w:t>《</w:t>
      </w:r>
      <w:r>
        <w:rPr>
          <w:rFonts w:hAnsi="宋体"/>
          <w:sz w:val="24"/>
          <w:szCs w:val="21"/>
        </w:rPr>
        <w:t>基金合同</w:t>
      </w:r>
      <w:r>
        <w:rPr>
          <w:rFonts w:hint="eastAsia" w:hAnsi="宋体"/>
          <w:sz w:val="24"/>
          <w:szCs w:val="21"/>
        </w:rPr>
        <w:t>》</w:t>
      </w:r>
      <w:r>
        <w:rPr>
          <w:rFonts w:hAnsi="宋体"/>
          <w:sz w:val="24"/>
          <w:szCs w:val="21"/>
        </w:rPr>
        <w:t>生效前的相关费用；</w:t>
      </w:r>
    </w:p>
    <w:p w14:paraId="425DFC45">
      <w:pPr>
        <w:adjustRightInd w:val="0"/>
        <w:snapToGrid w:val="0"/>
        <w:spacing w:line="360" w:lineRule="auto"/>
        <w:ind w:firstLine="480" w:firstLineChars="200"/>
        <w:rPr>
          <w:rFonts w:hAnsi="宋体"/>
          <w:sz w:val="24"/>
          <w:szCs w:val="21"/>
        </w:rPr>
      </w:pPr>
      <w:bookmarkStart w:id="89" w:name="_Hlt81193394"/>
      <w:bookmarkEnd w:id="89"/>
      <w:r>
        <w:rPr>
          <w:rFonts w:hAnsi="宋体"/>
          <w:sz w:val="24"/>
          <w:szCs w:val="21"/>
        </w:rPr>
        <w:t>4、其他根据相关法律法规及中国证监会的有关规定不得列入基金费用的项目。</w:t>
      </w:r>
    </w:p>
    <w:p w14:paraId="66510534">
      <w:pPr>
        <w:adjustRightInd w:val="0"/>
        <w:snapToGrid w:val="0"/>
        <w:spacing w:line="360" w:lineRule="auto"/>
        <w:ind w:firstLine="482"/>
        <w:rPr>
          <w:b/>
          <w:bCs/>
          <w:sz w:val="24"/>
        </w:rPr>
      </w:pPr>
      <w:r>
        <w:rPr>
          <w:rFonts w:hint="eastAsia"/>
          <w:b/>
          <w:bCs/>
          <w:sz w:val="24"/>
        </w:rPr>
        <w:t>（</w:t>
      </w:r>
      <w:r>
        <w:rPr>
          <w:b/>
          <w:bCs/>
          <w:sz w:val="24"/>
        </w:rPr>
        <w:t>四</w:t>
      </w:r>
      <w:r>
        <w:rPr>
          <w:rFonts w:hint="eastAsia"/>
          <w:b/>
          <w:bCs/>
          <w:sz w:val="24"/>
        </w:rPr>
        <w:t>）实施侧袋机制期间的基金费用</w:t>
      </w:r>
    </w:p>
    <w:p w14:paraId="189207F0">
      <w:pPr>
        <w:adjustRightInd w:val="0"/>
        <w:snapToGrid w:val="0"/>
        <w:spacing w:line="360" w:lineRule="auto"/>
        <w:ind w:firstLine="482"/>
        <w:rPr>
          <w:rFonts w:hAnsi="宋体"/>
          <w:sz w:val="24"/>
          <w:szCs w:val="21"/>
        </w:rPr>
      </w:pPr>
      <w:r>
        <w:rPr>
          <w:rFonts w:hint="eastAsia" w:hAnsi="宋体"/>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14:paraId="6C2C2D61">
      <w:pPr>
        <w:adjustRightInd w:val="0"/>
        <w:snapToGrid w:val="0"/>
        <w:spacing w:line="360" w:lineRule="auto"/>
        <w:ind w:firstLine="482"/>
        <w:rPr>
          <w:b/>
          <w:bCs/>
          <w:sz w:val="24"/>
        </w:rPr>
      </w:pPr>
      <w:r>
        <w:rPr>
          <w:rFonts w:hint="eastAsia" w:hAnsi="宋体"/>
          <w:b/>
          <w:bCs/>
          <w:sz w:val="24"/>
          <w:szCs w:val="21"/>
        </w:rPr>
        <w:t>（五）</w:t>
      </w:r>
      <w:r>
        <w:rPr>
          <w:b/>
          <w:bCs/>
          <w:sz w:val="24"/>
        </w:rPr>
        <w:t>基金税收</w:t>
      </w:r>
    </w:p>
    <w:p w14:paraId="43718B7B">
      <w:pPr>
        <w:adjustRightInd w:val="0"/>
        <w:snapToGrid w:val="0"/>
        <w:spacing w:line="360" w:lineRule="auto"/>
        <w:ind w:firstLine="480" w:firstLineChars="200"/>
        <w:rPr>
          <w:rFonts w:ascii="宋体" w:hAnsi="宋体"/>
          <w:b/>
          <w:kern w:val="0"/>
          <w:sz w:val="30"/>
        </w:rPr>
      </w:pPr>
      <w:r>
        <w:rPr>
          <w:rFonts w:hint="eastAsia" w:hAnsi="宋体"/>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87"/>
      <w:r>
        <w:rPr>
          <w:rFonts w:ascii="宋体" w:hAnsi="宋体"/>
          <w:b/>
          <w:kern w:val="0"/>
          <w:sz w:val="30"/>
        </w:rPr>
        <w:br w:type="page"/>
      </w:r>
    </w:p>
    <w:bookmarkEnd w:id="88"/>
    <w:p w14:paraId="322A4403">
      <w:pPr>
        <w:widowControl/>
        <w:adjustRightInd w:val="0"/>
        <w:snapToGrid w:val="0"/>
        <w:spacing w:before="143" w:beforeLines="50" w:after="143" w:afterLines="50" w:line="360" w:lineRule="auto"/>
        <w:jc w:val="center"/>
        <w:outlineLvl w:val="0"/>
        <w:rPr>
          <w:rFonts w:ascii="宋体" w:hAnsi="宋体"/>
          <w:b/>
          <w:kern w:val="0"/>
          <w:sz w:val="30"/>
        </w:rPr>
      </w:pPr>
      <w:bookmarkStart w:id="90" w:name="_Toc50983782"/>
      <w:bookmarkStart w:id="91" w:name="_Hlk120807341"/>
      <w:bookmarkStart w:id="92" w:name="_Hlk209967534"/>
      <w:r>
        <w:rPr>
          <w:rFonts w:hint="eastAsia" w:ascii="宋体" w:hAnsi="宋体"/>
          <w:b/>
          <w:kern w:val="0"/>
          <w:sz w:val="30"/>
        </w:rPr>
        <w:t>十四、基金的会计与审计</w:t>
      </w:r>
      <w:bookmarkEnd w:id="90"/>
    </w:p>
    <w:p w14:paraId="4E4CD909">
      <w:pPr>
        <w:adjustRightInd w:val="0"/>
        <w:snapToGrid w:val="0"/>
        <w:spacing w:line="360" w:lineRule="auto"/>
        <w:ind w:firstLine="482"/>
        <w:rPr>
          <w:b/>
          <w:bCs/>
          <w:sz w:val="24"/>
        </w:rPr>
      </w:pPr>
      <w:r>
        <w:rPr>
          <w:b/>
          <w:bCs/>
          <w:sz w:val="24"/>
        </w:rPr>
        <w:t>（一）基金会计政策</w:t>
      </w:r>
    </w:p>
    <w:p w14:paraId="1D59F073">
      <w:pPr>
        <w:adjustRightInd w:val="0"/>
        <w:snapToGrid w:val="0"/>
        <w:spacing w:line="360" w:lineRule="auto"/>
        <w:ind w:firstLine="480" w:firstLineChars="200"/>
        <w:rPr>
          <w:sz w:val="24"/>
          <w:szCs w:val="18"/>
        </w:rPr>
      </w:pPr>
      <w:r>
        <w:rPr>
          <w:sz w:val="24"/>
        </w:rPr>
        <w:t>1</w:t>
      </w:r>
      <w:r>
        <w:rPr>
          <w:rFonts w:hAnsi="宋体"/>
          <w:sz w:val="24"/>
        </w:rPr>
        <w:t>、基金管理人为本基金的基金会计责任方；</w:t>
      </w:r>
    </w:p>
    <w:p w14:paraId="2D6421A3">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基金的会计年度为公历年度的1月1日至12月31日；基金首次募集的会计年度按如下原则：如果《基金合同》生效少于2个月，可以并入下一个会计年度披露；</w:t>
      </w:r>
    </w:p>
    <w:p w14:paraId="46EA7A38">
      <w:pPr>
        <w:adjustRightInd w:val="0"/>
        <w:snapToGrid w:val="0"/>
        <w:spacing w:line="360" w:lineRule="auto"/>
        <w:ind w:firstLine="480" w:firstLineChars="200"/>
        <w:rPr>
          <w:sz w:val="24"/>
          <w:szCs w:val="18"/>
        </w:rPr>
      </w:pPr>
      <w:bookmarkStart w:id="93" w:name="_Toc109537394"/>
      <w:r>
        <w:rPr>
          <w:sz w:val="24"/>
        </w:rPr>
        <w:t>3</w:t>
      </w:r>
      <w:r>
        <w:rPr>
          <w:rFonts w:hAnsi="宋体"/>
          <w:sz w:val="24"/>
        </w:rPr>
        <w:t>、</w:t>
      </w:r>
      <w:r>
        <w:rPr>
          <w:rFonts w:hAnsi="宋体"/>
          <w:sz w:val="24"/>
          <w:szCs w:val="21"/>
        </w:rPr>
        <w:t>基金核</w:t>
      </w:r>
      <w:bookmarkEnd w:id="93"/>
      <w:r>
        <w:rPr>
          <w:rFonts w:hAnsi="宋体"/>
          <w:sz w:val="24"/>
          <w:szCs w:val="21"/>
        </w:rPr>
        <w:t>算以人民币为记账本位币，以人民币元为记账单位；</w:t>
      </w:r>
    </w:p>
    <w:p w14:paraId="7740187D">
      <w:pPr>
        <w:adjustRightInd w:val="0"/>
        <w:snapToGrid w:val="0"/>
        <w:spacing w:line="360" w:lineRule="auto"/>
        <w:ind w:firstLine="480" w:firstLineChars="200"/>
        <w:rPr>
          <w:sz w:val="24"/>
          <w:szCs w:val="18"/>
        </w:rPr>
      </w:pPr>
      <w:r>
        <w:rPr>
          <w:sz w:val="24"/>
        </w:rPr>
        <w:t>4</w:t>
      </w:r>
      <w:r>
        <w:rPr>
          <w:rFonts w:hAnsi="宋体"/>
          <w:sz w:val="24"/>
        </w:rPr>
        <w:t>、会计制度执行国家有关会计制度；</w:t>
      </w:r>
    </w:p>
    <w:p w14:paraId="06DDB544">
      <w:pPr>
        <w:adjustRightInd w:val="0"/>
        <w:snapToGrid w:val="0"/>
        <w:spacing w:line="360" w:lineRule="auto"/>
        <w:ind w:firstLine="480" w:firstLineChars="200"/>
        <w:rPr>
          <w:sz w:val="24"/>
          <w:szCs w:val="18"/>
        </w:rPr>
      </w:pPr>
      <w:r>
        <w:rPr>
          <w:sz w:val="24"/>
        </w:rPr>
        <w:t>5</w:t>
      </w:r>
      <w:r>
        <w:rPr>
          <w:rFonts w:hAnsi="宋体"/>
          <w:sz w:val="24"/>
        </w:rPr>
        <w:t>、本基金独立建账、独立核算；</w:t>
      </w:r>
    </w:p>
    <w:p w14:paraId="56CAE735">
      <w:pPr>
        <w:adjustRightInd w:val="0"/>
        <w:snapToGrid w:val="0"/>
        <w:spacing w:line="360" w:lineRule="auto"/>
        <w:ind w:firstLine="480" w:firstLineChars="200"/>
        <w:rPr>
          <w:sz w:val="24"/>
          <w:szCs w:val="18"/>
        </w:rPr>
      </w:pPr>
      <w:r>
        <w:rPr>
          <w:sz w:val="24"/>
          <w:szCs w:val="18"/>
        </w:rPr>
        <w:t>6</w:t>
      </w:r>
      <w:r>
        <w:rPr>
          <w:rFonts w:hAnsi="宋体"/>
          <w:sz w:val="24"/>
          <w:szCs w:val="18"/>
        </w:rPr>
        <w:t>、基金管理人及基金托管人各自保留完整的会计账目、凭证并进行日常的会计核算，按照有关规定编制基金会计报表；</w:t>
      </w:r>
    </w:p>
    <w:p w14:paraId="59CAA266">
      <w:pPr>
        <w:adjustRightInd w:val="0"/>
        <w:snapToGrid w:val="0"/>
        <w:spacing w:line="360" w:lineRule="auto"/>
        <w:ind w:firstLine="480" w:firstLineChars="200"/>
        <w:rPr>
          <w:sz w:val="24"/>
        </w:rPr>
      </w:pPr>
      <w:r>
        <w:rPr>
          <w:sz w:val="24"/>
          <w:szCs w:val="18"/>
        </w:rPr>
        <w:t>7</w:t>
      </w:r>
      <w:r>
        <w:rPr>
          <w:rFonts w:hAnsi="宋体"/>
          <w:sz w:val="24"/>
          <w:szCs w:val="18"/>
        </w:rPr>
        <w:t>、基金托管人每月与基金管理人就基金的会计核算、报表编制等进行核对并以书面方式</w:t>
      </w:r>
      <w:r>
        <w:rPr>
          <w:rFonts w:hint="eastAsia" w:hAnsi="宋体"/>
          <w:sz w:val="24"/>
          <w:szCs w:val="18"/>
        </w:rPr>
        <w:t>或双方认可的其他方式</w:t>
      </w:r>
      <w:r>
        <w:rPr>
          <w:rFonts w:hAnsi="宋体"/>
          <w:sz w:val="24"/>
          <w:szCs w:val="18"/>
        </w:rPr>
        <w:t>确认。</w:t>
      </w:r>
    </w:p>
    <w:p w14:paraId="17F5BA15">
      <w:pPr>
        <w:adjustRightInd w:val="0"/>
        <w:snapToGrid w:val="0"/>
        <w:spacing w:line="360" w:lineRule="auto"/>
        <w:ind w:firstLine="482"/>
        <w:rPr>
          <w:b/>
          <w:bCs/>
          <w:sz w:val="24"/>
        </w:rPr>
      </w:pPr>
      <w:r>
        <w:rPr>
          <w:b/>
          <w:bCs/>
          <w:sz w:val="24"/>
        </w:rPr>
        <w:t>（二）基金的年度审计</w:t>
      </w:r>
    </w:p>
    <w:p w14:paraId="74137575">
      <w:pPr>
        <w:adjustRightInd w:val="0"/>
        <w:snapToGrid w:val="0"/>
        <w:spacing w:line="360" w:lineRule="auto"/>
        <w:ind w:firstLine="480" w:firstLineChars="200"/>
        <w:rPr>
          <w:rFonts w:hAnsi="宋体"/>
          <w:sz w:val="24"/>
          <w:szCs w:val="18"/>
        </w:rPr>
      </w:pPr>
      <w:r>
        <w:rPr>
          <w:rFonts w:hAnsi="宋体"/>
          <w:sz w:val="24"/>
          <w:szCs w:val="18"/>
        </w:rPr>
        <w:t>1、基金管理人聘请与基金管理人、基金托管人相互独立的</w:t>
      </w:r>
      <w:r>
        <w:rPr>
          <w:rFonts w:hint="eastAsia" w:hAnsi="宋体"/>
          <w:sz w:val="24"/>
          <w:szCs w:val="18"/>
        </w:rPr>
        <w:t>符合《中华人民共和国证券法》规定</w:t>
      </w:r>
      <w:r>
        <w:rPr>
          <w:rFonts w:hAnsi="宋体"/>
          <w:sz w:val="24"/>
          <w:szCs w:val="18"/>
        </w:rPr>
        <w:t>的会计师事务所及其注册会计师对本基金的年度财务报表进行审计。</w:t>
      </w:r>
    </w:p>
    <w:p w14:paraId="1D1EC046">
      <w:pPr>
        <w:adjustRightInd w:val="0"/>
        <w:snapToGrid w:val="0"/>
        <w:spacing w:line="360" w:lineRule="auto"/>
        <w:ind w:firstLine="480" w:firstLineChars="200"/>
        <w:rPr>
          <w:rFonts w:hAnsi="宋体"/>
          <w:sz w:val="24"/>
          <w:szCs w:val="18"/>
        </w:rPr>
      </w:pPr>
      <w:r>
        <w:rPr>
          <w:rFonts w:hAnsi="宋体"/>
          <w:sz w:val="24"/>
          <w:szCs w:val="18"/>
        </w:rPr>
        <w:t>2、会计师事务所更换经办注册会计师，应事先征得基金管理人同意。</w:t>
      </w:r>
    </w:p>
    <w:p w14:paraId="6368B664">
      <w:pPr>
        <w:adjustRightInd w:val="0"/>
        <w:snapToGrid w:val="0"/>
        <w:spacing w:line="360" w:lineRule="auto"/>
        <w:ind w:firstLine="480" w:firstLineChars="200"/>
        <w:rPr>
          <w:rFonts w:hAnsi="宋体"/>
          <w:sz w:val="24"/>
          <w:szCs w:val="18"/>
        </w:rPr>
      </w:pPr>
      <w:r>
        <w:rPr>
          <w:rFonts w:hAnsi="宋体"/>
          <w:sz w:val="24"/>
          <w:szCs w:val="18"/>
        </w:rPr>
        <w:t>3、</w:t>
      </w:r>
      <w:bookmarkStart w:id="94" w:name="_Hlt4221115"/>
      <w:bookmarkEnd w:id="94"/>
      <w:r>
        <w:rPr>
          <w:rFonts w:hAnsi="宋体"/>
          <w:sz w:val="24"/>
          <w:szCs w:val="18"/>
        </w:rPr>
        <w:t>基金管理人认为有充足理由更换会计师事务所，须通报基金托管人。更换会计师事务所需</w:t>
      </w:r>
      <w:r>
        <w:rPr>
          <w:rFonts w:hint="eastAsia" w:hAnsi="宋体"/>
          <w:sz w:val="24"/>
          <w:szCs w:val="18"/>
        </w:rPr>
        <w:t>依照《信息披露办法》的规定</w:t>
      </w:r>
      <w:r>
        <w:rPr>
          <w:rFonts w:hAnsi="宋体"/>
          <w:sz w:val="24"/>
          <w:szCs w:val="18"/>
        </w:rPr>
        <w:t>在</w:t>
      </w:r>
      <w:r>
        <w:rPr>
          <w:rFonts w:hint="eastAsia" w:hAnsi="宋体"/>
          <w:sz w:val="24"/>
          <w:szCs w:val="18"/>
        </w:rPr>
        <w:t>规定媒介</w:t>
      </w:r>
      <w:r>
        <w:rPr>
          <w:rFonts w:hAnsi="宋体"/>
          <w:sz w:val="24"/>
          <w:szCs w:val="18"/>
        </w:rPr>
        <w:t>公告。</w:t>
      </w:r>
    </w:p>
    <w:p w14:paraId="5034B963">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91"/>
      <w:bookmarkStart w:id="95" w:name="_Toc50983783"/>
      <w:bookmarkStart w:id="96" w:name="_Hlk120807419"/>
      <w:r>
        <w:rPr>
          <w:rFonts w:hint="eastAsia" w:ascii="宋体" w:hAnsi="宋体"/>
          <w:b/>
          <w:kern w:val="0"/>
          <w:sz w:val="30"/>
        </w:rPr>
        <w:t>十五、基金的信息披露</w:t>
      </w:r>
      <w:bookmarkEnd w:id="95"/>
    </w:p>
    <w:p w14:paraId="3D9754B4">
      <w:pPr>
        <w:adjustRightInd w:val="0"/>
        <w:snapToGrid w:val="0"/>
        <w:spacing w:line="360" w:lineRule="auto"/>
        <w:ind w:firstLine="482" w:firstLineChars="200"/>
        <w:rPr>
          <w:rFonts w:hAnsi="宋体"/>
          <w:sz w:val="24"/>
        </w:rPr>
      </w:pPr>
      <w:r>
        <w:rPr>
          <w:rFonts w:hAnsi="宋体"/>
          <w:b/>
          <w:sz w:val="24"/>
        </w:rPr>
        <w:t>（一）</w:t>
      </w:r>
      <w:r>
        <w:rPr>
          <w:rFonts w:hint="eastAsia" w:hAnsi="宋体"/>
          <w:sz w:val="24"/>
        </w:rPr>
        <w:t>本基金的信息披露应符合《基金法》、《运作办法》、《信息披露办法》、《流动性风险管理规定》、《基金合同》及其他有关规定。</w:t>
      </w:r>
      <w:r>
        <w:rPr>
          <w:rFonts w:hint="eastAsia"/>
          <w:bCs/>
          <w:sz w:val="24"/>
        </w:rPr>
        <w:t>相关法律法规关于信息披露的规定发生变化时，本基金从其最新规定。</w:t>
      </w:r>
    </w:p>
    <w:p w14:paraId="540AC9E5">
      <w:pPr>
        <w:adjustRightInd w:val="0"/>
        <w:snapToGrid w:val="0"/>
        <w:spacing w:line="360" w:lineRule="auto"/>
        <w:ind w:firstLine="482" w:firstLineChars="200"/>
        <w:rPr>
          <w:b/>
          <w:sz w:val="24"/>
        </w:rPr>
      </w:pPr>
      <w:r>
        <w:rPr>
          <w:b/>
          <w:bCs/>
          <w:sz w:val="24"/>
        </w:rPr>
        <w:t>（二）信息披露义务人</w:t>
      </w:r>
    </w:p>
    <w:p w14:paraId="45FD48E0">
      <w:pPr>
        <w:adjustRightInd w:val="0"/>
        <w:snapToGrid w:val="0"/>
        <w:spacing w:line="360" w:lineRule="auto"/>
        <w:ind w:firstLine="480" w:firstLineChars="200"/>
        <w:rPr>
          <w:rFonts w:hAnsi="宋体"/>
          <w:sz w:val="24"/>
        </w:rPr>
      </w:pPr>
      <w:r>
        <w:rPr>
          <w:rFonts w:hAnsi="宋体"/>
          <w:sz w:val="24"/>
        </w:rPr>
        <w:t>本基金信息披露义务人包括基金管理人、基金托管人、召集基金份额持有人大会的基金份额持有人等法律</w:t>
      </w:r>
      <w:r>
        <w:rPr>
          <w:rFonts w:hint="eastAsia" w:hAnsi="宋体"/>
          <w:sz w:val="24"/>
        </w:rPr>
        <w:t>、</w:t>
      </w:r>
      <w:r>
        <w:rPr>
          <w:rFonts w:hAnsi="宋体"/>
          <w:sz w:val="24"/>
        </w:rPr>
        <w:t>行政法规和中国证监会规定的自然人、法人和</w:t>
      </w:r>
      <w:r>
        <w:rPr>
          <w:rFonts w:hint="eastAsia"/>
          <w:bCs/>
          <w:sz w:val="24"/>
        </w:rPr>
        <w:t>非法人</w:t>
      </w:r>
      <w:r>
        <w:rPr>
          <w:rFonts w:hAnsi="宋体"/>
          <w:sz w:val="24"/>
        </w:rPr>
        <w:t>组织。</w:t>
      </w:r>
    </w:p>
    <w:p w14:paraId="2CDF56DB">
      <w:pPr>
        <w:adjustRightInd w:val="0"/>
        <w:snapToGrid w:val="0"/>
        <w:spacing w:line="360" w:lineRule="auto"/>
        <w:ind w:firstLine="480" w:firstLineChars="200"/>
        <w:rPr>
          <w:rFonts w:hAnsi="宋体"/>
          <w:sz w:val="24"/>
        </w:rPr>
      </w:pPr>
      <w:r>
        <w:rPr>
          <w:rFonts w:hAnsi="宋体"/>
          <w:sz w:val="24"/>
        </w:rPr>
        <w:t>本基金信息披露义务人</w:t>
      </w:r>
      <w:r>
        <w:rPr>
          <w:rFonts w:hint="eastAsia"/>
          <w:bCs/>
          <w:sz w:val="24"/>
        </w:rPr>
        <w:t>以保护基金份额持有人利益为根本出发点，</w:t>
      </w:r>
      <w:r>
        <w:rPr>
          <w:rFonts w:hAnsi="宋体"/>
          <w:sz w:val="24"/>
        </w:rPr>
        <w:t>按照法律法规和中国证监会的规定披露基金信息，并保证所披露信息的真实性、准确性</w:t>
      </w:r>
      <w:r>
        <w:rPr>
          <w:rFonts w:hint="eastAsia" w:hAnsi="宋体"/>
          <w:sz w:val="24"/>
        </w:rPr>
        <w:t>、</w:t>
      </w:r>
      <w:r>
        <w:rPr>
          <w:rFonts w:hAnsi="宋体"/>
          <w:sz w:val="24"/>
        </w:rPr>
        <w:t>完整性</w:t>
      </w:r>
      <w:r>
        <w:rPr>
          <w:rFonts w:hint="eastAsia"/>
          <w:bCs/>
          <w:sz w:val="24"/>
        </w:rPr>
        <w:t>、及时性、简明性和易得性</w:t>
      </w:r>
      <w:r>
        <w:rPr>
          <w:rFonts w:hAnsi="宋体"/>
          <w:sz w:val="24"/>
        </w:rPr>
        <w:t>。</w:t>
      </w:r>
    </w:p>
    <w:p w14:paraId="6A4402D2">
      <w:pPr>
        <w:adjustRightInd w:val="0"/>
        <w:snapToGrid w:val="0"/>
        <w:spacing w:line="360" w:lineRule="auto"/>
        <w:ind w:firstLine="480" w:firstLineChars="200"/>
        <w:rPr>
          <w:rFonts w:hAnsi="宋体"/>
          <w:sz w:val="24"/>
        </w:rPr>
      </w:pPr>
      <w:r>
        <w:rPr>
          <w:rFonts w:hAnsi="宋体"/>
          <w:sz w:val="24"/>
        </w:rPr>
        <w:t>本基金信息披露义务人应当在中国证监会规定时间内，将应予披露的基金信息通过</w:t>
      </w:r>
      <w:r>
        <w:rPr>
          <w:rFonts w:hint="eastAsia" w:hAnsi="宋体"/>
          <w:sz w:val="24"/>
        </w:rPr>
        <w:t>符合</w:t>
      </w:r>
      <w:r>
        <w:rPr>
          <w:rFonts w:hAnsi="宋体"/>
          <w:sz w:val="24"/>
        </w:rPr>
        <w:t>中国证监会</w:t>
      </w:r>
      <w:r>
        <w:rPr>
          <w:rFonts w:hint="eastAsia" w:hAnsi="宋体"/>
          <w:sz w:val="24"/>
        </w:rPr>
        <w:t>规定条件</w:t>
      </w:r>
      <w:r>
        <w:rPr>
          <w:bCs/>
          <w:sz w:val="24"/>
        </w:rPr>
        <w:t>的</w:t>
      </w:r>
      <w:r>
        <w:rPr>
          <w:rFonts w:hint="eastAsia"/>
          <w:bCs/>
          <w:sz w:val="24"/>
        </w:rPr>
        <w:t>全国性报刊（以下简称“规定报刊”）及《信息披露办法》规定的</w:t>
      </w:r>
      <w:r>
        <w:rPr>
          <w:bCs/>
          <w:sz w:val="24"/>
        </w:rPr>
        <w:t>互联网网站（以下简称“</w:t>
      </w:r>
      <w:r>
        <w:rPr>
          <w:rFonts w:hint="eastAsia"/>
          <w:bCs/>
          <w:sz w:val="24"/>
        </w:rPr>
        <w:t>规定</w:t>
      </w:r>
      <w:r>
        <w:rPr>
          <w:bCs/>
          <w:sz w:val="24"/>
        </w:rPr>
        <w:t>网站”）等</w:t>
      </w:r>
      <w:r>
        <w:rPr>
          <w:rFonts w:hAnsi="宋体"/>
          <w:sz w:val="24"/>
        </w:rPr>
        <w:t>媒介披露，并保证基金投资者能够按照《基金合同》约定的时间和方式查阅或者复制公开披露的信息资料。</w:t>
      </w:r>
    </w:p>
    <w:p w14:paraId="39E8BF79">
      <w:pPr>
        <w:adjustRightInd w:val="0"/>
        <w:snapToGrid w:val="0"/>
        <w:spacing w:line="360" w:lineRule="auto"/>
        <w:ind w:firstLine="482" w:firstLineChars="200"/>
        <w:rPr>
          <w:b/>
          <w:sz w:val="24"/>
        </w:rPr>
      </w:pPr>
      <w:r>
        <w:rPr>
          <w:rFonts w:hAnsi="宋体"/>
          <w:b/>
          <w:sz w:val="24"/>
        </w:rPr>
        <w:t>（三）本基金信息披露义务人承诺公开披露的基金信息，不得有下列行为：</w:t>
      </w:r>
    </w:p>
    <w:p w14:paraId="5C6F7079">
      <w:pPr>
        <w:adjustRightInd w:val="0"/>
        <w:snapToGrid w:val="0"/>
        <w:spacing w:line="360" w:lineRule="auto"/>
        <w:ind w:firstLine="480" w:firstLineChars="200"/>
        <w:rPr>
          <w:rFonts w:hAnsi="宋体"/>
          <w:sz w:val="24"/>
        </w:rPr>
      </w:pPr>
      <w:r>
        <w:rPr>
          <w:rFonts w:hAnsi="宋体"/>
          <w:sz w:val="24"/>
        </w:rPr>
        <w:t>1、虚假记载、误导性陈述或者重大遗漏；</w:t>
      </w:r>
    </w:p>
    <w:p w14:paraId="7877E0DE">
      <w:pPr>
        <w:adjustRightInd w:val="0"/>
        <w:snapToGrid w:val="0"/>
        <w:spacing w:line="360" w:lineRule="auto"/>
        <w:ind w:firstLine="480" w:firstLineChars="200"/>
        <w:rPr>
          <w:rFonts w:hAnsi="宋体"/>
          <w:sz w:val="24"/>
        </w:rPr>
      </w:pPr>
      <w:r>
        <w:rPr>
          <w:rFonts w:hAnsi="宋体"/>
          <w:sz w:val="24"/>
        </w:rPr>
        <w:t>2、对证券投资业绩进行预测；</w:t>
      </w:r>
    </w:p>
    <w:p w14:paraId="3B652577">
      <w:pPr>
        <w:adjustRightInd w:val="0"/>
        <w:snapToGrid w:val="0"/>
        <w:spacing w:line="360" w:lineRule="auto"/>
        <w:ind w:firstLine="480" w:firstLineChars="200"/>
        <w:rPr>
          <w:rFonts w:hAnsi="宋体"/>
          <w:sz w:val="24"/>
        </w:rPr>
      </w:pPr>
      <w:r>
        <w:rPr>
          <w:rFonts w:hAnsi="宋体"/>
          <w:sz w:val="24"/>
        </w:rPr>
        <w:t>3、违规承诺收益或者承担损失；</w:t>
      </w:r>
    </w:p>
    <w:p w14:paraId="19ABA8BD">
      <w:pPr>
        <w:adjustRightInd w:val="0"/>
        <w:snapToGrid w:val="0"/>
        <w:spacing w:line="360" w:lineRule="auto"/>
        <w:ind w:firstLine="480" w:firstLineChars="200"/>
        <w:rPr>
          <w:rFonts w:hAnsi="宋体"/>
          <w:sz w:val="24"/>
        </w:rPr>
      </w:pPr>
      <w:r>
        <w:rPr>
          <w:rFonts w:hAnsi="宋体"/>
          <w:sz w:val="24"/>
        </w:rPr>
        <w:t>4、诋毁其他基金管理人、基金托管人或者基金销售机构；</w:t>
      </w:r>
    </w:p>
    <w:p w14:paraId="29036D07">
      <w:pPr>
        <w:adjustRightInd w:val="0"/>
        <w:snapToGrid w:val="0"/>
        <w:spacing w:line="360" w:lineRule="auto"/>
        <w:ind w:firstLine="480" w:firstLineChars="200"/>
        <w:rPr>
          <w:rFonts w:hAnsi="宋体"/>
          <w:sz w:val="24"/>
        </w:rPr>
      </w:pPr>
      <w:r>
        <w:rPr>
          <w:rFonts w:hAnsi="宋体"/>
          <w:sz w:val="24"/>
        </w:rPr>
        <w:t>5、登载任何自然人、法人</w:t>
      </w:r>
      <w:r>
        <w:rPr>
          <w:rFonts w:hint="eastAsia"/>
          <w:bCs/>
          <w:sz w:val="24"/>
        </w:rPr>
        <w:t>和非法人</w:t>
      </w:r>
      <w:r>
        <w:rPr>
          <w:rFonts w:hAnsi="宋体"/>
          <w:sz w:val="24"/>
        </w:rPr>
        <w:t>组织的祝贺性、恭维性或推荐性的文字；</w:t>
      </w:r>
    </w:p>
    <w:p w14:paraId="79E6CE3A">
      <w:pPr>
        <w:adjustRightInd w:val="0"/>
        <w:snapToGrid w:val="0"/>
        <w:spacing w:line="360" w:lineRule="auto"/>
        <w:ind w:firstLine="480" w:firstLineChars="200"/>
        <w:rPr>
          <w:rFonts w:hAnsi="宋体"/>
          <w:sz w:val="24"/>
        </w:rPr>
      </w:pPr>
      <w:r>
        <w:rPr>
          <w:rFonts w:hAnsi="宋体"/>
          <w:sz w:val="24"/>
        </w:rPr>
        <w:t>6、中国证监会禁止的其他行为。</w:t>
      </w:r>
    </w:p>
    <w:p w14:paraId="5AC80CFB">
      <w:pPr>
        <w:adjustRightInd w:val="0"/>
        <w:snapToGrid w:val="0"/>
        <w:spacing w:line="360" w:lineRule="auto"/>
        <w:ind w:firstLine="482" w:firstLineChars="200"/>
        <w:rPr>
          <w:rFonts w:hAnsi="宋体"/>
          <w:sz w:val="24"/>
        </w:rPr>
      </w:pPr>
      <w:r>
        <w:rPr>
          <w:rFonts w:hAnsi="宋体"/>
          <w:b/>
          <w:sz w:val="24"/>
        </w:rPr>
        <w:t>（四）</w:t>
      </w:r>
      <w:r>
        <w:rPr>
          <w:bCs/>
          <w:sz w:val="24"/>
        </w:rPr>
        <w:t>本</w:t>
      </w:r>
      <w:r>
        <w:rPr>
          <w:rFonts w:hAnsi="宋体"/>
          <w:sz w:val="24"/>
        </w:rPr>
        <w:t>基金公开披露的信息应采用中文文本。如同时采用外文文本的，基金信息披露义务人应保证</w:t>
      </w:r>
      <w:r>
        <w:rPr>
          <w:rFonts w:hint="eastAsia"/>
          <w:bCs/>
          <w:sz w:val="24"/>
        </w:rPr>
        <w:t>不同</w:t>
      </w:r>
      <w:r>
        <w:rPr>
          <w:rFonts w:hAnsi="宋体"/>
          <w:sz w:val="24"/>
        </w:rPr>
        <w:t>文本的内容一致。</w:t>
      </w:r>
      <w:r>
        <w:rPr>
          <w:rFonts w:hint="eastAsia"/>
          <w:bCs/>
          <w:sz w:val="24"/>
        </w:rPr>
        <w:t>不同</w:t>
      </w:r>
      <w:r>
        <w:rPr>
          <w:rFonts w:hAnsi="宋体"/>
          <w:sz w:val="24"/>
        </w:rPr>
        <w:t>文本</w:t>
      </w:r>
      <w:r>
        <w:rPr>
          <w:rFonts w:hint="eastAsia" w:hAnsi="宋体"/>
          <w:sz w:val="24"/>
        </w:rPr>
        <w:t>之间</w:t>
      </w:r>
      <w:r>
        <w:rPr>
          <w:rFonts w:hAnsi="宋体"/>
          <w:sz w:val="24"/>
        </w:rPr>
        <w:t>发生歧义的，以中文文本为准。</w:t>
      </w:r>
    </w:p>
    <w:p w14:paraId="5C5936FF">
      <w:pPr>
        <w:adjustRightInd w:val="0"/>
        <w:snapToGrid w:val="0"/>
        <w:spacing w:line="360" w:lineRule="auto"/>
        <w:ind w:firstLine="480" w:firstLineChars="200"/>
        <w:rPr>
          <w:sz w:val="24"/>
        </w:rPr>
      </w:pPr>
      <w:r>
        <w:rPr>
          <w:rFonts w:hAnsi="宋体"/>
          <w:sz w:val="24"/>
        </w:rPr>
        <w:t>本基金公开披露的信息采用阿拉伯数字；除特别说明外，货币单位为人民币元。</w:t>
      </w:r>
    </w:p>
    <w:p w14:paraId="5AF43CA8">
      <w:pPr>
        <w:adjustRightInd w:val="0"/>
        <w:snapToGrid w:val="0"/>
        <w:spacing w:line="360" w:lineRule="auto"/>
        <w:ind w:firstLine="482" w:firstLineChars="200"/>
        <w:rPr>
          <w:b/>
          <w:sz w:val="24"/>
        </w:rPr>
      </w:pPr>
      <w:r>
        <w:rPr>
          <w:rFonts w:hAnsi="宋体"/>
          <w:b/>
          <w:sz w:val="24"/>
        </w:rPr>
        <w:t>（五）公开披露的基金信息</w:t>
      </w:r>
    </w:p>
    <w:p w14:paraId="3D5EA657">
      <w:pPr>
        <w:adjustRightInd w:val="0"/>
        <w:snapToGrid w:val="0"/>
        <w:spacing w:line="360" w:lineRule="auto"/>
        <w:ind w:firstLine="480" w:firstLineChars="200"/>
        <w:rPr>
          <w:b/>
          <w:bCs/>
          <w:sz w:val="24"/>
        </w:rPr>
      </w:pPr>
      <w:r>
        <w:rPr>
          <w:bCs/>
          <w:sz w:val="24"/>
        </w:rPr>
        <w:t>公开披露的基金信息包括：</w:t>
      </w:r>
    </w:p>
    <w:p w14:paraId="7003B80A">
      <w:pPr>
        <w:adjustRightInd w:val="0"/>
        <w:snapToGrid w:val="0"/>
        <w:spacing w:line="360" w:lineRule="auto"/>
        <w:ind w:firstLine="480" w:firstLineChars="200"/>
        <w:rPr>
          <w:bCs/>
          <w:sz w:val="24"/>
        </w:rPr>
      </w:pPr>
      <w:r>
        <w:rPr>
          <w:bCs/>
          <w:sz w:val="24"/>
        </w:rPr>
        <w:t>1、基金招募说明书、《基金合同》、基金托管协议</w:t>
      </w:r>
      <w:r>
        <w:rPr>
          <w:rFonts w:hint="eastAsia"/>
          <w:bCs/>
          <w:sz w:val="24"/>
        </w:rPr>
        <w:t>、基金产品资料概要</w:t>
      </w:r>
    </w:p>
    <w:p w14:paraId="3F1B764A">
      <w:pPr>
        <w:adjustRightInd w:val="0"/>
        <w:snapToGrid w:val="0"/>
        <w:spacing w:line="360" w:lineRule="auto"/>
        <w:ind w:firstLine="480" w:firstLineChars="200"/>
        <w:rPr>
          <w:rFonts w:hAnsi="宋体"/>
          <w:sz w:val="24"/>
        </w:rPr>
      </w:pPr>
      <w:r>
        <w:rPr>
          <w:rFonts w:hAnsi="宋体"/>
          <w:sz w:val="24"/>
        </w:rPr>
        <w:t>（1）《基金合同》是界定《基金合同》当事人的各项权利、义务关系，明确基金份额持有人大会召开的规则及具体程序，说明基金产品的特性等涉及基金投资者重大利益的事项的法律文件。</w:t>
      </w:r>
    </w:p>
    <w:p w14:paraId="30F41C3D">
      <w:pPr>
        <w:adjustRightInd w:val="0"/>
        <w:snapToGrid w:val="0"/>
        <w:spacing w:line="360" w:lineRule="auto"/>
        <w:ind w:firstLine="480" w:firstLineChars="200"/>
        <w:rPr>
          <w:rFonts w:hAnsi="宋体"/>
          <w:sz w:val="24"/>
        </w:rPr>
      </w:pPr>
      <w:r>
        <w:rPr>
          <w:rFonts w:hAnsi="宋体"/>
          <w:sz w:val="24"/>
        </w:rPr>
        <w:t>（2）基金招募说明书应当最大限度地披露影响基金投资者决策的全部事项，说明基金认购、申购和赎回安排、基金投资、基金产品特性、风险揭示、信息披露及基金份额持有人服务等内容。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w:t>
      </w:r>
      <w:r>
        <w:rPr>
          <w:bCs/>
          <w:sz w:val="24"/>
        </w:rPr>
        <w:t>。</w:t>
      </w:r>
      <w:r>
        <w:rPr>
          <w:rFonts w:hint="eastAsia"/>
          <w:bCs/>
          <w:sz w:val="24"/>
        </w:rPr>
        <w:t>基金终止运作的，基金管理人不再更新基金招募说明书</w:t>
      </w:r>
      <w:r>
        <w:rPr>
          <w:rFonts w:hAnsi="宋体"/>
          <w:sz w:val="24"/>
        </w:rPr>
        <w:t>。</w:t>
      </w:r>
    </w:p>
    <w:p w14:paraId="7F4DF36D">
      <w:pPr>
        <w:adjustRightInd w:val="0"/>
        <w:snapToGrid w:val="0"/>
        <w:spacing w:line="360" w:lineRule="auto"/>
        <w:ind w:firstLine="480" w:firstLineChars="200"/>
        <w:rPr>
          <w:bCs/>
          <w:sz w:val="24"/>
        </w:rPr>
      </w:pPr>
      <w:r>
        <w:rPr>
          <w:rFonts w:hAnsi="宋体"/>
          <w:sz w:val="24"/>
        </w:rPr>
        <w:t>（3）基金托管协议是界定基金托管人和基金管理人在基金财产保管及基金运作监督等活动中的权利、义务关系的法律文件。</w:t>
      </w:r>
    </w:p>
    <w:p w14:paraId="1B22CE2B">
      <w:pPr>
        <w:adjustRightInd w:val="0"/>
        <w:snapToGrid w:val="0"/>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A2B2F1C">
      <w:pPr>
        <w:adjustRightInd w:val="0"/>
        <w:snapToGrid w:val="0"/>
        <w:spacing w:line="360" w:lineRule="auto"/>
        <w:ind w:firstLine="480" w:firstLineChars="200"/>
        <w:rPr>
          <w:rFonts w:hAnsi="宋体"/>
          <w:sz w:val="24"/>
        </w:rPr>
      </w:pPr>
      <w:r>
        <w:rPr>
          <w:rFonts w:hint="eastAsia" w:hAnsi="宋体"/>
          <w:sz w:val="24"/>
        </w:rPr>
        <w:t>基金募集申请经中国证监会注册后，基金管理人在基金份额发售的三日前，将</w:t>
      </w:r>
      <w:r>
        <w:rPr>
          <w:rFonts w:hint="eastAsia" w:hAnsi="宋体"/>
          <w:bCs/>
          <w:sz w:val="24"/>
        </w:rPr>
        <w:t>基金份额发售公告、</w:t>
      </w:r>
      <w:r>
        <w:rPr>
          <w:rFonts w:hint="eastAsia" w:hAnsi="宋体"/>
          <w:sz w:val="24"/>
        </w:rPr>
        <w:t>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651D58F5">
      <w:pPr>
        <w:adjustRightInd w:val="0"/>
        <w:snapToGrid w:val="0"/>
        <w:spacing w:line="360" w:lineRule="auto"/>
        <w:ind w:firstLine="480" w:firstLineChars="200"/>
        <w:rPr>
          <w:sz w:val="24"/>
        </w:rPr>
      </w:pPr>
      <w:r>
        <w:rPr>
          <w:sz w:val="24"/>
        </w:rPr>
        <w:t>2</w:t>
      </w:r>
      <w:r>
        <w:rPr>
          <w:rFonts w:hAnsi="宋体"/>
          <w:sz w:val="24"/>
        </w:rPr>
        <w:t>、基金份额发售公告</w:t>
      </w:r>
    </w:p>
    <w:p w14:paraId="2B98C11C">
      <w:pPr>
        <w:adjustRightInd w:val="0"/>
        <w:snapToGrid w:val="0"/>
        <w:spacing w:line="360" w:lineRule="auto"/>
        <w:ind w:firstLine="480" w:firstLineChars="200"/>
        <w:rPr>
          <w:rFonts w:hAnsi="宋体"/>
          <w:sz w:val="24"/>
        </w:rPr>
      </w:pPr>
      <w:r>
        <w:rPr>
          <w:rFonts w:hAnsi="宋体"/>
          <w:sz w:val="24"/>
        </w:rPr>
        <w:t>基金管理人应当就基金份额发售的具体事宜编制基金份额发售公告，并在披露招募说明书的当日登载于规定媒介上。</w:t>
      </w:r>
    </w:p>
    <w:p w14:paraId="1750F161">
      <w:pPr>
        <w:adjustRightInd w:val="0"/>
        <w:snapToGrid w:val="0"/>
        <w:spacing w:line="360" w:lineRule="auto"/>
        <w:ind w:firstLine="480" w:firstLineChars="200"/>
        <w:rPr>
          <w:sz w:val="24"/>
        </w:rPr>
      </w:pPr>
      <w:r>
        <w:rPr>
          <w:sz w:val="24"/>
        </w:rPr>
        <w:t>3</w:t>
      </w:r>
      <w:r>
        <w:rPr>
          <w:rFonts w:hAnsi="宋体"/>
          <w:sz w:val="24"/>
        </w:rPr>
        <w:t>、</w:t>
      </w:r>
      <w:r>
        <w:rPr>
          <w:bCs/>
          <w:sz w:val="24"/>
        </w:rPr>
        <w:t>《基金合同》</w:t>
      </w:r>
      <w:r>
        <w:rPr>
          <w:rFonts w:hAnsi="宋体"/>
          <w:sz w:val="24"/>
        </w:rPr>
        <w:t>生效公告</w:t>
      </w:r>
    </w:p>
    <w:p w14:paraId="6F21938B">
      <w:pPr>
        <w:adjustRightInd w:val="0"/>
        <w:snapToGrid w:val="0"/>
        <w:spacing w:line="360" w:lineRule="auto"/>
        <w:ind w:firstLine="480" w:firstLineChars="200"/>
        <w:rPr>
          <w:rFonts w:hAnsi="宋体"/>
          <w:sz w:val="24"/>
        </w:rPr>
      </w:pPr>
      <w:r>
        <w:rPr>
          <w:rFonts w:hAnsi="宋体"/>
          <w:sz w:val="24"/>
        </w:rPr>
        <w:t>基金管理人应当在收到中国证监会确认文件的次日在规定媒介上登载《基金合同》生效公告。</w:t>
      </w:r>
    </w:p>
    <w:p w14:paraId="2608ED46">
      <w:pPr>
        <w:adjustRightInd w:val="0"/>
        <w:snapToGrid w:val="0"/>
        <w:spacing w:line="360" w:lineRule="auto"/>
        <w:ind w:firstLine="480" w:firstLineChars="200"/>
        <w:rPr>
          <w:sz w:val="24"/>
        </w:rPr>
      </w:pPr>
      <w:r>
        <w:rPr>
          <w:sz w:val="24"/>
        </w:rPr>
        <w:t>4</w:t>
      </w:r>
      <w:r>
        <w:rPr>
          <w:rFonts w:hAnsi="宋体"/>
          <w:sz w:val="24"/>
        </w:rPr>
        <w:t>、基金</w:t>
      </w:r>
      <w:r>
        <w:rPr>
          <w:rFonts w:hint="eastAsia"/>
          <w:bCs/>
          <w:sz w:val="24"/>
        </w:rPr>
        <w:t>净值信息</w:t>
      </w:r>
    </w:p>
    <w:p w14:paraId="3D4B61B4">
      <w:pPr>
        <w:adjustRightInd w:val="0"/>
        <w:snapToGrid w:val="0"/>
        <w:spacing w:line="360" w:lineRule="auto"/>
        <w:ind w:firstLine="480" w:firstLineChars="200"/>
        <w:rPr>
          <w:bCs/>
          <w:sz w:val="24"/>
        </w:rPr>
      </w:pPr>
      <w:r>
        <w:rPr>
          <w:rFonts w:hint="eastAsia"/>
          <w:bCs/>
          <w:sz w:val="24"/>
        </w:rPr>
        <w:t>《基金合同》生效后，在开始办理基金份额申购或者赎回前，基金管理人应当至少每周在规定网站分别披露一次A类基金份额和C类基金份额所对应的基金份额净值和基金份额累计净值。</w:t>
      </w:r>
    </w:p>
    <w:p w14:paraId="3A838E3A">
      <w:pPr>
        <w:adjustRightInd w:val="0"/>
        <w:snapToGrid w:val="0"/>
        <w:spacing w:line="360" w:lineRule="auto"/>
        <w:ind w:firstLine="480" w:firstLineChars="200"/>
        <w:rPr>
          <w:bCs/>
          <w:sz w:val="24"/>
        </w:rPr>
      </w:pPr>
      <w:r>
        <w:rPr>
          <w:rFonts w:hint="eastAsia"/>
          <w:bCs/>
          <w:sz w:val="24"/>
        </w:rPr>
        <w:t>在开始办理基金份额申购或者赎回后，基金管理人应当在不晚于每个开放日的次日，通过规定网站、基金销售机构网站或者营业网点分别披露开放日A类基金份额和C类基金份额所对应的基金份额净值和基金份额累计净值。</w:t>
      </w:r>
    </w:p>
    <w:p w14:paraId="5B65A3DC">
      <w:pPr>
        <w:adjustRightInd w:val="0"/>
        <w:snapToGrid w:val="0"/>
        <w:spacing w:line="360" w:lineRule="auto"/>
        <w:ind w:firstLine="480" w:firstLineChars="200"/>
        <w:rPr>
          <w:rFonts w:hAnsi="宋体"/>
          <w:sz w:val="24"/>
        </w:rPr>
      </w:pPr>
      <w:r>
        <w:rPr>
          <w:rFonts w:hint="eastAsia"/>
          <w:bCs/>
          <w:sz w:val="24"/>
        </w:rPr>
        <w:t>基金管理人应当在不晚于半年度和年度最后一日的次日，在规定网站披露半年度和年度最后一日A类基金份额和C类基金份额所对应的基金份额净值和基金份额累计净值。</w:t>
      </w:r>
    </w:p>
    <w:p w14:paraId="356A8B82">
      <w:pPr>
        <w:adjustRightInd w:val="0"/>
        <w:snapToGrid w:val="0"/>
        <w:spacing w:line="360" w:lineRule="auto"/>
        <w:ind w:firstLine="480" w:firstLineChars="200"/>
        <w:rPr>
          <w:sz w:val="24"/>
        </w:rPr>
      </w:pPr>
      <w:r>
        <w:rPr>
          <w:sz w:val="24"/>
        </w:rPr>
        <w:t>5</w:t>
      </w:r>
      <w:r>
        <w:rPr>
          <w:rFonts w:hAnsi="宋体"/>
          <w:sz w:val="24"/>
        </w:rPr>
        <w:t>、基金份额申购、赎回价格</w:t>
      </w:r>
    </w:p>
    <w:p w14:paraId="04ED334D">
      <w:pPr>
        <w:adjustRightInd w:val="0"/>
        <w:snapToGrid w:val="0"/>
        <w:spacing w:line="360" w:lineRule="auto"/>
        <w:ind w:firstLine="480" w:firstLineChars="200"/>
        <w:rPr>
          <w:rFonts w:hAnsi="宋体"/>
          <w:sz w:val="24"/>
        </w:rPr>
      </w:pPr>
      <w:r>
        <w:rPr>
          <w:rFonts w:hAnsi="宋体"/>
          <w:sz w:val="24"/>
        </w:rPr>
        <w:t>基金管理人应当在《基金合同》、招募说明书等信息披露文件上载明基金份额申购、赎回价格的计算方式及有关申购、赎回费率，并保证投资者能够在基金</w:t>
      </w:r>
      <w:r>
        <w:rPr>
          <w:rFonts w:hint="eastAsia" w:hAnsi="宋体"/>
          <w:bCs/>
          <w:sz w:val="24"/>
        </w:rPr>
        <w:t>销售机构</w:t>
      </w:r>
      <w:r>
        <w:rPr>
          <w:rFonts w:hint="eastAsia"/>
          <w:bCs/>
          <w:sz w:val="24"/>
        </w:rPr>
        <w:t>网站或营业网点</w:t>
      </w:r>
      <w:r>
        <w:rPr>
          <w:rFonts w:hAnsi="宋体"/>
          <w:sz w:val="24"/>
        </w:rPr>
        <w:t>查阅或者复制前述信息资料。</w:t>
      </w:r>
    </w:p>
    <w:p w14:paraId="3F0ECB0D">
      <w:pPr>
        <w:adjustRightInd w:val="0"/>
        <w:snapToGrid w:val="0"/>
        <w:spacing w:line="360" w:lineRule="auto"/>
        <w:ind w:firstLine="480" w:firstLineChars="200"/>
        <w:rPr>
          <w:sz w:val="24"/>
        </w:rPr>
      </w:pPr>
      <w:r>
        <w:rPr>
          <w:sz w:val="24"/>
        </w:rPr>
        <w:t>6</w:t>
      </w:r>
      <w:r>
        <w:rPr>
          <w:rFonts w:hAnsi="宋体"/>
          <w:sz w:val="24"/>
        </w:rPr>
        <w:t>、</w:t>
      </w:r>
      <w:r>
        <w:rPr>
          <w:bCs/>
          <w:sz w:val="24"/>
        </w:rPr>
        <w:t>基金定期报告，包括基金年度报告、基金</w:t>
      </w:r>
      <w:r>
        <w:rPr>
          <w:rFonts w:hint="eastAsia"/>
          <w:bCs/>
          <w:sz w:val="24"/>
        </w:rPr>
        <w:t>中期</w:t>
      </w:r>
      <w:r>
        <w:rPr>
          <w:bCs/>
          <w:sz w:val="24"/>
        </w:rPr>
        <w:t>报告和基金季度报告</w:t>
      </w:r>
    </w:p>
    <w:p w14:paraId="54D6BF18">
      <w:pPr>
        <w:adjustRightInd w:val="0"/>
        <w:snapToGrid w:val="0"/>
        <w:spacing w:line="360" w:lineRule="auto"/>
        <w:ind w:firstLine="480" w:firstLineChars="200"/>
        <w:rPr>
          <w:rFonts w:hAnsi="宋体"/>
          <w:sz w:val="24"/>
        </w:rPr>
      </w:pPr>
      <w:r>
        <w:rPr>
          <w:rFonts w:hint="eastAsia" w:hAnsi="宋体"/>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43092AAC">
      <w:pPr>
        <w:adjustRightInd w:val="0"/>
        <w:snapToGrid w:val="0"/>
        <w:spacing w:line="360" w:lineRule="auto"/>
        <w:ind w:firstLine="480" w:firstLineChars="200"/>
        <w:rPr>
          <w:rFonts w:hAnsi="宋体"/>
          <w:sz w:val="24"/>
        </w:rPr>
      </w:pPr>
      <w:r>
        <w:rPr>
          <w:rFonts w:hint="eastAsia" w:hAnsi="宋体"/>
          <w:sz w:val="24"/>
        </w:rPr>
        <w:t>基金管理人应当在上半年结束之日起两个月内，编制完成基金中期报告，将中期报告登载在规定网站上，并将中期报告提示性公告登载在规定报刊上。</w:t>
      </w:r>
    </w:p>
    <w:p w14:paraId="3BA42977">
      <w:pPr>
        <w:adjustRightInd w:val="0"/>
        <w:snapToGrid w:val="0"/>
        <w:spacing w:line="360" w:lineRule="auto"/>
        <w:ind w:firstLine="480" w:firstLineChars="200"/>
        <w:rPr>
          <w:rFonts w:hAnsi="宋体"/>
          <w:sz w:val="24"/>
        </w:rPr>
      </w:pPr>
      <w:r>
        <w:rPr>
          <w:rFonts w:hint="eastAsia" w:hAnsi="宋体"/>
          <w:sz w:val="24"/>
        </w:rPr>
        <w:t>基金管理人应当在季度结束之日起15个工作日内，编制完成基金季度报告，将季度报告登载在规定网站上，并将季度报告提示性公告登载在规定报刊上。</w:t>
      </w:r>
    </w:p>
    <w:p w14:paraId="6FFE3F9E">
      <w:pPr>
        <w:adjustRightInd w:val="0"/>
        <w:snapToGrid w:val="0"/>
        <w:spacing w:line="360" w:lineRule="auto"/>
        <w:ind w:firstLine="480" w:firstLineChars="200"/>
        <w:rPr>
          <w:rFonts w:hAnsi="宋体"/>
          <w:sz w:val="24"/>
        </w:rPr>
      </w:pPr>
      <w:r>
        <w:rPr>
          <w:rFonts w:hint="eastAsia" w:hAnsi="宋体"/>
          <w:sz w:val="24"/>
        </w:rPr>
        <w:t>《基金合同》生效不足2个月的，基金管理人可以不编制当期季度报告、中期报告或者年度报告。</w:t>
      </w:r>
    </w:p>
    <w:p w14:paraId="2363C6C1">
      <w:pPr>
        <w:adjustRightInd w:val="0"/>
        <w:snapToGrid w:val="0"/>
        <w:spacing w:line="360" w:lineRule="auto"/>
        <w:ind w:firstLine="480" w:firstLineChars="200"/>
        <w:rPr>
          <w:rFonts w:hAnsi="宋体"/>
          <w:sz w:val="24"/>
        </w:rPr>
      </w:pPr>
      <w:r>
        <w:rPr>
          <w:rFonts w:hint="eastAsia"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3CBE70D">
      <w:pPr>
        <w:adjustRightInd w:val="0"/>
        <w:snapToGrid w:val="0"/>
        <w:spacing w:line="360" w:lineRule="auto"/>
        <w:ind w:firstLine="480" w:firstLineChars="200"/>
        <w:rPr>
          <w:rFonts w:hAnsi="宋体"/>
          <w:sz w:val="24"/>
        </w:rPr>
      </w:pPr>
      <w:r>
        <w:rPr>
          <w:rFonts w:hint="eastAsia" w:hAnsi="宋体"/>
          <w:sz w:val="24"/>
        </w:rPr>
        <w:t>基金管理人应当在基金年度报告和</w:t>
      </w:r>
      <w:r>
        <w:rPr>
          <w:rFonts w:hint="eastAsia"/>
          <w:bCs/>
          <w:sz w:val="24"/>
        </w:rPr>
        <w:t>中期</w:t>
      </w:r>
      <w:r>
        <w:rPr>
          <w:rFonts w:hint="eastAsia" w:hAnsi="宋体"/>
          <w:sz w:val="24"/>
        </w:rPr>
        <w:t>报告中披露基金组合资产情况及其流动性风险分析等。</w:t>
      </w:r>
    </w:p>
    <w:p w14:paraId="59682099">
      <w:pPr>
        <w:adjustRightInd w:val="0"/>
        <w:snapToGrid w:val="0"/>
        <w:spacing w:line="360" w:lineRule="auto"/>
        <w:ind w:firstLine="480" w:firstLineChars="200"/>
        <w:rPr>
          <w:sz w:val="24"/>
        </w:rPr>
      </w:pPr>
      <w:r>
        <w:rPr>
          <w:sz w:val="24"/>
        </w:rPr>
        <w:t>7</w:t>
      </w:r>
      <w:r>
        <w:rPr>
          <w:rFonts w:hAnsi="宋体"/>
          <w:sz w:val="24"/>
        </w:rPr>
        <w:t>、临时报告</w:t>
      </w:r>
    </w:p>
    <w:p w14:paraId="5329A41F">
      <w:pPr>
        <w:adjustRightInd w:val="0"/>
        <w:snapToGrid w:val="0"/>
        <w:spacing w:line="360" w:lineRule="auto"/>
        <w:ind w:firstLine="480" w:firstLineChars="200"/>
        <w:rPr>
          <w:rFonts w:hAnsi="宋体"/>
          <w:sz w:val="24"/>
        </w:rPr>
      </w:pPr>
      <w:bookmarkStart w:id="97" w:name="OLE_LINK78"/>
      <w:bookmarkStart w:id="98" w:name="OLE_LINK79"/>
      <w:r>
        <w:rPr>
          <w:rFonts w:hAnsi="宋体"/>
          <w:sz w:val="24"/>
        </w:rPr>
        <w:t>本基金发生重大事件，有关信息披露义务人应当</w:t>
      </w:r>
      <w:r>
        <w:rPr>
          <w:rFonts w:hint="eastAsia" w:hAnsi="宋体"/>
          <w:sz w:val="24"/>
        </w:rPr>
        <w:t>依照《信息披露办法》的规定</w:t>
      </w:r>
      <w:r>
        <w:rPr>
          <w:rFonts w:hAnsi="宋体"/>
          <w:sz w:val="24"/>
        </w:rPr>
        <w:t>编制临时报告书，</w:t>
      </w:r>
      <w:r>
        <w:rPr>
          <w:rFonts w:hint="eastAsia"/>
          <w:bCs/>
          <w:sz w:val="24"/>
        </w:rPr>
        <w:t>并登载在规定报刊和规定网站上</w:t>
      </w:r>
      <w:r>
        <w:rPr>
          <w:rFonts w:hAnsi="宋体"/>
          <w:sz w:val="24"/>
        </w:rPr>
        <w:t>。</w:t>
      </w:r>
    </w:p>
    <w:bookmarkEnd w:id="97"/>
    <w:bookmarkEnd w:id="98"/>
    <w:p w14:paraId="63F0EC04">
      <w:pPr>
        <w:adjustRightInd w:val="0"/>
        <w:snapToGrid w:val="0"/>
        <w:spacing w:line="360" w:lineRule="auto"/>
        <w:ind w:firstLine="480" w:firstLineChars="200"/>
        <w:rPr>
          <w:rFonts w:hAnsi="宋体"/>
          <w:sz w:val="24"/>
        </w:rPr>
      </w:pPr>
      <w:r>
        <w:rPr>
          <w:rFonts w:hAnsi="宋体"/>
          <w:sz w:val="24"/>
        </w:rPr>
        <w:t>前款所称重大事件，是指可能对基金份额持有人权益或者基金份额的价格产生重大影响的下列事件：</w:t>
      </w:r>
    </w:p>
    <w:p w14:paraId="3DBBD5C7">
      <w:pPr>
        <w:adjustRightInd w:val="0"/>
        <w:snapToGrid w:val="0"/>
        <w:spacing w:line="360" w:lineRule="auto"/>
        <w:ind w:firstLine="480" w:firstLineChars="200"/>
        <w:rPr>
          <w:bCs/>
          <w:sz w:val="24"/>
        </w:rPr>
      </w:pPr>
      <w:r>
        <w:rPr>
          <w:rFonts w:hint="eastAsia"/>
          <w:bCs/>
          <w:sz w:val="24"/>
        </w:rPr>
        <w:t>（1）基金份额持有人大会的召开及决定的事项；</w:t>
      </w:r>
    </w:p>
    <w:p w14:paraId="00C5FACF">
      <w:pPr>
        <w:adjustRightInd w:val="0"/>
        <w:snapToGrid w:val="0"/>
        <w:spacing w:line="360" w:lineRule="auto"/>
        <w:ind w:firstLine="480" w:firstLineChars="200"/>
        <w:rPr>
          <w:bCs/>
          <w:sz w:val="24"/>
        </w:rPr>
      </w:pPr>
      <w:r>
        <w:rPr>
          <w:rFonts w:hint="eastAsia"/>
          <w:bCs/>
          <w:sz w:val="24"/>
        </w:rPr>
        <w:t>（2）《基金合同》终止、基金清算；</w:t>
      </w:r>
    </w:p>
    <w:p w14:paraId="38321DCC">
      <w:pPr>
        <w:adjustRightInd w:val="0"/>
        <w:snapToGrid w:val="0"/>
        <w:spacing w:line="360" w:lineRule="auto"/>
        <w:ind w:firstLine="480" w:firstLineChars="200"/>
        <w:rPr>
          <w:bCs/>
          <w:sz w:val="24"/>
        </w:rPr>
      </w:pPr>
      <w:r>
        <w:rPr>
          <w:rFonts w:hint="eastAsia"/>
          <w:bCs/>
          <w:sz w:val="24"/>
        </w:rPr>
        <w:t>（3）转换基金运作方式、基金合并；</w:t>
      </w:r>
    </w:p>
    <w:p w14:paraId="40C56772">
      <w:pPr>
        <w:adjustRightInd w:val="0"/>
        <w:snapToGrid w:val="0"/>
        <w:spacing w:line="360" w:lineRule="auto"/>
        <w:ind w:firstLine="480" w:firstLineChars="200"/>
        <w:rPr>
          <w:bCs/>
          <w:sz w:val="24"/>
        </w:rPr>
      </w:pPr>
      <w:r>
        <w:rPr>
          <w:rFonts w:hint="eastAsia"/>
          <w:bCs/>
          <w:sz w:val="24"/>
        </w:rPr>
        <w:t>（4）更换基金管理人、基金托管人、基金份额登记机构，基金改聘会计师事务所；</w:t>
      </w:r>
    </w:p>
    <w:p w14:paraId="20961927">
      <w:pPr>
        <w:adjustRightInd w:val="0"/>
        <w:snapToGrid w:val="0"/>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14:paraId="37FBB11C">
      <w:pPr>
        <w:adjustRightInd w:val="0"/>
        <w:snapToGrid w:val="0"/>
        <w:spacing w:line="360" w:lineRule="auto"/>
        <w:ind w:firstLine="480" w:firstLineChars="200"/>
        <w:rPr>
          <w:bCs/>
          <w:sz w:val="24"/>
        </w:rPr>
      </w:pPr>
      <w:r>
        <w:rPr>
          <w:rFonts w:hint="eastAsia"/>
          <w:bCs/>
          <w:sz w:val="24"/>
        </w:rPr>
        <w:t>（6）基金管理人、基金托管人的法定名称、住所发生变更；</w:t>
      </w:r>
    </w:p>
    <w:p w14:paraId="190A24FC">
      <w:pPr>
        <w:adjustRightInd w:val="0"/>
        <w:snapToGrid w:val="0"/>
        <w:spacing w:line="360" w:lineRule="auto"/>
        <w:ind w:firstLine="480" w:firstLineChars="200"/>
        <w:rPr>
          <w:bCs/>
          <w:sz w:val="24"/>
        </w:rPr>
      </w:pPr>
      <w:r>
        <w:rPr>
          <w:rFonts w:hint="eastAsia"/>
          <w:bCs/>
          <w:sz w:val="24"/>
        </w:rPr>
        <w:t>（7）基金管理人变更持有百分之五以上股权的股东、基金管理人的实际控制人变更；</w:t>
      </w:r>
    </w:p>
    <w:p w14:paraId="177475D3">
      <w:pPr>
        <w:adjustRightInd w:val="0"/>
        <w:snapToGrid w:val="0"/>
        <w:spacing w:line="360" w:lineRule="auto"/>
        <w:ind w:firstLine="480" w:firstLineChars="200"/>
        <w:rPr>
          <w:bCs/>
          <w:sz w:val="24"/>
        </w:rPr>
      </w:pPr>
      <w:r>
        <w:rPr>
          <w:rFonts w:hint="eastAsia"/>
          <w:bCs/>
          <w:sz w:val="24"/>
        </w:rPr>
        <w:t>（8）基金募集期延长或提前结束募集；</w:t>
      </w:r>
    </w:p>
    <w:p w14:paraId="00EB99B3">
      <w:pPr>
        <w:adjustRightInd w:val="0"/>
        <w:snapToGrid w:val="0"/>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14:paraId="5DCE2D8F">
      <w:pPr>
        <w:adjustRightInd w:val="0"/>
        <w:snapToGrid w:val="0"/>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14:paraId="17288751">
      <w:pPr>
        <w:adjustRightInd w:val="0"/>
        <w:snapToGrid w:val="0"/>
        <w:spacing w:line="360" w:lineRule="auto"/>
        <w:ind w:firstLine="480" w:firstLineChars="200"/>
        <w:rPr>
          <w:bCs/>
          <w:sz w:val="24"/>
        </w:rPr>
      </w:pPr>
      <w:r>
        <w:rPr>
          <w:rFonts w:hint="eastAsia"/>
          <w:bCs/>
          <w:sz w:val="24"/>
        </w:rPr>
        <w:t>（11）涉及基金财产、基金管理业务、基金托管业务的诉讼或仲裁；</w:t>
      </w:r>
    </w:p>
    <w:p w14:paraId="131AB725">
      <w:pPr>
        <w:adjustRightInd w:val="0"/>
        <w:snapToGrid w:val="0"/>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0B2940C6">
      <w:pPr>
        <w:adjustRightInd w:val="0"/>
        <w:snapToGrid w:val="0"/>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41D8C535">
      <w:pPr>
        <w:adjustRightInd w:val="0"/>
        <w:snapToGrid w:val="0"/>
        <w:spacing w:line="360" w:lineRule="auto"/>
        <w:ind w:firstLine="480" w:firstLineChars="200"/>
        <w:rPr>
          <w:bCs/>
          <w:sz w:val="24"/>
        </w:rPr>
      </w:pPr>
      <w:r>
        <w:rPr>
          <w:rFonts w:hint="eastAsia"/>
          <w:bCs/>
          <w:sz w:val="24"/>
        </w:rPr>
        <w:t>（14）基金收益分配事项；</w:t>
      </w:r>
    </w:p>
    <w:p w14:paraId="7F14D81D">
      <w:pPr>
        <w:adjustRightInd w:val="0"/>
        <w:snapToGrid w:val="0"/>
        <w:spacing w:line="360" w:lineRule="auto"/>
        <w:ind w:firstLine="480" w:firstLineChars="200"/>
        <w:rPr>
          <w:bCs/>
          <w:sz w:val="24"/>
        </w:rPr>
      </w:pPr>
      <w:r>
        <w:rPr>
          <w:rFonts w:hint="eastAsia"/>
          <w:bCs/>
          <w:sz w:val="24"/>
        </w:rPr>
        <w:t>（15）管理费、托管费、销售服务费、申购费、赎回费等费用计提标准、计提方式和费率发生变更；</w:t>
      </w:r>
    </w:p>
    <w:p w14:paraId="5615F002">
      <w:pPr>
        <w:adjustRightInd w:val="0"/>
        <w:snapToGrid w:val="0"/>
        <w:spacing w:line="360" w:lineRule="auto"/>
        <w:ind w:firstLine="480" w:firstLineChars="200"/>
        <w:rPr>
          <w:bCs/>
          <w:sz w:val="24"/>
        </w:rPr>
      </w:pPr>
      <w:r>
        <w:rPr>
          <w:rFonts w:hint="eastAsia"/>
          <w:bCs/>
          <w:sz w:val="24"/>
        </w:rPr>
        <w:t>（16）任一类基金份额净值计价错误达该类基金份额净值百分之零点五；</w:t>
      </w:r>
    </w:p>
    <w:p w14:paraId="4BEE544D">
      <w:pPr>
        <w:adjustRightInd w:val="0"/>
        <w:snapToGrid w:val="0"/>
        <w:spacing w:line="360" w:lineRule="auto"/>
        <w:ind w:firstLine="480" w:firstLineChars="200"/>
        <w:rPr>
          <w:bCs/>
          <w:sz w:val="24"/>
        </w:rPr>
      </w:pPr>
      <w:r>
        <w:rPr>
          <w:rFonts w:hint="eastAsia"/>
          <w:bCs/>
          <w:sz w:val="24"/>
        </w:rPr>
        <w:t>（17）本基金开始办理申购、赎回；</w:t>
      </w:r>
    </w:p>
    <w:p w14:paraId="10756917">
      <w:pPr>
        <w:adjustRightInd w:val="0"/>
        <w:snapToGrid w:val="0"/>
        <w:spacing w:line="360" w:lineRule="auto"/>
        <w:ind w:firstLine="480" w:firstLineChars="200"/>
        <w:rPr>
          <w:bCs/>
          <w:sz w:val="24"/>
        </w:rPr>
      </w:pPr>
      <w:r>
        <w:rPr>
          <w:rFonts w:hint="eastAsia"/>
          <w:bCs/>
          <w:sz w:val="24"/>
        </w:rPr>
        <w:t>（18）本基金发生巨额赎回并延期办理；</w:t>
      </w:r>
    </w:p>
    <w:p w14:paraId="701609EC">
      <w:pPr>
        <w:adjustRightInd w:val="0"/>
        <w:snapToGrid w:val="0"/>
        <w:spacing w:line="360" w:lineRule="auto"/>
        <w:ind w:firstLine="480" w:firstLineChars="200"/>
        <w:rPr>
          <w:bCs/>
          <w:sz w:val="24"/>
        </w:rPr>
      </w:pPr>
      <w:r>
        <w:rPr>
          <w:rFonts w:hint="eastAsia"/>
          <w:bCs/>
          <w:sz w:val="24"/>
        </w:rPr>
        <w:t>（19）本基金连续发生巨额赎回并暂停接受赎回申请或延缓支付赎回款项；</w:t>
      </w:r>
    </w:p>
    <w:p w14:paraId="5A115DE9">
      <w:pPr>
        <w:adjustRightInd w:val="0"/>
        <w:snapToGrid w:val="0"/>
        <w:spacing w:line="360" w:lineRule="auto"/>
        <w:ind w:firstLine="480" w:firstLineChars="200"/>
        <w:rPr>
          <w:bCs/>
          <w:sz w:val="24"/>
        </w:rPr>
      </w:pPr>
      <w:r>
        <w:rPr>
          <w:rFonts w:hint="eastAsia"/>
          <w:bCs/>
          <w:sz w:val="24"/>
        </w:rPr>
        <w:t>（20）本基金暂停接受申购、赎回申请或重新接受申购、赎回申请；</w:t>
      </w:r>
    </w:p>
    <w:p w14:paraId="50D96151">
      <w:pPr>
        <w:adjustRightInd w:val="0"/>
        <w:snapToGrid w:val="0"/>
        <w:spacing w:line="360" w:lineRule="auto"/>
        <w:ind w:firstLine="480" w:firstLineChars="200"/>
        <w:rPr>
          <w:bCs/>
          <w:sz w:val="24"/>
        </w:rPr>
      </w:pPr>
      <w:r>
        <w:rPr>
          <w:rFonts w:hint="eastAsia"/>
          <w:bCs/>
          <w:sz w:val="24"/>
        </w:rPr>
        <w:t>（21）发生涉及基金申购、赎回事项调整或潜在影响投资者赎回等重大事项时；</w:t>
      </w:r>
    </w:p>
    <w:p w14:paraId="3211CE6F">
      <w:pPr>
        <w:adjustRightInd w:val="0"/>
        <w:snapToGrid w:val="0"/>
        <w:spacing w:line="360" w:lineRule="auto"/>
        <w:ind w:firstLine="480" w:firstLineChars="200"/>
        <w:rPr>
          <w:bCs/>
          <w:sz w:val="24"/>
        </w:rPr>
      </w:pPr>
      <w:r>
        <w:rPr>
          <w:rFonts w:hint="eastAsia"/>
          <w:bCs/>
          <w:sz w:val="24"/>
        </w:rPr>
        <w:t>（22）基金管理人采用摆动定价机制进行估值；</w:t>
      </w:r>
    </w:p>
    <w:p w14:paraId="58B61D5F">
      <w:pPr>
        <w:adjustRightInd w:val="0"/>
        <w:snapToGrid w:val="0"/>
        <w:spacing w:line="360" w:lineRule="auto"/>
        <w:ind w:firstLine="480" w:firstLineChars="200"/>
        <w:rPr>
          <w:bCs/>
          <w:sz w:val="24"/>
        </w:rPr>
      </w:pPr>
      <w:r>
        <w:rPr>
          <w:rFonts w:hint="eastAsia"/>
          <w:bCs/>
          <w:sz w:val="24"/>
        </w:rPr>
        <w:t>（23）本基金增加或调整基金份额类别；</w:t>
      </w:r>
    </w:p>
    <w:p w14:paraId="0CC8BB4A">
      <w:pPr>
        <w:adjustRightInd w:val="0"/>
        <w:snapToGrid w:val="0"/>
        <w:spacing w:line="360" w:lineRule="auto"/>
        <w:ind w:firstLine="480" w:firstLineChars="200"/>
        <w:rPr>
          <w:bCs/>
          <w:sz w:val="24"/>
        </w:rPr>
      </w:pPr>
      <w:r>
        <w:rPr>
          <w:rFonts w:hint="eastAsia"/>
          <w:bCs/>
          <w:sz w:val="24"/>
        </w:rPr>
        <w:t>（24）本基金推出新业务或服务；</w:t>
      </w:r>
    </w:p>
    <w:p w14:paraId="61F9DC9F">
      <w:pPr>
        <w:adjustRightInd w:val="0"/>
        <w:snapToGrid w:val="0"/>
        <w:spacing w:line="360" w:lineRule="auto"/>
        <w:ind w:firstLine="480" w:firstLineChars="200"/>
        <w:rPr>
          <w:bCs/>
          <w:sz w:val="24"/>
        </w:rPr>
      </w:pPr>
      <w:r>
        <w:rPr>
          <w:rFonts w:hint="eastAsia"/>
          <w:bCs/>
          <w:sz w:val="24"/>
        </w:rPr>
        <w:t>（25）基金信息披露义务人认为可能对基金份额持有人权益或者基金份额的价格产生重大影响的其他事项或中国证监会规定和基金合同约定的其他事项。</w:t>
      </w:r>
    </w:p>
    <w:p w14:paraId="0D11D47C">
      <w:pPr>
        <w:adjustRightInd w:val="0"/>
        <w:snapToGrid w:val="0"/>
        <w:spacing w:line="360" w:lineRule="auto"/>
        <w:ind w:firstLine="480" w:firstLineChars="200"/>
        <w:rPr>
          <w:sz w:val="24"/>
        </w:rPr>
      </w:pPr>
      <w:r>
        <w:rPr>
          <w:sz w:val="24"/>
        </w:rPr>
        <w:t>8</w:t>
      </w:r>
      <w:r>
        <w:rPr>
          <w:rFonts w:hAnsi="宋体"/>
          <w:sz w:val="24"/>
        </w:rPr>
        <w:t>、澄清公告</w:t>
      </w:r>
    </w:p>
    <w:p w14:paraId="1A16B021">
      <w:pPr>
        <w:adjustRightInd w:val="0"/>
        <w:snapToGrid w:val="0"/>
        <w:spacing w:line="360" w:lineRule="auto"/>
        <w:ind w:firstLine="480" w:firstLineChars="200"/>
        <w:rPr>
          <w:rFonts w:hAnsi="宋体"/>
          <w:sz w:val="24"/>
        </w:rPr>
      </w:pPr>
      <w:r>
        <w:rPr>
          <w:rFonts w:hAnsi="宋体"/>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Ansi="宋体"/>
          <w:sz w:val="24"/>
        </w:rPr>
        <w:t>的，相关信息披露义务人知悉后应当立即对该消息进行公开澄清。</w:t>
      </w:r>
    </w:p>
    <w:p w14:paraId="78313C43">
      <w:pPr>
        <w:adjustRightInd w:val="0"/>
        <w:snapToGrid w:val="0"/>
        <w:spacing w:line="360" w:lineRule="auto"/>
        <w:ind w:firstLine="480" w:firstLineChars="200"/>
        <w:rPr>
          <w:sz w:val="24"/>
        </w:rPr>
      </w:pPr>
      <w:r>
        <w:rPr>
          <w:sz w:val="24"/>
        </w:rPr>
        <w:t>9</w:t>
      </w:r>
      <w:r>
        <w:rPr>
          <w:rFonts w:hAnsi="宋体"/>
          <w:sz w:val="24"/>
        </w:rPr>
        <w:t>、基金份额持有人大会决议</w:t>
      </w:r>
    </w:p>
    <w:p w14:paraId="227557FA">
      <w:pPr>
        <w:adjustRightInd w:val="0"/>
        <w:snapToGrid w:val="0"/>
        <w:spacing w:line="360" w:lineRule="auto"/>
        <w:ind w:firstLine="480" w:firstLineChars="200"/>
        <w:rPr>
          <w:bCs/>
          <w:sz w:val="24"/>
        </w:rPr>
      </w:pPr>
      <w:r>
        <w:rPr>
          <w:rFonts w:hint="eastAsia"/>
          <w:bCs/>
          <w:sz w:val="24"/>
        </w:rPr>
        <w:t>基金份额持有人大会决定的事项，应当依法报中国证监会备案，并予以公告。</w:t>
      </w:r>
    </w:p>
    <w:p w14:paraId="4A3DD2C3">
      <w:pPr>
        <w:adjustRightInd w:val="0"/>
        <w:snapToGrid w:val="0"/>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154AD056">
      <w:pPr>
        <w:adjustRightInd w:val="0"/>
        <w:snapToGrid w:val="0"/>
        <w:spacing w:line="360" w:lineRule="auto"/>
        <w:ind w:firstLine="480" w:firstLineChars="200"/>
        <w:rPr>
          <w:sz w:val="24"/>
        </w:rPr>
      </w:pPr>
      <w:r>
        <w:rPr>
          <w:rFonts w:hint="eastAsia"/>
          <w:bCs/>
          <w:sz w:val="24"/>
        </w:rPr>
        <w:t>1</w:t>
      </w:r>
      <w:r>
        <w:rPr>
          <w:bCs/>
          <w:sz w:val="24"/>
        </w:rPr>
        <w:t>0</w:t>
      </w:r>
      <w:r>
        <w:rPr>
          <w:rFonts w:hint="eastAsia"/>
          <w:bCs/>
          <w:sz w:val="24"/>
        </w:rPr>
        <w:t>、</w:t>
      </w:r>
      <w:r>
        <w:rPr>
          <w:rFonts w:hint="eastAsia"/>
          <w:sz w:val="24"/>
        </w:rPr>
        <w:t>实施侧袋机制期间的信息披露</w:t>
      </w:r>
    </w:p>
    <w:p w14:paraId="7827AEF6">
      <w:pPr>
        <w:adjustRightInd w:val="0"/>
        <w:snapToGrid w:val="0"/>
        <w:spacing w:line="360" w:lineRule="auto"/>
        <w:ind w:firstLine="480" w:firstLineChars="200"/>
        <w:rPr>
          <w:bCs/>
          <w:sz w:val="24"/>
        </w:rPr>
      </w:pPr>
      <w:r>
        <w:rPr>
          <w:rFonts w:hint="eastAsia"/>
          <w:sz w:val="24"/>
        </w:rPr>
        <w:t>本基金实施侧袋机制的，相关信息披露义务人应当根据法律法规、基金合同和招募说明书的规定进行信息披露，详见本招募说明书“侧袋</w:t>
      </w:r>
      <w:r>
        <w:rPr>
          <w:sz w:val="24"/>
        </w:rPr>
        <w:t>机制</w:t>
      </w:r>
      <w:r>
        <w:rPr>
          <w:rFonts w:hint="eastAsia"/>
          <w:sz w:val="24"/>
        </w:rPr>
        <w:t>”部分的规定。</w:t>
      </w:r>
    </w:p>
    <w:p w14:paraId="168DC99D">
      <w:pPr>
        <w:adjustRightInd w:val="0"/>
        <w:snapToGrid w:val="0"/>
        <w:spacing w:line="360" w:lineRule="auto"/>
        <w:ind w:firstLine="480" w:firstLineChars="200"/>
        <w:rPr>
          <w:bCs/>
          <w:sz w:val="24"/>
        </w:rPr>
      </w:pPr>
      <w:r>
        <w:rPr>
          <w:rFonts w:hint="eastAsia"/>
          <w:bCs/>
          <w:sz w:val="24"/>
        </w:rPr>
        <w:t>1</w:t>
      </w:r>
      <w:r>
        <w:rPr>
          <w:bCs/>
          <w:sz w:val="24"/>
        </w:rPr>
        <w:t>1</w:t>
      </w:r>
      <w:r>
        <w:rPr>
          <w:rFonts w:hint="eastAsia"/>
          <w:bCs/>
          <w:sz w:val="24"/>
        </w:rPr>
        <w:t>、清算报告</w:t>
      </w:r>
    </w:p>
    <w:p w14:paraId="51C21808">
      <w:pPr>
        <w:adjustRightInd w:val="0"/>
        <w:snapToGrid w:val="0"/>
        <w:spacing w:line="360" w:lineRule="auto"/>
        <w:ind w:firstLine="480" w:firstLineChars="200"/>
        <w:rPr>
          <w:bCs/>
          <w:sz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26A94C9C">
      <w:pPr>
        <w:adjustRightInd w:val="0"/>
        <w:snapToGrid w:val="0"/>
        <w:spacing w:line="360" w:lineRule="auto"/>
        <w:ind w:firstLine="480" w:firstLineChars="200"/>
        <w:rPr>
          <w:rFonts w:hAnsi="宋体"/>
          <w:sz w:val="24"/>
        </w:rPr>
      </w:pPr>
      <w:r>
        <w:rPr>
          <w:rFonts w:hint="eastAsia" w:hAnsi="宋体"/>
          <w:sz w:val="24"/>
        </w:rPr>
        <w:t>1</w:t>
      </w:r>
      <w:r>
        <w:rPr>
          <w:rFonts w:hAnsi="宋体"/>
          <w:sz w:val="24"/>
        </w:rPr>
        <w:t>2</w:t>
      </w:r>
      <w:r>
        <w:rPr>
          <w:rFonts w:hint="eastAsia" w:hAnsi="宋体"/>
          <w:sz w:val="24"/>
        </w:rPr>
        <w:t>、基金投资资产支持证券情况</w:t>
      </w:r>
    </w:p>
    <w:p w14:paraId="7A38BECD">
      <w:pPr>
        <w:adjustRightInd w:val="0"/>
        <w:snapToGrid w:val="0"/>
        <w:spacing w:line="360" w:lineRule="auto"/>
        <w:ind w:firstLine="480" w:firstLineChars="200"/>
        <w:rPr>
          <w:rFonts w:hAnsi="宋体"/>
          <w:sz w:val="24"/>
        </w:rPr>
      </w:pPr>
      <w:r>
        <w:rPr>
          <w:rFonts w:hint="eastAsia" w:hAnsi="宋体"/>
          <w:sz w:val="24"/>
        </w:rPr>
        <w:t>本基金可投资资产支持证券，基金管理人应在基金</w:t>
      </w:r>
      <w:r>
        <w:rPr>
          <w:rFonts w:hint="eastAsia"/>
          <w:bCs/>
          <w:sz w:val="24"/>
        </w:rPr>
        <w:t>年度报告及中期报告</w:t>
      </w:r>
      <w:r>
        <w:rPr>
          <w:rFonts w:hint="eastAsia" w:hAnsi="宋体"/>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71186025">
      <w:pPr>
        <w:adjustRightInd w:val="0"/>
        <w:snapToGrid w:val="0"/>
        <w:spacing w:line="360" w:lineRule="auto"/>
        <w:ind w:firstLine="480" w:firstLineChars="200"/>
        <w:rPr>
          <w:rFonts w:hAnsi="宋体"/>
          <w:sz w:val="24"/>
        </w:rPr>
      </w:pPr>
      <w:r>
        <w:rPr>
          <w:rFonts w:hAnsi="宋体"/>
          <w:sz w:val="24"/>
        </w:rPr>
        <w:t>13</w:t>
      </w:r>
      <w:r>
        <w:rPr>
          <w:rFonts w:hint="eastAsia" w:hAnsi="宋体"/>
          <w:sz w:val="24"/>
        </w:rPr>
        <w:t>、基金投资证券投资基金情况</w:t>
      </w:r>
    </w:p>
    <w:p w14:paraId="5D4E672C">
      <w:pPr>
        <w:adjustRightInd w:val="0"/>
        <w:snapToGrid w:val="0"/>
        <w:spacing w:line="360" w:lineRule="auto"/>
        <w:ind w:firstLine="480" w:firstLineChars="200"/>
        <w:rPr>
          <w:rFonts w:hAnsi="宋体"/>
          <w:sz w:val="24"/>
        </w:rPr>
      </w:pPr>
      <w:r>
        <w:rPr>
          <w:rFonts w:hint="eastAsia" w:hAnsi="宋体"/>
          <w:sz w:val="24"/>
        </w:rPr>
        <w:t>本基金在定期报告和招募说明书（更新）中应设立专门章节披露所持基金的相关情况并揭示相关风险：（1）投资策略、持仓情况、损益情况、净值披露时间等；（2）交易及持有基金产生的费用，包括申购费、赎回费、销售服务费、管理费、托管费等，在招募说明书（更新）中列明计算方法并举例说明；（3）持有的基金发生的重大影响事件，如转换运作方式、与其他基金合并、终止基金合同以及召开基金份额持有人大会等；（4）本基金投资于基金管理人以及基金管理人关联方所管理基金的情况。</w:t>
      </w:r>
    </w:p>
    <w:p w14:paraId="4031DCB0">
      <w:pPr>
        <w:adjustRightInd w:val="0"/>
        <w:snapToGrid w:val="0"/>
        <w:spacing w:line="360" w:lineRule="auto"/>
        <w:ind w:firstLine="480" w:firstLineChars="200"/>
        <w:rPr>
          <w:rFonts w:hAnsi="宋体"/>
          <w:sz w:val="24"/>
        </w:rPr>
      </w:pPr>
      <w:r>
        <w:rPr>
          <w:rFonts w:hint="eastAsia" w:hAnsi="宋体"/>
          <w:sz w:val="24"/>
        </w:rPr>
        <w:t>1</w:t>
      </w:r>
      <w:r>
        <w:rPr>
          <w:rFonts w:hAnsi="宋体"/>
          <w:sz w:val="24"/>
        </w:rPr>
        <w:t>4</w:t>
      </w:r>
      <w:r>
        <w:rPr>
          <w:rFonts w:hint="eastAsia" w:hAnsi="宋体"/>
          <w:sz w:val="24"/>
        </w:rPr>
        <w:t>、基金投资港股通标的股票情况</w:t>
      </w:r>
    </w:p>
    <w:p w14:paraId="3F0CA14A">
      <w:pPr>
        <w:adjustRightInd w:val="0"/>
        <w:snapToGrid w:val="0"/>
        <w:spacing w:line="360" w:lineRule="auto"/>
        <w:ind w:firstLine="480" w:firstLineChars="200"/>
        <w:rPr>
          <w:rFonts w:hAnsi="宋体"/>
          <w:sz w:val="24"/>
        </w:rPr>
      </w:pPr>
      <w:r>
        <w:rPr>
          <w:rFonts w:hint="eastAsia"/>
          <w:bCs/>
          <w:sz w:val="24"/>
        </w:rPr>
        <w:t>本基金可投资港股通标的股票，</w:t>
      </w:r>
      <w:r>
        <w:rPr>
          <w:rFonts w:hint="eastAsia" w:hAnsi="宋体"/>
          <w:sz w:val="24"/>
        </w:rPr>
        <w:t>基金应当在季度报告、中期报告、年度报告等定期报告和招募说明书（更新）等文件中披露港股通标的股票的投资情况。法律法规或中国证监会另有规定的，从其规定。</w:t>
      </w:r>
    </w:p>
    <w:p w14:paraId="695963FB">
      <w:pPr>
        <w:adjustRightInd w:val="0"/>
        <w:snapToGrid w:val="0"/>
        <w:spacing w:line="360" w:lineRule="auto"/>
        <w:ind w:firstLine="480" w:firstLineChars="200"/>
        <w:rPr>
          <w:rFonts w:hAnsi="宋体"/>
          <w:sz w:val="24"/>
        </w:rPr>
      </w:pPr>
      <w:r>
        <w:rPr>
          <w:rFonts w:hint="eastAsia" w:hAnsi="宋体"/>
          <w:sz w:val="24"/>
        </w:rPr>
        <w:t>1</w:t>
      </w:r>
      <w:r>
        <w:rPr>
          <w:rFonts w:hAnsi="宋体"/>
          <w:sz w:val="24"/>
        </w:rPr>
        <w:t>5</w:t>
      </w:r>
      <w:r>
        <w:rPr>
          <w:rFonts w:hint="eastAsia" w:hAnsi="宋体"/>
          <w:sz w:val="24"/>
        </w:rPr>
        <w:t>、投资于国债期货的信息披露</w:t>
      </w:r>
    </w:p>
    <w:p w14:paraId="3C539717">
      <w:pPr>
        <w:adjustRightInd w:val="0"/>
        <w:snapToGrid w:val="0"/>
        <w:spacing w:line="360" w:lineRule="auto"/>
        <w:ind w:firstLine="480" w:firstLineChars="200"/>
        <w:rPr>
          <w:rFonts w:hAnsi="宋体"/>
          <w:sz w:val="24"/>
        </w:rPr>
      </w:pPr>
      <w:r>
        <w:rPr>
          <w:rFonts w:hint="eastAsia" w:hAnsi="宋体"/>
          <w:sz w:val="24"/>
        </w:rPr>
        <w:t>基金管理人应在季度报告、中期报告、年度报告等定期报告和招募说明书（更新）等文件中披露国债期货交易情况，包括</w:t>
      </w:r>
      <w:r>
        <w:rPr>
          <w:rFonts w:hint="eastAsia"/>
          <w:bCs/>
          <w:sz w:val="24"/>
        </w:rPr>
        <w:t>交易</w:t>
      </w:r>
      <w:r>
        <w:rPr>
          <w:rFonts w:hint="eastAsia" w:hAnsi="宋体"/>
          <w:sz w:val="24"/>
        </w:rPr>
        <w:t>政策、持仓情况、损益情况、风险指标等，并充分揭示国债期货交易对基金总体风险的影响以及是否符合既定的</w:t>
      </w:r>
      <w:r>
        <w:rPr>
          <w:rFonts w:hint="eastAsia"/>
          <w:bCs/>
          <w:sz w:val="24"/>
        </w:rPr>
        <w:t>交易</w:t>
      </w:r>
      <w:r>
        <w:rPr>
          <w:rFonts w:hint="eastAsia" w:hAnsi="宋体"/>
          <w:sz w:val="24"/>
        </w:rPr>
        <w:t>政策和</w:t>
      </w:r>
      <w:r>
        <w:rPr>
          <w:rFonts w:hint="eastAsia"/>
          <w:bCs/>
          <w:sz w:val="24"/>
        </w:rPr>
        <w:t>交易</w:t>
      </w:r>
      <w:r>
        <w:rPr>
          <w:rFonts w:hint="eastAsia" w:hAnsi="宋体"/>
          <w:sz w:val="24"/>
        </w:rPr>
        <w:t>目标。</w:t>
      </w:r>
    </w:p>
    <w:p w14:paraId="2165DD4F">
      <w:pPr>
        <w:adjustRightInd w:val="0"/>
        <w:snapToGrid w:val="0"/>
        <w:spacing w:line="360" w:lineRule="auto"/>
        <w:ind w:firstLine="480" w:firstLineChars="200"/>
        <w:rPr>
          <w:rFonts w:hAnsi="宋体"/>
          <w:sz w:val="24"/>
        </w:rPr>
      </w:pPr>
      <w:r>
        <w:rPr>
          <w:rFonts w:hint="eastAsia" w:hAnsi="宋体"/>
          <w:sz w:val="24"/>
        </w:rPr>
        <w:t>1</w:t>
      </w:r>
      <w:r>
        <w:rPr>
          <w:rFonts w:hAnsi="宋体"/>
          <w:sz w:val="24"/>
        </w:rPr>
        <w:t>6</w:t>
      </w:r>
      <w:r>
        <w:rPr>
          <w:rFonts w:hint="eastAsia" w:hAnsi="宋体"/>
          <w:sz w:val="24"/>
        </w:rPr>
        <w:t>、投资于信用衍生品的信息披露</w:t>
      </w:r>
    </w:p>
    <w:p w14:paraId="1EE5A3DA">
      <w:pPr>
        <w:adjustRightInd w:val="0"/>
        <w:snapToGrid w:val="0"/>
        <w:spacing w:line="360" w:lineRule="auto"/>
        <w:ind w:firstLine="480" w:firstLineChars="200"/>
        <w:rPr>
          <w:rFonts w:hAnsi="宋体"/>
          <w:sz w:val="24"/>
        </w:rPr>
      </w:pPr>
      <w:r>
        <w:rPr>
          <w:rFonts w:hint="eastAsia" w:hAnsi="宋体"/>
          <w:sz w:val="24"/>
        </w:rPr>
        <w:t>基金管理人应在定期报告及招募说明书（更新）等文件中详细披露信用衍生品的投资情况，包括投资策略、持仓情况等，并充分揭示投资信用衍生品对基金总体风险的影响以及是否符合既定的投资目标及策略。</w:t>
      </w:r>
    </w:p>
    <w:p w14:paraId="0E3819DB">
      <w:pPr>
        <w:adjustRightInd w:val="0"/>
        <w:snapToGrid w:val="0"/>
        <w:spacing w:line="360" w:lineRule="auto"/>
        <w:ind w:firstLine="480" w:firstLineChars="200"/>
        <w:rPr>
          <w:sz w:val="24"/>
        </w:rPr>
      </w:pPr>
      <w:r>
        <w:rPr>
          <w:rFonts w:hAnsi="宋体"/>
          <w:sz w:val="24"/>
        </w:rPr>
        <w:t>17</w:t>
      </w:r>
      <w:r>
        <w:rPr>
          <w:rFonts w:hint="eastAsia" w:hAnsi="宋体"/>
          <w:sz w:val="24"/>
        </w:rPr>
        <w:t>、</w:t>
      </w:r>
      <w:r>
        <w:rPr>
          <w:rFonts w:hAnsi="宋体"/>
          <w:sz w:val="24"/>
        </w:rPr>
        <w:t>中国证监会规定的其他信息</w:t>
      </w:r>
      <w:r>
        <w:rPr>
          <w:rFonts w:hint="eastAsia" w:hAnsi="宋体"/>
          <w:sz w:val="24"/>
        </w:rPr>
        <w:t>。</w:t>
      </w:r>
    </w:p>
    <w:p w14:paraId="67A0FB18">
      <w:pPr>
        <w:adjustRightInd w:val="0"/>
        <w:snapToGrid w:val="0"/>
        <w:spacing w:line="360" w:lineRule="auto"/>
        <w:ind w:firstLine="482" w:firstLineChars="200"/>
        <w:rPr>
          <w:b/>
          <w:bCs/>
          <w:sz w:val="24"/>
        </w:rPr>
      </w:pPr>
      <w:r>
        <w:rPr>
          <w:b/>
          <w:bCs/>
          <w:sz w:val="24"/>
        </w:rPr>
        <w:t>（六）信息披露事务管理</w:t>
      </w:r>
    </w:p>
    <w:p w14:paraId="60C9A497">
      <w:pPr>
        <w:adjustRightInd w:val="0"/>
        <w:snapToGrid w:val="0"/>
        <w:spacing w:line="360" w:lineRule="auto"/>
        <w:ind w:firstLine="480" w:firstLineChars="200"/>
        <w:rPr>
          <w:rFonts w:hAnsi="宋体"/>
          <w:sz w:val="24"/>
        </w:rPr>
      </w:pPr>
      <w:r>
        <w:rPr>
          <w:rFonts w:hint="eastAsia" w:hAnsi="宋体"/>
          <w:sz w:val="24"/>
        </w:rPr>
        <w:t>基金管理人、基金托管人应当建立健全信息披露管理制度，指定</w:t>
      </w:r>
      <w:r>
        <w:rPr>
          <w:rFonts w:hint="eastAsia"/>
          <w:bCs/>
          <w:sz w:val="24"/>
        </w:rPr>
        <w:t>专门部门及高级管理人员</w:t>
      </w:r>
      <w:r>
        <w:rPr>
          <w:rFonts w:hint="eastAsia" w:hAnsi="宋体"/>
          <w:sz w:val="24"/>
        </w:rPr>
        <w:t>负责管理信息披露事务。</w:t>
      </w:r>
    </w:p>
    <w:p w14:paraId="3C78C6B1">
      <w:pPr>
        <w:adjustRightInd w:val="0"/>
        <w:snapToGrid w:val="0"/>
        <w:spacing w:line="360" w:lineRule="auto"/>
        <w:ind w:firstLine="480" w:firstLineChars="200"/>
        <w:rPr>
          <w:rFonts w:hAnsi="宋体"/>
          <w:sz w:val="24"/>
        </w:rPr>
      </w:pPr>
      <w:r>
        <w:rPr>
          <w:rFonts w:hint="eastAsia" w:hAnsi="宋体"/>
          <w:sz w:val="24"/>
        </w:rPr>
        <w:t>基金信息披露义务人公开披露基金信息，应当符合中国证监会相关基金信息披露内容与格式准则</w:t>
      </w:r>
      <w:r>
        <w:rPr>
          <w:rFonts w:hint="eastAsia"/>
          <w:bCs/>
          <w:sz w:val="24"/>
        </w:rPr>
        <w:t>等法律法规</w:t>
      </w:r>
      <w:r>
        <w:rPr>
          <w:rFonts w:hint="eastAsia" w:hAnsi="宋体"/>
          <w:sz w:val="24"/>
        </w:rPr>
        <w:t>的规定。</w:t>
      </w:r>
    </w:p>
    <w:p w14:paraId="7F392B49">
      <w:pPr>
        <w:adjustRightInd w:val="0"/>
        <w:snapToGrid w:val="0"/>
        <w:spacing w:line="360" w:lineRule="auto"/>
        <w:ind w:firstLine="480" w:firstLineChars="200"/>
        <w:rPr>
          <w:rFonts w:hAnsi="宋体"/>
          <w:sz w:val="24"/>
        </w:rPr>
      </w:pPr>
      <w:r>
        <w:rPr>
          <w:rFonts w:hint="eastAsia" w:hAnsi="宋体"/>
          <w:sz w:val="24"/>
        </w:rPr>
        <w:t>基金托管人应当按照相关法律法规、中国证监会的规定和《基金合同》的约定，对基金管理人编制的基金资产净值、</w:t>
      </w:r>
      <w:r>
        <w:rPr>
          <w:rFonts w:hint="eastAsia"/>
          <w:bCs/>
          <w:sz w:val="24"/>
        </w:rPr>
        <w:t>各类基金份额的</w:t>
      </w:r>
      <w:r>
        <w:rPr>
          <w:rFonts w:hint="eastAsia" w:hAnsi="宋体"/>
          <w:sz w:val="24"/>
        </w:rPr>
        <w:t>基金份额净值、基金份额申购赎回价格、基金定期报告</w:t>
      </w:r>
      <w:r>
        <w:rPr>
          <w:rFonts w:hint="eastAsia"/>
          <w:bCs/>
          <w:sz w:val="24"/>
        </w:rPr>
        <w:t>、</w:t>
      </w:r>
      <w:r>
        <w:rPr>
          <w:rFonts w:hint="eastAsia" w:hAnsi="宋体"/>
          <w:sz w:val="24"/>
        </w:rPr>
        <w:t>更新的招募说明书</w:t>
      </w:r>
      <w:r>
        <w:rPr>
          <w:rFonts w:hint="eastAsia"/>
          <w:bCs/>
          <w:sz w:val="24"/>
        </w:rPr>
        <w:t>、基金产品资料概要、基金清算报告</w:t>
      </w:r>
      <w:r>
        <w:rPr>
          <w:rFonts w:hint="eastAsia" w:hAnsi="宋体"/>
          <w:sz w:val="24"/>
        </w:rPr>
        <w:t>等相关基金信息进行复核、审查，并向基金管理人</w:t>
      </w:r>
      <w:r>
        <w:rPr>
          <w:rFonts w:hint="eastAsia"/>
          <w:bCs/>
          <w:sz w:val="24"/>
        </w:rPr>
        <w:t>进行书面或电子</w:t>
      </w:r>
      <w:r>
        <w:rPr>
          <w:rFonts w:hint="eastAsia" w:hAnsi="宋体"/>
          <w:sz w:val="24"/>
        </w:rPr>
        <w:t>确认。</w:t>
      </w:r>
    </w:p>
    <w:p w14:paraId="6E5751A5">
      <w:pPr>
        <w:adjustRightInd w:val="0"/>
        <w:snapToGrid w:val="0"/>
        <w:spacing w:line="360" w:lineRule="auto"/>
        <w:ind w:firstLine="480" w:firstLineChars="200"/>
        <w:rPr>
          <w:rFonts w:hAnsi="宋体"/>
          <w:sz w:val="24"/>
        </w:rPr>
      </w:pPr>
      <w:r>
        <w:rPr>
          <w:rFonts w:hint="eastAsia" w:hAnsi="宋体"/>
          <w:sz w:val="24"/>
        </w:rPr>
        <w:t>基金管理人、基金托管人应当在规定报刊</w:t>
      </w:r>
      <w:r>
        <w:rPr>
          <w:bCs/>
          <w:sz w:val="24"/>
        </w:rPr>
        <w:t>中选择</w:t>
      </w:r>
      <w:r>
        <w:rPr>
          <w:rFonts w:hint="eastAsia"/>
          <w:bCs/>
          <w:sz w:val="24"/>
        </w:rPr>
        <w:t>一家</w:t>
      </w:r>
      <w:r>
        <w:rPr>
          <w:bCs/>
          <w:sz w:val="24"/>
        </w:rPr>
        <w:t>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r>
        <w:rPr>
          <w:rFonts w:hint="eastAsia" w:hAnsi="宋体"/>
          <w:sz w:val="24"/>
        </w:rPr>
        <w:t>。</w:t>
      </w:r>
    </w:p>
    <w:p w14:paraId="37D9E631">
      <w:pPr>
        <w:adjustRightInd w:val="0"/>
        <w:snapToGrid w:val="0"/>
        <w:spacing w:line="360" w:lineRule="auto"/>
        <w:ind w:firstLine="480" w:firstLineChars="200"/>
        <w:rPr>
          <w:rFonts w:hAnsi="宋体"/>
          <w:sz w:val="24"/>
        </w:rPr>
      </w:pPr>
      <w:r>
        <w:rPr>
          <w:rFonts w:hint="eastAsia"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564D80F">
      <w:pPr>
        <w:adjustRightInd w:val="0"/>
        <w:snapToGrid w:val="0"/>
        <w:spacing w:line="360" w:lineRule="auto"/>
        <w:ind w:firstLine="480" w:firstLineChars="200"/>
        <w:rPr>
          <w:rFonts w:hAnsi="宋体"/>
          <w:sz w:val="24"/>
        </w:rPr>
      </w:pPr>
      <w:r>
        <w:rPr>
          <w:rFonts w:hint="eastAsia" w:hAnsi="宋体"/>
          <w:sz w:val="24"/>
        </w:rPr>
        <w:t>为基金信息披露义务人公开披露的基金信息出具审计报告、法律意见书的专业机构，应当制作工作底稿，并将相关档案至少保存到《基金合同》终止后10年。</w:t>
      </w:r>
    </w:p>
    <w:p w14:paraId="09C333B9">
      <w:pPr>
        <w:adjustRightInd w:val="0"/>
        <w:snapToGrid w:val="0"/>
        <w:spacing w:line="360" w:lineRule="auto"/>
        <w:ind w:firstLine="480" w:firstLineChars="200"/>
        <w:rPr>
          <w:rFonts w:hAnsi="宋体"/>
          <w:sz w:val="24"/>
        </w:rPr>
      </w:pPr>
      <w:r>
        <w:rPr>
          <w:rFonts w:hint="eastAsia"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A6B085D">
      <w:pPr>
        <w:adjustRightInd w:val="0"/>
        <w:snapToGrid w:val="0"/>
        <w:spacing w:line="360" w:lineRule="auto"/>
        <w:ind w:firstLine="482" w:firstLineChars="200"/>
        <w:rPr>
          <w:b/>
          <w:sz w:val="24"/>
        </w:rPr>
      </w:pPr>
      <w:r>
        <w:rPr>
          <w:rFonts w:hAnsi="宋体"/>
          <w:b/>
          <w:sz w:val="24"/>
        </w:rPr>
        <w:t>（七）信息披露文件的存放与查阅</w:t>
      </w:r>
    </w:p>
    <w:p w14:paraId="717C14C5">
      <w:pPr>
        <w:adjustRightInd w:val="0"/>
        <w:snapToGrid w:val="0"/>
        <w:spacing w:line="360" w:lineRule="auto"/>
        <w:ind w:firstLine="480" w:firstLineChars="200"/>
        <w:rPr>
          <w:bCs/>
          <w:sz w:val="24"/>
        </w:rPr>
      </w:pPr>
      <w:r>
        <w:rPr>
          <w:rFonts w:hint="eastAsia"/>
          <w:bCs/>
          <w:sz w:val="24"/>
        </w:rPr>
        <w:t>依法必须披露的信息发布后，基金管理人、基金托管人应当按照相关法律法规规定将信息置备于各自办公场所，供社会公众查阅、复制</w:t>
      </w:r>
      <w:r>
        <w:rPr>
          <w:bCs/>
          <w:sz w:val="24"/>
        </w:rPr>
        <w:t>。</w:t>
      </w:r>
      <w:bookmarkEnd w:id="92"/>
    </w:p>
    <w:p w14:paraId="4E16DE52"/>
    <w:p w14:paraId="121F044B">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55"/>
      <w:bookmarkEnd w:id="96"/>
      <w:bookmarkStart w:id="99" w:name="_Toc50983784"/>
      <w:bookmarkStart w:id="100" w:name="_Toc48122017"/>
      <w:r>
        <w:rPr>
          <w:rFonts w:hint="eastAsia" w:ascii="宋体" w:hAnsi="宋体"/>
          <w:b/>
          <w:kern w:val="0"/>
          <w:sz w:val="30"/>
        </w:rPr>
        <w:t>十六、侧袋机制</w:t>
      </w:r>
      <w:bookmarkEnd w:id="99"/>
      <w:bookmarkEnd w:id="100"/>
    </w:p>
    <w:p w14:paraId="18B71A9C">
      <w:pPr>
        <w:adjustRightInd w:val="0"/>
        <w:snapToGrid w:val="0"/>
        <w:spacing w:line="360" w:lineRule="auto"/>
        <w:ind w:firstLine="482" w:firstLineChars="200"/>
        <w:rPr>
          <w:rFonts w:hAnsi="宋体"/>
          <w:b/>
          <w:bCs/>
          <w:sz w:val="24"/>
          <w:szCs w:val="24"/>
        </w:rPr>
      </w:pPr>
      <w:r>
        <w:rPr>
          <w:rFonts w:hint="eastAsia" w:hAnsi="宋体"/>
          <w:b/>
          <w:bCs/>
          <w:sz w:val="24"/>
          <w:szCs w:val="24"/>
        </w:rPr>
        <w:t>（一）侧袋机制的实施条件</w:t>
      </w:r>
    </w:p>
    <w:p w14:paraId="5C5ACD71">
      <w:pPr>
        <w:adjustRightInd w:val="0"/>
        <w:snapToGrid w:val="0"/>
        <w:spacing w:line="360" w:lineRule="auto"/>
        <w:ind w:firstLine="480" w:firstLineChars="200"/>
        <w:rPr>
          <w:rFonts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8F87C09">
      <w:pPr>
        <w:adjustRightInd w:val="0"/>
        <w:snapToGrid w:val="0"/>
        <w:spacing w:line="360" w:lineRule="auto"/>
        <w:ind w:firstLine="480" w:firstLineChars="200"/>
        <w:rPr>
          <w:rFonts w:hAnsi="宋体"/>
          <w:bCs/>
          <w:sz w:val="24"/>
          <w:szCs w:val="24"/>
        </w:rPr>
      </w:pPr>
      <w:r>
        <w:rPr>
          <w:rFonts w:hint="eastAsia" w:hAnsi="宋体"/>
          <w:bCs/>
          <w:sz w:val="24"/>
          <w:szCs w:val="24"/>
        </w:rPr>
        <w:t>基金管理人应当在启用侧袋机制后及时发布临时公告，</w:t>
      </w:r>
      <w:bookmarkStart w:id="101" w:name="_Hlk45746268"/>
      <w:r>
        <w:rPr>
          <w:rFonts w:hint="eastAsia" w:hAnsi="宋体"/>
          <w:bCs/>
          <w:sz w:val="24"/>
          <w:szCs w:val="24"/>
        </w:rPr>
        <w:t>并在</w:t>
      </w:r>
      <w:bookmarkStart w:id="102" w:name="_Hlk45746204"/>
      <w:r>
        <w:rPr>
          <w:rFonts w:hint="eastAsia" w:hAnsi="宋体"/>
          <w:bCs/>
          <w:sz w:val="24"/>
          <w:szCs w:val="24"/>
        </w:rPr>
        <w:t>五个工作日内</w:t>
      </w:r>
      <w:bookmarkEnd w:id="101"/>
      <w:bookmarkEnd w:id="102"/>
      <w:r>
        <w:rPr>
          <w:rFonts w:hint="eastAsia" w:hAnsi="宋体"/>
          <w:bCs/>
          <w:sz w:val="24"/>
          <w:szCs w:val="24"/>
        </w:rPr>
        <w:t>聘请</w:t>
      </w:r>
      <w:bookmarkStart w:id="103" w:name="_Hlk45746277"/>
      <w:r>
        <w:rPr>
          <w:rFonts w:hint="eastAsia" w:hAnsi="宋体"/>
          <w:bCs/>
          <w:sz w:val="24"/>
          <w:szCs w:val="24"/>
        </w:rPr>
        <w:t>侧袋机制启用日发表意见且</w:t>
      </w:r>
      <w:bookmarkEnd w:id="103"/>
      <w:r>
        <w:rPr>
          <w:rFonts w:hint="eastAsia" w:hAnsi="宋体"/>
          <w:bCs/>
          <w:sz w:val="24"/>
          <w:szCs w:val="24"/>
        </w:rPr>
        <w:t>符合《中华人民共和国证券法》规定的会计师事务所</w:t>
      </w:r>
      <w:bookmarkStart w:id="104" w:name="_Hlk45746299"/>
      <w:r>
        <w:rPr>
          <w:rFonts w:hint="eastAsia" w:hAnsi="宋体"/>
          <w:bCs/>
          <w:sz w:val="24"/>
          <w:szCs w:val="24"/>
        </w:rPr>
        <w:t>进行审计并披露</w:t>
      </w:r>
      <w:bookmarkEnd w:id="104"/>
      <w:r>
        <w:rPr>
          <w:rFonts w:hint="eastAsia" w:hAnsi="宋体"/>
          <w:bCs/>
          <w:sz w:val="24"/>
          <w:szCs w:val="24"/>
        </w:rPr>
        <w:t>专项审计意见。</w:t>
      </w:r>
    </w:p>
    <w:p w14:paraId="6CDF5E0F">
      <w:pPr>
        <w:adjustRightInd w:val="0"/>
        <w:snapToGrid w:val="0"/>
        <w:spacing w:line="360" w:lineRule="auto"/>
        <w:ind w:firstLine="482" w:firstLineChars="200"/>
        <w:rPr>
          <w:rFonts w:hAnsi="宋体"/>
          <w:b/>
          <w:bCs/>
          <w:sz w:val="24"/>
          <w:szCs w:val="24"/>
        </w:rPr>
      </w:pPr>
      <w:r>
        <w:rPr>
          <w:rFonts w:hint="eastAsia" w:hAnsi="宋体"/>
          <w:b/>
          <w:bCs/>
          <w:sz w:val="24"/>
          <w:szCs w:val="24"/>
        </w:rPr>
        <w:t>（二）实施侧袋机制期间基金份额的申购与赎回</w:t>
      </w:r>
    </w:p>
    <w:p w14:paraId="7B959F04">
      <w:pPr>
        <w:adjustRightInd w:val="0"/>
        <w:snapToGrid w:val="0"/>
        <w:spacing w:line="360" w:lineRule="auto"/>
        <w:ind w:firstLine="480" w:firstLineChars="200"/>
        <w:rPr>
          <w:rFonts w:hAnsi="宋体"/>
          <w:bCs/>
          <w:sz w:val="24"/>
          <w:szCs w:val="24"/>
        </w:rPr>
      </w:pPr>
      <w:r>
        <w:rPr>
          <w:rFonts w:hint="eastAsia" w:hAnsi="宋体"/>
          <w:bCs/>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41DF6259">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6288ECE3">
      <w:pPr>
        <w:adjustRightInd w:val="0"/>
        <w:snapToGrid w:val="0"/>
        <w:spacing w:line="360" w:lineRule="auto"/>
        <w:ind w:firstLine="480" w:firstLineChars="200"/>
        <w:rPr>
          <w:rFonts w:hAnsi="宋体"/>
          <w:bCs/>
          <w:sz w:val="24"/>
          <w:szCs w:val="24"/>
        </w:rPr>
      </w:pPr>
      <w:r>
        <w:rPr>
          <w:rFonts w:hAnsi="宋体"/>
          <w:bCs/>
          <w:sz w:val="24"/>
          <w:szCs w:val="24"/>
        </w:rPr>
        <w:t>3</w:t>
      </w:r>
      <w:r>
        <w:rPr>
          <w:rFonts w:hint="eastAsia" w:hAnsi="宋体"/>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int="eastAsia" w:hAnsi="宋体"/>
          <w:bCs/>
          <w:sz w:val="24"/>
          <w:szCs w:val="24"/>
        </w:rPr>
        <w:t>%认定。</w:t>
      </w:r>
    </w:p>
    <w:p w14:paraId="2A999598">
      <w:pPr>
        <w:adjustRightInd w:val="0"/>
        <w:snapToGrid w:val="0"/>
        <w:spacing w:line="360" w:lineRule="auto"/>
        <w:ind w:firstLine="482" w:firstLineChars="200"/>
        <w:rPr>
          <w:rFonts w:hAnsi="宋体"/>
          <w:b/>
          <w:bCs/>
          <w:sz w:val="24"/>
          <w:szCs w:val="24"/>
        </w:rPr>
      </w:pPr>
      <w:r>
        <w:rPr>
          <w:rFonts w:hint="eastAsia" w:hAnsi="宋体"/>
          <w:b/>
          <w:bCs/>
          <w:sz w:val="24"/>
          <w:szCs w:val="24"/>
        </w:rPr>
        <w:t>（三）实施侧袋机制期间的基金投资</w:t>
      </w:r>
    </w:p>
    <w:p w14:paraId="009162DD">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侧袋机制实施期间，招募说明书“基金的投资”部分约定的</w:t>
      </w:r>
      <w:r>
        <w:rPr>
          <w:rFonts w:hAnsi="宋体"/>
          <w:bCs/>
          <w:sz w:val="24"/>
          <w:szCs w:val="24"/>
        </w:rPr>
        <w:t>投资组合比例</w:t>
      </w:r>
      <w:r>
        <w:rPr>
          <w:rFonts w:hint="eastAsia" w:hAnsi="宋体"/>
          <w:bCs/>
          <w:sz w:val="24"/>
          <w:szCs w:val="24"/>
        </w:rPr>
        <w:t>、投资策略、</w:t>
      </w:r>
      <w:r>
        <w:rPr>
          <w:rFonts w:hAnsi="宋体"/>
          <w:bCs/>
          <w:sz w:val="24"/>
          <w:szCs w:val="24"/>
        </w:rPr>
        <w:t>组合限制</w:t>
      </w:r>
      <w:r>
        <w:rPr>
          <w:rFonts w:hint="eastAsia" w:hAnsi="宋体"/>
          <w:bCs/>
          <w:sz w:val="24"/>
          <w:szCs w:val="24"/>
        </w:rPr>
        <w:t>、业绩比较基准、风险收益特征等约定仅适用于主袋账户。基金管理人计算各项投资运作指标和基金业绩指标时仅需考虑主袋账户资产。</w:t>
      </w:r>
    </w:p>
    <w:p w14:paraId="03FBEB51">
      <w:pPr>
        <w:adjustRightInd w:val="0"/>
        <w:snapToGrid w:val="0"/>
        <w:spacing w:line="360" w:lineRule="auto"/>
        <w:ind w:firstLine="480" w:firstLineChars="200"/>
        <w:rPr>
          <w:rFonts w:hAnsi="宋体"/>
          <w:bCs/>
          <w:sz w:val="24"/>
          <w:szCs w:val="24"/>
        </w:rPr>
      </w:pPr>
      <w:r>
        <w:rPr>
          <w:rFonts w:hint="eastAsia" w:hAnsi="宋体"/>
          <w:bCs/>
          <w:sz w:val="24"/>
          <w:szCs w:val="24"/>
        </w:rPr>
        <w:t>基金管理人原则上应当在侧袋</w:t>
      </w:r>
      <w:r>
        <w:rPr>
          <w:rFonts w:hAnsi="宋体"/>
          <w:bCs/>
          <w:sz w:val="24"/>
          <w:szCs w:val="24"/>
        </w:rPr>
        <w:t>机制启用后20个交易日内完成对主袋账户投资组合的调整，</w:t>
      </w:r>
      <w:r>
        <w:rPr>
          <w:rFonts w:hint="eastAsia" w:hAnsi="宋体"/>
          <w:bCs/>
          <w:sz w:val="24"/>
          <w:szCs w:val="24"/>
        </w:rPr>
        <w:t>因资产流动性受限等中国证监会规定的情形除外。</w:t>
      </w:r>
    </w:p>
    <w:p w14:paraId="2723E6A6">
      <w:pPr>
        <w:adjustRightInd w:val="0"/>
        <w:snapToGrid w:val="0"/>
        <w:spacing w:line="360" w:lineRule="auto"/>
        <w:ind w:firstLine="480" w:firstLineChars="200"/>
        <w:rPr>
          <w:rFonts w:hAnsi="宋体"/>
          <w:bCs/>
          <w:sz w:val="24"/>
          <w:szCs w:val="24"/>
        </w:rPr>
      </w:pPr>
      <w:r>
        <w:rPr>
          <w:rFonts w:hint="eastAsia" w:hAnsi="宋体"/>
          <w:bCs/>
          <w:sz w:val="24"/>
          <w:szCs w:val="24"/>
        </w:rPr>
        <w:t>基金管理人不得在侧袋账户中进行除特定资产处置变现以外的其他投资操作。</w:t>
      </w:r>
    </w:p>
    <w:p w14:paraId="10D76C10">
      <w:pPr>
        <w:adjustRightInd w:val="0"/>
        <w:snapToGrid w:val="0"/>
        <w:spacing w:line="360" w:lineRule="auto"/>
        <w:ind w:firstLine="482" w:firstLineChars="200"/>
        <w:rPr>
          <w:rFonts w:hAnsi="宋体"/>
          <w:b/>
          <w:bCs/>
          <w:sz w:val="24"/>
          <w:szCs w:val="24"/>
        </w:rPr>
      </w:pPr>
      <w:r>
        <w:rPr>
          <w:rFonts w:hint="eastAsia" w:hAnsi="宋体"/>
          <w:b/>
          <w:bCs/>
          <w:sz w:val="24"/>
          <w:szCs w:val="24"/>
        </w:rPr>
        <w:t>（四）实施侧袋机制期间的基金估值</w:t>
      </w:r>
    </w:p>
    <w:p w14:paraId="1364F0A3">
      <w:pPr>
        <w:adjustRightInd w:val="0"/>
        <w:snapToGrid w:val="0"/>
        <w:spacing w:line="360" w:lineRule="auto"/>
        <w:ind w:firstLine="480" w:firstLineChars="200"/>
        <w:rPr>
          <w:rFonts w:hAnsi="宋体"/>
          <w:bCs/>
          <w:sz w:val="24"/>
          <w:szCs w:val="24"/>
        </w:rPr>
      </w:pPr>
      <w:r>
        <w:rPr>
          <w:rFonts w:hint="eastAsia" w:hAnsi="宋体"/>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34D3500D">
      <w:pPr>
        <w:adjustRightInd w:val="0"/>
        <w:snapToGrid w:val="0"/>
        <w:spacing w:line="360" w:lineRule="auto"/>
        <w:ind w:firstLine="482" w:firstLineChars="200"/>
        <w:rPr>
          <w:rFonts w:hAnsi="宋体"/>
          <w:b/>
          <w:bCs/>
          <w:sz w:val="24"/>
          <w:szCs w:val="24"/>
        </w:rPr>
      </w:pPr>
      <w:r>
        <w:rPr>
          <w:rFonts w:hint="eastAsia" w:hAnsi="宋体"/>
          <w:b/>
          <w:bCs/>
          <w:sz w:val="24"/>
          <w:szCs w:val="24"/>
        </w:rPr>
        <w:t>（五）实施侧袋账户期间的基金费用</w:t>
      </w:r>
    </w:p>
    <w:p w14:paraId="301B6B9C">
      <w:pPr>
        <w:adjustRightInd w:val="0"/>
        <w:snapToGrid w:val="0"/>
        <w:spacing w:line="360" w:lineRule="auto"/>
        <w:ind w:firstLine="480" w:firstLineChars="200"/>
        <w:rPr>
          <w:rFonts w:hAnsi="宋体"/>
          <w:bCs/>
          <w:sz w:val="24"/>
          <w:szCs w:val="24"/>
        </w:rPr>
      </w:pPr>
      <w:r>
        <w:rPr>
          <w:rFonts w:hint="eastAsia" w:hAnsi="宋体"/>
          <w:bCs/>
          <w:sz w:val="24"/>
          <w:szCs w:val="24"/>
        </w:rPr>
        <w:t>1、本基金实施侧袋机制的，管理费和托管费等按主袋账户基金资产净值作为基数计提。</w:t>
      </w:r>
    </w:p>
    <w:p w14:paraId="763A8928">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、与侧袋账户有关的费用可从侧袋账户中列支，但应待侧袋账户资产变现后方可列支，有关费用可酌情收取或减免，但不得收取管理费。</w:t>
      </w:r>
    </w:p>
    <w:p w14:paraId="2DDE716D">
      <w:pPr>
        <w:adjustRightInd w:val="0"/>
        <w:snapToGrid w:val="0"/>
        <w:spacing w:line="360" w:lineRule="auto"/>
        <w:ind w:firstLine="482" w:firstLineChars="200"/>
        <w:rPr>
          <w:rFonts w:hAnsi="宋体"/>
          <w:b/>
          <w:bCs/>
          <w:sz w:val="24"/>
          <w:szCs w:val="24"/>
        </w:rPr>
      </w:pPr>
      <w:r>
        <w:rPr>
          <w:rFonts w:hint="eastAsia" w:hAnsi="宋体"/>
          <w:b/>
          <w:bCs/>
          <w:sz w:val="24"/>
          <w:szCs w:val="24"/>
        </w:rPr>
        <w:t>（六）侧袋账户中特定资产的处置变现和支付</w:t>
      </w:r>
    </w:p>
    <w:p w14:paraId="0B516E66">
      <w:pPr>
        <w:adjustRightInd w:val="0"/>
        <w:snapToGrid w:val="0"/>
        <w:spacing w:line="360" w:lineRule="auto"/>
        <w:ind w:firstLine="480" w:firstLineChars="200"/>
        <w:rPr>
          <w:rFonts w:hAnsi="宋体"/>
          <w:bCs/>
          <w:sz w:val="24"/>
          <w:szCs w:val="24"/>
        </w:rPr>
      </w:pPr>
      <w:r>
        <w:rPr>
          <w:rFonts w:hint="eastAsia" w:hAnsi="宋体"/>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0D888FB1">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6A314859">
      <w:pPr>
        <w:adjustRightInd w:val="0"/>
        <w:snapToGrid w:val="0"/>
        <w:spacing w:line="360" w:lineRule="auto"/>
        <w:ind w:firstLine="480" w:firstLineChars="200"/>
        <w:rPr>
          <w:rFonts w:hAnsi="宋体"/>
          <w:bCs/>
          <w:sz w:val="24"/>
          <w:szCs w:val="24"/>
        </w:rPr>
      </w:pPr>
      <w:r>
        <w:rPr>
          <w:rFonts w:hint="eastAsia" w:hAnsi="宋体"/>
          <w:bCs/>
          <w:sz w:val="24"/>
          <w:szCs w:val="24"/>
        </w:rPr>
        <w:t>侧袋账户资产全部完成变现并终止侧袋机制后，基金管理人应及时聘请符合《中华人民共和国证券法》规定的会计师事务所进行审计并披露专项审计意见。</w:t>
      </w:r>
    </w:p>
    <w:p w14:paraId="36523A18">
      <w:pPr>
        <w:adjustRightInd w:val="0"/>
        <w:snapToGrid w:val="0"/>
        <w:spacing w:line="360" w:lineRule="auto"/>
        <w:ind w:firstLine="482" w:firstLineChars="200"/>
        <w:rPr>
          <w:rFonts w:hAnsi="宋体"/>
          <w:b/>
          <w:bCs/>
          <w:sz w:val="24"/>
          <w:szCs w:val="24"/>
        </w:rPr>
      </w:pPr>
      <w:r>
        <w:rPr>
          <w:rFonts w:hint="eastAsia" w:hAnsi="宋体"/>
          <w:b/>
          <w:bCs/>
          <w:sz w:val="24"/>
          <w:szCs w:val="24"/>
        </w:rPr>
        <w:t>（七）侧袋机制的信息披露</w:t>
      </w:r>
    </w:p>
    <w:p w14:paraId="03D6943C">
      <w:pPr>
        <w:adjustRightInd w:val="0"/>
        <w:snapToGrid w:val="0"/>
        <w:spacing w:line="360" w:lineRule="auto"/>
        <w:ind w:firstLine="480" w:firstLineChars="200"/>
        <w:rPr>
          <w:rFonts w:hAnsi="宋体"/>
          <w:bCs/>
          <w:sz w:val="24"/>
          <w:szCs w:val="24"/>
        </w:rPr>
      </w:pPr>
      <w:r>
        <w:rPr>
          <w:rFonts w:hint="eastAsia" w:hAnsi="宋体"/>
          <w:bCs/>
          <w:sz w:val="24"/>
          <w:szCs w:val="24"/>
        </w:rPr>
        <w:t>1、临时公告</w:t>
      </w:r>
    </w:p>
    <w:p w14:paraId="597FC5CE">
      <w:pPr>
        <w:adjustRightInd w:val="0"/>
        <w:snapToGrid w:val="0"/>
        <w:spacing w:line="360" w:lineRule="auto"/>
        <w:ind w:firstLine="480" w:firstLineChars="200"/>
        <w:rPr>
          <w:rFonts w:hAnsi="宋体"/>
          <w:bCs/>
          <w:sz w:val="24"/>
          <w:szCs w:val="24"/>
        </w:rPr>
      </w:pPr>
      <w:r>
        <w:rPr>
          <w:rFonts w:hint="eastAsia" w:hAnsi="宋体"/>
          <w:bCs/>
          <w:sz w:val="24"/>
          <w:szCs w:val="24"/>
        </w:rPr>
        <w:t>在启用侧袋机制、处置特定资产、终止侧袋机制以及发生其他可能对投资者利益产生重大影响的事项后基金管理人应及时发布临时公告。</w:t>
      </w:r>
    </w:p>
    <w:p w14:paraId="4190999B">
      <w:pPr>
        <w:adjustRightInd w:val="0"/>
        <w:snapToGrid w:val="0"/>
        <w:spacing w:line="360" w:lineRule="auto"/>
        <w:ind w:firstLine="480" w:firstLineChars="200"/>
        <w:rPr>
          <w:rFonts w:hAnsi="宋体"/>
          <w:bCs/>
          <w:sz w:val="24"/>
          <w:szCs w:val="24"/>
        </w:rPr>
      </w:pPr>
      <w:r>
        <w:rPr>
          <w:rFonts w:hint="eastAsia" w:hAnsi="宋体"/>
          <w:bCs/>
          <w:sz w:val="24"/>
          <w:szCs w:val="24"/>
        </w:rPr>
        <w:t>2、基金净值信息</w:t>
      </w:r>
    </w:p>
    <w:p w14:paraId="4FECCA5B">
      <w:pPr>
        <w:adjustRightInd w:val="0"/>
        <w:snapToGrid w:val="0"/>
        <w:spacing w:line="360" w:lineRule="auto"/>
        <w:ind w:firstLine="480" w:firstLineChars="200"/>
        <w:rPr>
          <w:rFonts w:hAnsi="宋体"/>
          <w:bCs/>
          <w:sz w:val="24"/>
          <w:szCs w:val="24"/>
        </w:rPr>
      </w:pPr>
      <w:r>
        <w:rPr>
          <w:rFonts w:hint="eastAsia" w:hAnsi="宋体"/>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14:paraId="71DDD5C8">
      <w:pPr>
        <w:adjustRightInd w:val="0"/>
        <w:snapToGrid w:val="0"/>
        <w:spacing w:line="360" w:lineRule="auto"/>
        <w:ind w:firstLine="480" w:firstLineChars="200"/>
        <w:rPr>
          <w:rFonts w:hAnsi="宋体"/>
          <w:bCs/>
          <w:sz w:val="24"/>
          <w:szCs w:val="24"/>
        </w:rPr>
      </w:pPr>
      <w:r>
        <w:rPr>
          <w:rFonts w:hint="eastAsia" w:hAnsi="宋体"/>
          <w:bCs/>
          <w:sz w:val="24"/>
          <w:szCs w:val="24"/>
        </w:rPr>
        <w:t>3、定期报告</w:t>
      </w:r>
    </w:p>
    <w:p w14:paraId="00B9CB00">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侧袋机制实施期间，基金管理人应当在基金定期报告中披露报告期内侧袋账户相关信息，基金定期报告中的基金会计报表仅需针对主袋账户进行编制。</w:t>
      </w:r>
      <w:bookmarkStart w:id="105" w:name="_Hlk45747214"/>
      <w:r>
        <w:rPr>
          <w:rFonts w:hint="eastAsia" w:hAnsi="宋体"/>
          <w:bCs/>
          <w:sz w:val="24"/>
          <w:szCs w:val="24"/>
        </w:rPr>
        <w:t>会计师事务所对基金年度报告进行审计时，应对报告期内基金侧袋机制运行相关的会计核算和年度报告披露等发表审计意见。</w:t>
      </w:r>
      <w:bookmarkEnd w:id="105"/>
    </w:p>
    <w:p w14:paraId="0FAE799B">
      <w:pPr>
        <w:widowControl/>
        <w:jc w:val="left"/>
        <w:rPr>
          <w:rFonts w:hAnsi="宋体"/>
          <w:bCs/>
          <w:sz w:val="24"/>
          <w:szCs w:val="24"/>
        </w:rPr>
      </w:pPr>
      <w:r>
        <w:rPr>
          <w:rFonts w:hAnsi="宋体"/>
          <w:bCs/>
          <w:sz w:val="24"/>
          <w:szCs w:val="24"/>
        </w:rPr>
        <w:br w:type="page"/>
      </w:r>
    </w:p>
    <w:p w14:paraId="18E3786C">
      <w:pPr>
        <w:widowControl/>
        <w:adjustRightInd w:val="0"/>
        <w:snapToGrid w:val="0"/>
        <w:spacing w:before="143" w:beforeLines="50" w:after="143" w:afterLines="50" w:line="360" w:lineRule="auto"/>
        <w:jc w:val="center"/>
        <w:outlineLvl w:val="0"/>
        <w:rPr>
          <w:rFonts w:ascii="宋体" w:hAnsi="宋体"/>
          <w:b/>
          <w:kern w:val="0"/>
          <w:sz w:val="30"/>
        </w:rPr>
      </w:pPr>
      <w:bookmarkStart w:id="106" w:name="_Toc50983785"/>
      <w:bookmarkStart w:id="107" w:name="OLE_LINK21"/>
      <w:bookmarkStart w:id="108" w:name="_Hlk120820119"/>
      <w:r>
        <w:rPr>
          <w:rFonts w:hint="eastAsia" w:ascii="宋体" w:hAnsi="宋体"/>
          <w:b/>
          <w:kern w:val="0"/>
          <w:sz w:val="30"/>
        </w:rPr>
        <w:t>十七、风险揭示</w:t>
      </w:r>
      <w:bookmarkEnd w:id="106"/>
    </w:p>
    <w:p w14:paraId="0A2F4F95">
      <w:pPr>
        <w:adjustRightInd w:val="0"/>
        <w:snapToGrid w:val="0"/>
        <w:spacing w:line="360" w:lineRule="auto"/>
        <w:ind w:firstLine="480" w:firstLineChars="20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09" w:name="_Hlt88901012"/>
      <w:bookmarkEnd w:id="109"/>
      <w:bookmarkStart w:id="110" w:name="_Hlt91150550"/>
      <w:bookmarkEnd w:id="110"/>
      <w:bookmarkStart w:id="111" w:name="_Toc109537396"/>
      <w:r>
        <w:rPr>
          <w:rFonts w:hAnsi="宋体"/>
          <w:sz w:val="24"/>
          <w:szCs w:val="24"/>
        </w:rPr>
        <w:t>生的收益，也可能承担</w:t>
      </w:r>
      <w:bookmarkEnd w:id="111"/>
      <w:r>
        <w:rPr>
          <w:rFonts w:hAnsi="宋体"/>
          <w:sz w:val="24"/>
          <w:szCs w:val="24"/>
        </w:rPr>
        <w:t>基金投资所带来的损失。</w:t>
      </w:r>
    </w:p>
    <w:p w14:paraId="2A88DFD3">
      <w:pPr>
        <w:adjustRightInd w:val="0"/>
        <w:snapToGrid w:val="0"/>
        <w:spacing w:line="360" w:lineRule="auto"/>
        <w:ind w:firstLine="480" w:firstLineChars="200"/>
        <w:rPr>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基金总份额的百分之十时，投资人将可能无法及时赎回持有的全部基金份额。基金分为股票</w:t>
      </w:r>
      <w:r>
        <w:rPr>
          <w:rFonts w:hint="eastAsia" w:hAnsi="宋体"/>
          <w:sz w:val="24"/>
          <w:szCs w:val="24"/>
        </w:rPr>
        <w:t>型</w:t>
      </w:r>
      <w:r>
        <w:rPr>
          <w:rFonts w:hAnsi="宋体"/>
          <w:sz w:val="24"/>
          <w:szCs w:val="24"/>
        </w:rPr>
        <w:t>基金、混合</w:t>
      </w:r>
      <w:r>
        <w:rPr>
          <w:rFonts w:hint="eastAsia" w:hAnsi="宋体"/>
          <w:sz w:val="24"/>
          <w:szCs w:val="24"/>
        </w:rPr>
        <w:t>型</w:t>
      </w:r>
      <w:r>
        <w:rPr>
          <w:rFonts w:hAnsi="宋体"/>
          <w:sz w:val="24"/>
          <w:szCs w:val="24"/>
        </w:rPr>
        <w:t>基金、债券</w:t>
      </w:r>
      <w:r>
        <w:rPr>
          <w:rFonts w:hint="eastAsia" w:hAnsi="宋体"/>
          <w:sz w:val="24"/>
          <w:szCs w:val="24"/>
        </w:rPr>
        <w:t>型</w:t>
      </w:r>
      <w:r>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17FC7D5E">
      <w:pPr>
        <w:adjustRightInd w:val="0"/>
        <w:snapToGrid w:val="0"/>
        <w:spacing w:line="360" w:lineRule="auto"/>
        <w:ind w:firstLine="480" w:firstLineChars="200"/>
        <w:rPr>
          <w:sz w:val="24"/>
          <w:szCs w:val="24"/>
        </w:rPr>
      </w:pPr>
      <w:r>
        <w:rPr>
          <w:rFonts w:hAnsi="宋体"/>
          <w:sz w:val="24"/>
          <w:szCs w:val="24"/>
        </w:rPr>
        <w:t>投资人应当认真阅读《基金合同》、《招募说明书》、</w:t>
      </w:r>
      <w:r>
        <w:rPr>
          <w:rFonts w:hint="eastAsia" w:hAnsi="宋体"/>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14:paraId="159F3AF6">
      <w:pPr>
        <w:adjustRightInd w:val="0"/>
        <w:snapToGrid w:val="0"/>
        <w:spacing w:line="360" w:lineRule="auto"/>
        <w:ind w:firstLine="480" w:firstLineChars="20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6EE1409B">
      <w:pPr>
        <w:widowControl/>
        <w:adjustRightInd w:val="0"/>
        <w:snapToGrid w:val="0"/>
        <w:spacing w:line="360" w:lineRule="auto"/>
        <w:ind w:firstLine="480" w:firstLineChars="200"/>
        <w:rPr>
          <w:sz w:val="24"/>
          <w:szCs w:val="24"/>
        </w:rPr>
      </w:pPr>
      <w:r>
        <w:rPr>
          <w:rFonts w:hAnsi="宋体"/>
          <w:sz w:val="24"/>
          <w:szCs w:val="24"/>
        </w:rPr>
        <w:t>因</w:t>
      </w:r>
      <w:r>
        <w:rPr>
          <w:rFonts w:hint="eastAsia" w:hAnsi="宋体"/>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int="eastAsia" w:hAnsi="宋体"/>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14:paraId="766233FC">
      <w:pPr>
        <w:widowControl/>
        <w:adjustRightInd w:val="0"/>
        <w:snapToGrid w:val="0"/>
        <w:spacing w:line="360" w:lineRule="auto"/>
        <w:ind w:firstLine="480" w:firstLineChars="200"/>
        <w:rPr>
          <w:sz w:val="24"/>
          <w:szCs w:val="24"/>
        </w:rPr>
      </w:pPr>
      <w:r>
        <w:rPr>
          <w:rFonts w:hAnsi="宋体"/>
          <w:sz w:val="24"/>
          <w:szCs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14:paraId="4DD2FDBB">
      <w:pPr>
        <w:widowControl/>
        <w:adjustRightInd w:val="0"/>
        <w:snapToGrid w:val="0"/>
        <w:spacing w:line="360" w:lineRule="auto"/>
        <w:ind w:firstLine="480" w:firstLineChars="200"/>
        <w:rPr>
          <w:kern w:val="0"/>
          <w:sz w:val="24"/>
          <w:szCs w:val="24"/>
        </w:rPr>
      </w:pPr>
      <w:r>
        <w:rPr>
          <w:rFonts w:hAnsi="宋体"/>
          <w:kern w:val="0"/>
          <w:sz w:val="24"/>
          <w:szCs w:val="24"/>
        </w:rPr>
        <w:t>基金份额持有人须了解并承受以下风险：</w:t>
      </w:r>
    </w:p>
    <w:p w14:paraId="0C0176D7">
      <w:pPr>
        <w:adjustRightInd w:val="0"/>
        <w:snapToGrid w:val="0"/>
        <w:spacing w:line="360" w:lineRule="auto"/>
        <w:ind w:firstLine="482"/>
        <w:rPr>
          <w:b/>
          <w:bCs/>
          <w:sz w:val="24"/>
        </w:rPr>
      </w:pPr>
      <w:r>
        <w:rPr>
          <w:b/>
          <w:bCs/>
          <w:sz w:val="24"/>
        </w:rPr>
        <w:t>（一）市场风险</w:t>
      </w:r>
    </w:p>
    <w:p w14:paraId="60BB7D60">
      <w:pPr>
        <w:widowControl/>
        <w:adjustRightInd w:val="0"/>
        <w:snapToGrid w:val="0"/>
        <w:spacing w:line="360" w:lineRule="auto"/>
        <w:ind w:firstLine="480" w:firstLineChars="20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14:paraId="1F05A771">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14:paraId="7AB5D746">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48E7EE82">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16B6DF81">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6342C3FB">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512E4F4D">
      <w:pPr>
        <w:adjustRightInd w:val="0"/>
        <w:snapToGrid w:val="0"/>
        <w:spacing w:line="360" w:lineRule="auto"/>
        <w:ind w:firstLine="482"/>
        <w:rPr>
          <w:b/>
          <w:bCs/>
          <w:sz w:val="24"/>
        </w:rPr>
      </w:pPr>
      <w:r>
        <w:rPr>
          <w:b/>
          <w:bCs/>
          <w:sz w:val="24"/>
        </w:rPr>
        <w:t>（二）管理风险</w:t>
      </w:r>
    </w:p>
    <w:p w14:paraId="1BC55233">
      <w:pPr>
        <w:widowControl/>
        <w:adjustRightInd w:val="0"/>
        <w:snapToGrid w:val="0"/>
        <w:spacing w:line="360" w:lineRule="auto"/>
        <w:ind w:firstLine="480" w:firstLineChars="20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285C40BE">
      <w:pPr>
        <w:adjustRightInd w:val="0"/>
        <w:snapToGrid w:val="0"/>
        <w:spacing w:line="360" w:lineRule="auto"/>
        <w:ind w:firstLine="482"/>
        <w:rPr>
          <w:b/>
          <w:bCs/>
          <w:sz w:val="24"/>
        </w:rPr>
      </w:pPr>
      <w:r>
        <w:rPr>
          <w:b/>
          <w:bCs/>
          <w:sz w:val="24"/>
        </w:rPr>
        <w:t>（三）流动性风险</w:t>
      </w:r>
    </w:p>
    <w:p w14:paraId="3B1B01B1">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本基金属于开放式基金，</w:t>
      </w:r>
      <w:r>
        <w:rPr>
          <w:rFonts w:hint="eastAsia" w:hAnsi="宋体"/>
          <w:kern w:val="0"/>
          <w:sz w:val="24"/>
          <w:szCs w:val="24"/>
        </w:rPr>
        <w:t>在基金的所有开放日，基金管理人都有义务接受投资人的赎回</w:t>
      </w:r>
      <w:r>
        <w:rPr>
          <w:rFonts w:hAnsi="宋体"/>
          <w:kern w:val="0"/>
          <w:sz w:val="24"/>
          <w:szCs w:val="24"/>
        </w:rPr>
        <w:t>。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6C1582F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1、本基金的申购、赎回安排</w:t>
      </w:r>
    </w:p>
    <w:p w14:paraId="269BF1D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本基金采用开放方式运作，基金管理人在开放日办理基金份额的申购及/或赎回，具体办理时间为上海证券交易所、深圳证券交易所的正常交易日的交易时间（若</w:t>
      </w:r>
      <w:r>
        <w:rPr>
          <w:rFonts w:hAnsi="宋体"/>
          <w:kern w:val="0"/>
          <w:sz w:val="24"/>
          <w:szCs w:val="24"/>
        </w:rPr>
        <w:t>该工作日为非港股通交易日，则本基金可不开放）</w:t>
      </w:r>
      <w:r>
        <w:rPr>
          <w:rFonts w:hint="eastAsia" w:hAnsi="宋体"/>
          <w:kern w:val="0"/>
          <w:sz w:val="24"/>
          <w:szCs w:val="24"/>
        </w:rPr>
        <w:t>，但基金管理人根据法律法规、中国证监会的要求或基金合同的规定公告暂停申购、赎回时除外。基金管理人可根据实际情况依法决定本基金开始办理申购的具体日期，具体业务办理时间在申购开始公告中规定。</w:t>
      </w:r>
      <w:r>
        <w:rPr>
          <w:rFonts w:hint="eastAsia"/>
          <w:sz w:val="24"/>
          <w:szCs w:val="24"/>
        </w:rPr>
        <w:t>基金管理人自基金合同生效之日起不超过</w:t>
      </w:r>
      <w:r>
        <w:rPr>
          <w:rFonts w:hint="eastAsia" w:hAnsi="宋体"/>
          <w:kern w:val="0"/>
          <w:sz w:val="24"/>
          <w:szCs w:val="24"/>
        </w:rPr>
        <w:t>三个月</w:t>
      </w:r>
      <w:r>
        <w:rPr>
          <w:rFonts w:hint="eastAsia"/>
          <w:sz w:val="24"/>
          <w:szCs w:val="24"/>
        </w:rPr>
        <w:t>开始办理赎回，具体业务办理时间在赎回开始公告中规定。</w:t>
      </w:r>
    </w:p>
    <w:p w14:paraId="4B36CA0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2、投资市场、行业及资产的流动性风险评估</w:t>
      </w:r>
    </w:p>
    <w:p w14:paraId="624826F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的投资市场主要为证券交易所、期货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42CBEB5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3、巨额赎回情形下的流动性风险管理措施</w:t>
      </w:r>
    </w:p>
    <w:p w14:paraId="4BF6915B">
      <w:pPr>
        <w:widowControl/>
        <w:adjustRightInd w:val="0"/>
        <w:snapToGrid w:val="0"/>
        <w:spacing w:line="360" w:lineRule="auto"/>
        <w:ind w:firstLine="480" w:firstLineChars="200"/>
        <w:rPr>
          <w:rFonts w:hAnsi="宋体"/>
          <w:kern w:val="0"/>
          <w:sz w:val="24"/>
          <w:szCs w:val="24"/>
        </w:rPr>
      </w:pPr>
      <w:bookmarkStart w:id="112" w:name="_Hlk120874249"/>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3F79D5C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14:paraId="1B7C939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14:paraId="6308DC2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int="eastAsia" w:hAnsi="宋体"/>
          <w:kern w:val="0"/>
          <w:sz w:val="24"/>
          <w:szCs w:val="24"/>
        </w:rPr>
        <w:t>的基金份额净值为基础计算赎回金额，以此类推，直到全部赎回为止。如投资人在提交赎回申请时未作明确选择，投资人未能赎回部分作自动延期赎回处理。</w:t>
      </w:r>
    </w:p>
    <w:p w14:paraId="6F0C931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14:paraId="598DD74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int="eastAsia" w:hAnsi="宋体"/>
          <w:kern w:val="0"/>
          <w:sz w:val="24"/>
          <w:szCs w:val="24"/>
        </w:rPr>
        <w:t>的基金份额净值为基础计算赎回金额，以此类推，直到全部赎回为止。</w:t>
      </w:r>
    </w:p>
    <w:p w14:paraId="0246230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14:paraId="7E1E27F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bookmarkEnd w:id="112"/>
    <w:p w14:paraId="7707A18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4、实施备用的流动性风险管理工具的情形、程序及对投资者的潜在影响</w:t>
      </w:r>
    </w:p>
    <w:p w14:paraId="7E4AA6D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本基金在面临大规模赎回的情况下有可能因为无法变现造成流动性风险。</w:t>
      </w:r>
    </w:p>
    <w:p w14:paraId="64E9D51B">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14:paraId="59CD4E1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77D8517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0296B7C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基金管理人将根据主袋账户运作情况合理确定申购政策，因此实施侧袋机制后主袋账户份额存在暂停申购的可能。</w:t>
      </w:r>
    </w:p>
    <w:p w14:paraId="6107A82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6E4096DB">
      <w:pPr>
        <w:adjustRightInd w:val="0"/>
        <w:snapToGrid w:val="0"/>
        <w:spacing w:line="360" w:lineRule="auto"/>
        <w:ind w:firstLine="482"/>
        <w:rPr>
          <w:b/>
          <w:bCs/>
          <w:sz w:val="24"/>
        </w:rPr>
      </w:pPr>
      <w:r>
        <w:rPr>
          <w:b/>
          <w:bCs/>
          <w:sz w:val="24"/>
        </w:rPr>
        <w:t>（四）信用风险</w:t>
      </w:r>
    </w:p>
    <w:p w14:paraId="0F82BA4A">
      <w:pPr>
        <w:widowControl/>
        <w:adjustRightInd w:val="0"/>
        <w:snapToGrid w:val="0"/>
        <w:spacing w:line="360" w:lineRule="auto"/>
        <w:ind w:firstLine="480" w:firstLineChars="200"/>
        <w:rPr>
          <w:kern w:val="0"/>
          <w:sz w:val="24"/>
          <w:szCs w:val="24"/>
        </w:rPr>
      </w:pPr>
      <w:r>
        <w:rPr>
          <w:rFonts w:hAnsi="宋体"/>
          <w:kern w:val="0"/>
          <w:sz w:val="24"/>
          <w:szCs w:val="24"/>
        </w:rPr>
        <w:t>基金在交易过程</w:t>
      </w:r>
      <w:r>
        <w:rPr>
          <w:rFonts w:hint="eastAsia" w:hAnsi="宋体"/>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14:paraId="1EF357CC">
      <w:pPr>
        <w:adjustRightInd w:val="0"/>
        <w:snapToGrid w:val="0"/>
        <w:spacing w:line="360" w:lineRule="auto"/>
        <w:ind w:firstLine="482"/>
        <w:rPr>
          <w:b/>
          <w:bCs/>
          <w:sz w:val="24"/>
        </w:rPr>
      </w:pPr>
      <w:r>
        <w:rPr>
          <w:b/>
          <w:bCs/>
          <w:sz w:val="24"/>
        </w:rPr>
        <w:t>（五）本基金的</w:t>
      </w:r>
      <w:r>
        <w:rPr>
          <w:rFonts w:hint="eastAsia"/>
          <w:b/>
          <w:bCs/>
          <w:sz w:val="24"/>
        </w:rPr>
        <w:t>特有</w:t>
      </w:r>
      <w:r>
        <w:rPr>
          <w:b/>
          <w:bCs/>
          <w:sz w:val="24"/>
        </w:rPr>
        <w:t>风险</w:t>
      </w:r>
    </w:p>
    <w:p w14:paraId="17A105E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1、本基金为债券型基金，投资于债券资产的比例不低于基金资产的80%，因投资固定收益类资产而面临固定收益类资产市场的系统性风险和个券风险；</w:t>
      </w:r>
    </w:p>
    <w:p w14:paraId="7F73E36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40F9213C">
      <w:pPr>
        <w:widowControl/>
        <w:adjustRightInd w:val="0"/>
        <w:snapToGrid w:val="0"/>
        <w:spacing w:line="360" w:lineRule="auto"/>
        <w:ind w:firstLine="480" w:firstLineChars="200"/>
        <w:rPr>
          <w:rFonts w:hAnsi="宋体"/>
          <w:kern w:val="0"/>
          <w:sz w:val="24"/>
          <w:szCs w:val="24"/>
        </w:rPr>
      </w:pPr>
      <w:r>
        <w:rPr>
          <w:rFonts w:ascii="宋体" w:hAnsi="宋体"/>
          <w:sz w:val="24"/>
        </w:rPr>
        <w:t>3、本基金在主要投资于债券类资产的同时也积极关注股票市场的投资机会，会因投资权益类资产而面临权益类资产市场的系统性风险和个券风险；</w:t>
      </w:r>
    </w:p>
    <w:p w14:paraId="4A326AF9">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、投资其他基金的特定风险</w:t>
      </w:r>
    </w:p>
    <w:p w14:paraId="064AF9B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本基金可以投资</w:t>
      </w:r>
      <w:r>
        <w:rPr>
          <w:rFonts w:hint="eastAsia" w:ascii="宋体" w:hAnsi="宋体"/>
          <w:bCs/>
          <w:sz w:val="24"/>
          <w:szCs w:val="24"/>
        </w:rPr>
        <w:t>经中国证监会依法核准或注册的公开募集证券投资基金（</w:t>
      </w:r>
      <w:r>
        <w:rPr>
          <w:rFonts w:hint="eastAsia" w:ascii="宋体" w:hAnsi="宋体"/>
          <w:bCs/>
          <w:sz w:val="24"/>
          <w:szCs w:val="24"/>
          <w:lang w:val="en-US" w:eastAsia="zh-CN"/>
        </w:rPr>
        <w:t>仅</w:t>
      </w:r>
      <w:r>
        <w:rPr>
          <w:rFonts w:hint="eastAsia" w:ascii="宋体" w:hAnsi="宋体"/>
          <w:bCs/>
          <w:sz w:val="24"/>
          <w:szCs w:val="24"/>
        </w:rPr>
        <w:t>包含全市场的股票型ETF</w:t>
      </w:r>
      <w:r>
        <w:rPr>
          <w:rFonts w:hint="eastAsia"/>
          <w:bCs/>
          <w:sz w:val="24"/>
          <w:lang w:eastAsia="zh-CN"/>
        </w:rPr>
        <w:t>（</w:t>
      </w:r>
      <w:r>
        <w:rPr>
          <w:rFonts w:hint="eastAsia"/>
          <w:bCs/>
          <w:sz w:val="24"/>
          <w:lang w:val="en-US" w:eastAsia="zh-CN"/>
        </w:rPr>
        <w:t>含可投资境外市场的ETF</w:t>
      </w:r>
      <w:r>
        <w:rPr>
          <w:rFonts w:hint="eastAsia"/>
          <w:bCs/>
          <w:sz w:val="24"/>
          <w:lang w:eastAsia="zh-CN"/>
        </w:rPr>
        <w:t>）、</w:t>
      </w:r>
      <w:r>
        <w:rPr>
          <w:rFonts w:hint="eastAsia"/>
          <w:bCs/>
          <w:sz w:val="24"/>
        </w:rPr>
        <w:t>公开募集不动产投资信托基金（以下简称“公募REITs”）</w:t>
      </w:r>
      <w:r>
        <w:rPr>
          <w:rFonts w:hint="eastAsia" w:ascii="宋体" w:hAnsi="宋体"/>
          <w:bCs/>
          <w:sz w:val="24"/>
          <w:szCs w:val="24"/>
        </w:rPr>
        <w:t>及本基金管理人管理的股票型基金、计入权益类资产的混合型基金，不含香港互认基金、QDII基金</w:t>
      </w:r>
      <w:r>
        <w:rPr>
          <w:rFonts w:hint="eastAsia"/>
          <w:bCs/>
          <w:sz w:val="24"/>
          <w:lang w:eastAsia="zh-CN"/>
        </w:rPr>
        <w:t>（</w:t>
      </w:r>
      <w:r>
        <w:rPr>
          <w:rFonts w:hint="eastAsia"/>
          <w:bCs/>
          <w:sz w:val="24"/>
          <w:lang w:val="en-US" w:eastAsia="zh-CN"/>
        </w:rPr>
        <w:t>可投资境外市场的股票型ETF除外</w:t>
      </w:r>
      <w:r>
        <w:rPr>
          <w:rFonts w:hint="eastAsia"/>
          <w:bCs/>
          <w:sz w:val="24"/>
          <w:lang w:eastAsia="zh-CN"/>
        </w:rPr>
        <w:t>）</w:t>
      </w:r>
      <w:r>
        <w:rPr>
          <w:rFonts w:hint="eastAsia" w:ascii="宋体" w:hAnsi="宋体"/>
          <w:bCs/>
          <w:sz w:val="24"/>
          <w:szCs w:val="24"/>
        </w:rPr>
        <w:t>、基金中基金</w:t>
      </w:r>
      <w:r>
        <w:rPr>
          <w:rFonts w:hint="eastAsia" w:ascii="宋体" w:hAnsi="宋体"/>
          <w:bCs/>
          <w:sz w:val="24"/>
          <w:szCs w:val="24"/>
          <w:lang w:val="en-US" w:eastAsia="zh-CN"/>
        </w:rPr>
        <w:t>和</w:t>
      </w:r>
      <w:r>
        <w:rPr>
          <w:rFonts w:hint="eastAsia" w:ascii="宋体" w:hAnsi="宋体"/>
          <w:bCs/>
          <w:sz w:val="24"/>
          <w:szCs w:val="24"/>
        </w:rPr>
        <w:t>其他投资范围包含基金的基金、货币市场基金）</w:t>
      </w:r>
      <w:r>
        <w:rPr>
          <w:rFonts w:hint="eastAsia" w:ascii="宋体" w:hAnsi="宋体"/>
          <w:bCs/>
          <w:sz w:val="24"/>
          <w:szCs w:val="24"/>
          <w:lang w:eastAsia="zh-CN"/>
        </w:rPr>
        <w:t>，</w:t>
      </w:r>
      <w:r>
        <w:rPr>
          <w:rFonts w:hint="eastAsia" w:hAnsi="宋体"/>
          <w:kern w:val="0"/>
          <w:sz w:val="24"/>
          <w:szCs w:val="24"/>
        </w:rPr>
        <w:t>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14:paraId="36810A9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14:paraId="70DFB467">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、投资可上市交易基金的二级市场风险</w:t>
      </w:r>
    </w:p>
    <w:p w14:paraId="6B25564E">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本基金可通过二级市场进行ETF的买卖交易，由此可能面临交易量不足所引起的流动性风险、交易价格与基金份额净值之间的折溢价风险以及被投资基金暂停交易或退市的风险等。</w:t>
      </w:r>
    </w:p>
    <w:p w14:paraId="0DC1F7C2">
      <w:pPr>
        <w:widowControl/>
        <w:adjustRightInd w:val="0"/>
        <w:snapToGrid w:val="0"/>
        <w:spacing w:line="360" w:lineRule="auto"/>
        <w:ind w:firstLine="480" w:firstLineChars="200"/>
        <w:rPr>
          <w:kern w:val="0"/>
          <w:sz w:val="24"/>
          <w:szCs w:val="24"/>
        </w:rPr>
      </w:pPr>
      <w:r>
        <w:rPr>
          <w:rFonts w:hAnsi="宋体"/>
          <w:kern w:val="0"/>
          <w:sz w:val="24"/>
          <w:szCs w:val="24"/>
        </w:rPr>
        <w:t>6</w:t>
      </w:r>
      <w:r>
        <w:rPr>
          <w:rFonts w:hint="eastAsia" w:hAnsi="宋体"/>
          <w:kern w:val="0"/>
          <w:sz w:val="24"/>
          <w:szCs w:val="24"/>
        </w:rPr>
        <w:t>、本基金可投资创业板股票，创业板个股上市后的前五个交易日不设价格涨跌幅限制，第六个交易日开始涨跌幅限制比例为20%。</w:t>
      </w:r>
    </w:p>
    <w:p w14:paraId="14DED7EA">
      <w:pPr>
        <w:widowControl/>
        <w:adjustRightInd w:val="0"/>
        <w:snapToGrid w:val="0"/>
        <w:spacing w:line="360" w:lineRule="auto"/>
        <w:ind w:firstLine="480" w:firstLineChars="200"/>
        <w:rPr>
          <w:rFonts w:hAnsi="宋体"/>
          <w:kern w:val="0"/>
          <w:sz w:val="24"/>
          <w:szCs w:val="24"/>
        </w:rPr>
      </w:pPr>
      <w:r>
        <w:rPr>
          <w:rFonts w:hAnsi="宋体"/>
          <w:kern w:val="0"/>
          <w:sz w:val="24"/>
          <w:szCs w:val="24"/>
        </w:rPr>
        <w:t>7</w:t>
      </w:r>
      <w:r>
        <w:rPr>
          <w:rFonts w:hint="eastAsia" w:hAnsi="宋体"/>
          <w:kern w:val="0"/>
          <w:sz w:val="24"/>
          <w:szCs w:val="24"/>
        </w:rPr>
        <w:t>、</w:t>
      </w:r>
      <w:r>
        <w:rPr>
          <w:rFonts w:hAnsi="宋体"/>
          <w:kern w:val="0"/>
          <w:sz w:val="24"/>
          <w:szCs w:val="24"/>
        </w:rPr>
        <w:t>投资</w:t>
      </w:r>
      <w:r>
        <w:rPr>
          <w:rFonts w:hint="eastAsia" w:hAnsi="宋体"/>
          <w:kern w:val="0"/>
          <w:sz w:val="24"/>
          <w:szCs w:val="24"/>
        </w:rPr>
        <w:t>资产支持证券</w:t>
      </w:r>
      <w:r>
        <w:rPr>
          <w:rFonts w:hAnsi="宋体"/>
          <w:kern w:val="0"/>
          <w:sz w:val="24"/>
          <w:szCs w:val="24"/>
        </w:rPr>
        <w:t>的特定风险</w:t>
      </w:r>
    </w:p>
    <w:p w14:paraId="2B7CEF7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5DD27033">
      <w:pPr>
        <w:widowControl/>
        <w:adjustRightInd w:val="0"/>
        <w:snapToGrid w:val="0"/>
        <w:spacing w:line="360" w:lineRule="auto"/>
        <w:ind w:firstLine="480" w:firstLineChars="200"/>
        <w:rPr>
          <w:rFonts w:hAnsi="宋体"/>
          <w:kern w:val="0"/>
          <w:sz w:val="24"/>
          <w:szCs w:val="24"/>
        </w:rPr>
      </w:pPr>
      <w:r>
        <w:rPr>
          <w:rFonts w:hAnsi="宋体"/>
          <w:kern w:val="0"/>
          <w:sz w:val="24"/>
          <w:szCs w:val="24"/>
        </w:rPr>
        <w:t>8</w:t>
      </w:r>
      <w:r>
        <w:rPr>
          <w:rFonts w:hint="eastAsia" w:hAnsi="宋体"/>
          <w:kern w:val="0"/>
          <w:sz w:val="24"/>
          <w:szCs w:val="24"/>
        </w:rPr>
        <w:t>、投资流通受限证券的特定风险</w:t>
      </w:r>
    </w:p>
    <w:p w14:paraId="6DB9713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4D5A9777">
      <w:pPr>
        <w:widowControl/>
        <w:adjustRightInd w:val="0"/>
        <w:snapToGrid w:val="0"/>
        <w:spacing w:line="360" w:lineRule="auto"/>
        <w:ind w:firstLine="480" w:firstLineChars="200"/>
        <w:rPr>
          <w:rFonts w:hAnsi="宋体"/>
          <w:kern w:val="0"/>
          <w:sz w:val="24"/>
          <w:szCs w:val="24"/>
        </w:rPr>
      </w:pPr>
      <w:r>
        <w:rPr>
          <w:rFonts w:hAnsi="宋体"/>
          <w:kern w:val="0"/>
          <w:sz w:val="24"/>
          <w:szCs w:val="24"/>
        </w:rPr>
        <w:t>9</w:t>
      </w:r>
      <w:r>
        <w:rPr>
          <w:rFonts w:hint="eastAsia" w:hAnsi="宋体"/>
          <w:kern w:val="0"/>
          <w:sz w:val="24"/>
          <w:szCs w:val="24"/>
        </w:rPr>
        <w:t>、投资港股通标的股票的特定风险</w:t>
      </w:r>
    </w:p>
    <w:p w14:paraId="41FDA0D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本基金可投资港股通标的股票，会面临港股通机制下因投资环境、投资标的、市场制度以及交易规则等差异带来的特有风险，具体如下：</w:t>
      </w:r>
    </w:p>
    <w:p w14:paraId="2432294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（1）港股交易失败风险</w:t>
      </w:r>
    </w:p>
    <w:p w14:paraId="3B0BAE4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020F9FE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（2）汇率风险</w:t>
      </w:r>
    </w:p>
    <w:p w14:paraId="34DB326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50E0588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21BACAE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（3）境外市场的风险</w:t>
      </w:r>
    </w:p>
    <w:p w14:paraId="1FE2A3A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185030C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2）香港市场交易规则有别于内地A股市场规则，此外，在“内地与香港股票市场交易互联互通机制”下参与香港股票投资还将面临包括但不限于如下特殊风险：</w:t>
      </w:r>
    </w:p>
    <w:p w14:paraId="3B45788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a）香港市场实行T+0回转交易机制（即当日买入的股票，在交收前可以于当日卖出），且证券交易价格并无涨跌幅上下限的规定，因此每日涨跌幅空间相对较大，可能表现出比A股更为剧烈的股价波动；</w:t>
      </w:r>
    </w:p>
    <w:p w14:paraId="39ED7D7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269C613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c）当香港联合交易所出现规定的特定情形时，香港联合交易所将可能停市，投资者将面临在停市期间无法进行港股通交易的风险；出现内地证券交易服务公司认定的交易异常情况时，内地证券交易服务公司将可能暂停提供部分或者全部港股通服务，投资者将面临在暂停服务期间无法进行港股通交易的风险；</w:t>
      </w:r>
    </w:p>
    <w:p w14:paraId="396F7B3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d）投资者因港股通股票权益分派、转换、上市公司被收购等情形或者异常情况，所取得的港股通股票以外的香港联合交易所上市证券，只能通过港股通卖出，但不得买入，</w:t>
      </w:r>
      <w:r>
        <w:rPr>
          <w:rFonts w:hAnsi="宋体"/>
          <w:kern w:val="0"/>
          <w:sz w:val="24"/>
          <w:szCs w:val="24"/>
        </w:rPr>
        <w:t>内地证券交易所</w:t>
      </w:r>
      <w:r>
        <w:rPr>
          <w:rFonts w:hint="eastAsia" w:hAnsi="宋体"/>
          <w:kern w:val="0"/>
          <w:sz w:val="24"/>
          <w:szCs w:val="24"/>
        </w:rPr>
        <w:t>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6CE428A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e）代理投票。由于中国证券登记结算有限责任公司是在汇总投资者意愿后再向香港</w:t>
      </w:r>
      <w:r>
        <w:rPr>
          <w:rFonts w:hAnsi="宋体"/>
          <w:kern w:val="0"/>
          <w:sz w:val="24"/>
          <w:szCs w:val="24"/>
        </w:rPr>
        <w:t>中央结算有限公司</w:t>
      </w:r>
      <w:r>
        <w:rPr>
          <w:rFonts w:hint="eastAsia" w:hAnsi="宋体"/>
          <w:kern w:val="0"/>
          <w:sz w:val="24"/>
          <w:szCs w:val="24"/>
        </w:rPr>
        <w:t>提交投票意愿，中国证券登记结算有限责任公司对投资者设定的意愿征集期比香港</w:t>
      </w:r>
      <w:r>
        <w:rPr>
          <w:rFonts w:hAnsi="宋体"/>
          <w:kern w:val="0"/>
          <w:sz w:val="24"/>
          <w:szCs w:val="24"/>
        </w:rPr>
        <w:t>中央结算有限公司</w:t>
      </w:r>
      <w:r>
        <w:rPr>
          <w:rFonts w:hint="eastAsia" w:hAnsi="宋体"/>
          <w:kern w:val="0"/>
          <w:sz w:val="24"/>
          <w:szCs w:val="24"/>
        </w:rPr>
        <w:t>的征集期稍早结束；投票没有权益登记日的，以投票截止日的持有作为计算基准；投票数量超出持有数量的，按照比例分配持有基数。</w:t>
      </w:r>
    </w:p>
    <w:p w14:paraId="772B3A5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（4）本基金可根据投资策略需要或不同配置地市场环境的变化，选择将部分基金资产投资于港股</w:t>
      </w:r>
      <w:r>
        <w:rPr>
          <w:rFonts w:hint="eastAsia"/>
          <w:bCs/>
          <w:sz w:val="24"/>
        </w:rPr>
        <w:t>通标的股票</w:t>
      </w:r>
      <w:r>
        <w:rPr>
          <w:rFonts w:hint="eastAsia" w:hAnsi="宋体"/>
          <w:kern w:val="0"/>
          <w:sz w:val="24"/>
          <w:szCs w:val="24"/>
        </w:rPr>
        <w:t>或选择不将基金资产投资于港股</w:t>
      </w:r>
      <w:r>
        <w:rPr>
          <w:rFonts w:hint="eastAsia"/>
          <w:bCs/>
          <w:sz w:val="24"/>
        </w:rPr>
        <w:t>通标的股票</w:t>
      </w:r>
      <w:r>
        <w:rPr>
          <w:rFonts w:hint="eastAsia" w:hAnsi="宋体"/>
          <w:kern w:val="0"/>
          <w:sz w:val="24"/>
          <w:szCs w:val="24"/>
        </w:rPr>
        <w:t>，基金资产并非必然投资港股</w:t>
      </w:r>
      <w:r>
        <w:rPr>
          <w:rFonts w:hint="eastAsia"/>
          <w:bCs/>
          <w:sz w:val="24"/>
        </w:rPr>
        <w:t>通标的股票</w:t>
      </w:r>
      <w:r>
        <w:rPr>
          <w:rFonts w:hint="eastAsia" w:hAnsi="宋体"/>
          <w:kern w:val="0"/>
          <w:sz w:val="24"/>
          <w:szCs w:val="24"/>
        </w:rPr>
        <w:t>。</w:t>
      </w:r>
    </w:p>
    <w:p w14:paraId="6C72E10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以上所述因素可能会给本基金投资带来特殊交易风险。</w:t>
      </w:r>
    </w:p>
    <w:p w14:paraId="5D6BAC6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lang w:val="en-US" w:eastAsia="zh-CN"/>
        </w:rPr>
        <w:t>10</w:t>
      </w:r>
      <w:r>
        <w:rPr>
          <w:rFonts w:hint="eastAsia" w:hAnsi="宋体"/>
          <w:kern w:val="0"/>
          <w:sz w:val="24"/>
          <w:szCs w:val="24"/>
        </w:rPr>
        <w:t>、投资公募REITs可能面临的风险</w:t>
      </w:r>
    </w:p>
    <w:p w14:paraId="3E1E98A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公募REITs采用“公募基金+不动产资产支持证券”的产品结构，主要特点如下：一是公募REITs与投资股票或债券的公募基金具有不同的风险收益特征，80%以上基金资产投资于不动产资产支持证券，并持有其全部份额，基金通过不动产资产支持证券持有不动产项目公司全部股权，穿透取得不动产项目完全所有权或经营权利；二是公募REITs以获取不动产项目租金、收费等稳定现金流为主要目的，收益分配比例不低于合并后基金年度可供分配金额的90%；三是公募REITs采取封闭式运作，不开放申购与赎回，在证券交易所上市，场外份额持有人需将基金份额转托管至场内才可卖出或申报预受要约。</w:t>
      </w:r>
    </w:p>
    <w:p w14:paraId="184D9262">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投资公募REITs可能面临以下风险，包括但不限于：</w:t>
      </w:r>
    </w:p>
    <w:p w14:paraId="5BC1108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基金价格波动风险。公募REITs大部分资产投资于不动产项目，具有权益属性，受经济环境、运营管理等因素影响，不动产项目市场价值及现金流情况可能发生变化，可能引起公募REITs价格波动，甚至存在不动产项目遭遇极端事件（如地震、台风等）发生较大损失而影响基金价格的风险。</w:t>
      </w:r>
    </w:p>
    <w:p w14:paraId="669C772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不动产项目运营风险。公募REITs投资集中度高，收益率很大程度依赖不动产项目运营情况，不动产项目可能因经济环境变化或运营不善等因素影响，导致实际现金流大幅低于测算现金流，存在基金收益率不佳的风险，不动产项目运营过程中租金、收费等收入的波动也将影响基金收益分配水平的稳定。此外，公募REITs可直接或间接对外借款，存在不动产项目经营不达预期，基金无法偿还借款的风险。</w:t>
      </w:r>
    </w:p>
    <w:p w14:paraId="4392CF77">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基金份额交易价格折溢价风险。公募REITs基金合同生效后，将根据相关法律法规申请在交易所上市，在每个交易日的交易时间将根据相关交易规则确定交易价格，该交易价格可能受诸多因素影响；此外，公募REITs还将按照相关业务规则、基金合同约定进行估值并披露基金份额净值等信息。由于基金份额交易价格与基金份额净值形成机制以及影响因素不同，存在基金份额交易价格相对于基金份额净值折溢价的风险。</w:t>
      </w:r>
    </w:p>
    <w:p w14:paraId="424B794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流动性风险。公募REITs采取封闭式运作，不开放申购赎回，只能在二级市场交易，存在流动性不足的风险。此外，公募REITs持有不动产资产支持证券全部份额，如发生特殊情况需要处置不动产资产支持证券，可能会由于不动产资产支持证券流动性较弱而带来损失（如证券不能卖出或贬值出售等）。不动产资产支持证券通过项目公司持有的不动产资产可能会存在无法处置及变现的风险。</w:t>
      </w:r>
    </w:p>
    <w:p w14:paraId="20C1873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5</w:t>
      </w:r>
      <w:r>
        <w:rPr>
          <w:rFonts w:hint="eastAsia" w:hAnsi="宋体"/>
          <w:kern w:val="0"/>
          <w:sz w:val="24"/>
          <w:szCs w:val="24"/>
        </w:rPr>
        <w:t>）终止上市风险。公募REITs运作过程中可能因触发法律法规或交易所规定的终止上市情形而终止上市，导致投资者无法在二级市场交易。</w:t>
      </w:r>
    </w:p>
    <w:p w14:paraId="1D676BF1">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6</w:t>
      </w:r>
      <w:r>
        <w:rPr>
          <w:rFonts w:hint="eastAsia" w:hAnsi="宋体"/>
          <w:kern w:val="0"/>
          <w:sz w:val="24"/>
          <w:szCs w:val="24"/>
        </w:rPr>
        <w:t>）政策调整风险。公募REITs存在因相关法律法规或监管机构政策修改等基金管理人无法控制的因素的变化，使基金或投资者利益受到影响的风险，例如：公募REITs运作过程中可能涉及基金份额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14:paraId="14F3B93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利益冲突风险。公募REITs基金管理人可能同时管理多只同类型的公募REITs；公募REITs基金管理人聘请的运营管理机构可能持有或为其他同类型的不动产项目提供运营管理服务；公募REITs原始权益人也可能持有或管理其他同类型的不动产项目等。由于上述情况，公募REITs的关联方可能与公募REITs存在一定的利益冲突。</w:t>
      </w:r>
    </w:p>
    <w:p w14:paraId="33EEA0A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8</w:t>
      </w:r>
      <w:r>
        <w:rPr>
          <w:rFonts w:hint="eastAsia" w:hAnsi="宋体"/>
          <w:kern w:val="0"/>
          <w:sz w:val="24"/>
          <w:szCs w:val="24"/>
        </w:rPr>
        <w:t>）估值风险。不动产资产的评估以收益法为主，收益法进行估价时需要测算收益期、测算未来收益、确定报酬率或者资本化率，并将未来收益折现为现值。由于不动产资产的评估值是基于相关假设条件测算得到的，估值技术和信息的局限性导致不动产资产的评估值并不代表对不动产资产真实的公允价值，也不构成未来可交易价格的保证。在不动产项目出售的过程中，可能出现成交价格低于估值的情形，对基金财务状况造成不利影响。</w:t>
      </w:r>
    </w:p>
    <w:p w14:paraId="0AB1517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9</w:t>
      </w:r>
      <w:r>
        <w:rPr>
          <w:rFonts w:hint="eastAsia" w:hAnsi="宋体"/>
          <w:kern w:val="0"/>
          <w:sz w:val="24"/>
          <w:szCs w:val="24"/>
        </w:rPr>
        <w:t>）市场风险。公募REITs除投资于不动产资产支持证券外，也可以根据基金合同约定投资于其他资产，因此也面临证券市场价格波动风险。</w:t>
      </w:r>
    </w:p>
    <w:p w14:paraId="4A7A311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10</w:t>
      </w:r>
      <w:r>
        <w:rPr>
          <w:rFonts w:hint="eastAsia" w:hAnsi="宋体"/>
          <w:kern w:val="0"/>
          <w:sz w:val="24"/>
          <w:szCs w:val="24"/>
        </w:rPr>
        <w:t>）公募REITs相关法律法规和交易所业务规则，可能根据市场情况进行修改，或者制定新的法律法规和业务规则，投资者应当及时予以关注和了解。</w:t>
      </w:r>
    </w:p>
    <w:p w14:paraId="47CAACA5">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lang w:val="en-US" w:eastAsia="zh-CN"/>
        </w:rPr>
        <w:t>1</w:t>
      </w:r>
      <w:r>
        <w:rPr>
          <w:rFonts w:hint="eastAsia" w:hAnsi="宋体"/>
          <w:kern w:val="0"/>
          <w:sz w:val="24"/>
          <w:szCs w:val="24"/>
        </w:rPr>
        <w:t>、投资科创板股票的特定风险</w:t>
      </w:r>
    </w:p>
    <w:p w14:paraId="0428FAF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14:paraId="5F9B2E0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（1）市场风险</w:t>
      </w:r>
    </w:p>
    <w:p w14:paraId="396DFCD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303004A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科创板个股上市后的前五个交易日无涨跌停限制，其后涨跌幅限制为20%，科创板股票上市首日即可作为融资融券标的，可能导致较大的股票价格波动。</w:t>
      </w:r>
    </w:p>
    <w:p w14:paraId="7C5077A5">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（2）流动性风险</w:t>
      </w:r>
    </w:p>
    <w:p w14:paraId="5B67A6A3">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科创板整体投资门槛较高，二级市场上个人投资者参与度相对较低，机构持有个股大量流通盘导致个股流动性较差，基金组合存在无法及时变现及其他相关流动性风险。</w:t>
      </w:r>
    </w:p>
    <w:p w14:paraId="336ABE89">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（3）退市风险</w:t>
      </w:r>
    </w:p>
    <w:p w14:paraId="7AFD2C3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科创板退市制度较主板更为严格，且不再设置暂停上市、恢复上市和重新上市环节，上市公司退市风险更大。</w:t>
      </w:r>
    </w:p>
    <w:p w14:paraId="67A2155A">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（4）系统性风险</w:t>
      </w:r>
    </w:p>
    <w:p w14:paraId="00AA2E6C">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科创板企业均为市场认可度较高的科技创新企业，在企业经营及盈利模式上存在趋同，所以科创板个股相关性较高，市场表现不佳时，系统性风险将更为显著。</w:t>
      </w:r>
    </w:p>
    <w:p w14:paraId="76A2CBD4">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（5）政策风险</w:t>
      </w:r>
    </w:p>
    <w:p w14:paraId="0DCE17CF">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国家对高新技术产业扶持力度及重视程度的变化会对科创板企业带来较大影响，国际经济形势变化对战略新兴产业及科创板个股也会带来政策影响。</w:t>
      </w:r>
    </w:p>
    <w:p w14:paraId="2FDFF0C6">
      <w:pPr>
        <w:widowControl/>
        <w:adjustRightInd w:val="0"/>
        <w:snapToGrid w:val="0"/>
        <w:spacing w:line="360" w:lineRule="auto"/>
        <w:ind w:firstLine="480" w:firstLineChars="200"/>
        <w:rPr>
          <w:rFonts w:hAnsi="宋体"/>
          <w:bCs/>
          <w:kern w:val="0"/>
          <w:sz w:val="24"/>
          <w:szCs w:val="24"/>
        </w:rPr>
      </w:pPr>
      <w:r>
        <w:rPr>
          <w:rFonts w:hAnsi="宋体"/>
          <w:bCs/>
          <w:kern w:val="0"/>
          <w:sz w:val="24"/>
          <w:szCs w:val="24"/>
        </w:rPr>
        <w:t>1</w:t>
      </w:r>
      <w:r>
        <w:rPr>
          <w:rFonts w:hint="eastAsia" w:hAnsi="宋体"/>
          <w:bCs/>
          <w:kern w:val="0"/>
          <w:sz w:val="24"/>
          <w:szCs w:val="24"/>
          <w:lang w:val="en-US" w:eastAsia="zh-CN"/>
        </w:rPr>
        <w:t>2</w:t>
      </w:r>
      <w:r>
        <w:rPr>
          <w:rFonts w:hint="eastAsia" w:hAnsi="宋体"/>
          <w:bCs/>
          <w:kern w:val="0"/>
          <w:sz w:val="24"/>
          <w:szCs w:val="24"/>
        </w:rPr>
        <w:t>、投资存托凭证的特定风险</w:t>
      </w:r>
    </w:p>
    <w:p w14:paraId="3486AF85">
      <w:pPr>
        <w:widowControl/>
        <w:adjustRightInd w:val="0"/>
        <w:snapToGrid w:val="0"/>
        <w:spacing w:line="360" w:lineRule="auto"/>
        <w:ind w:firstLine="480" w:firstLineChars="200"/>
        <w:rPr>
          <w:rFonts w:hAnsi="宋体"/>
          <w:bCs/>
          <w:kern w:val="0"/>
          <w:sz w:val="24"/>
          <w:szCs w:val="24"/>
        </w:rPr>
      </w:pPr>
      <w:r>
        <w:rPr>
          <w:rFonts w:hint="eastAsia" w:hAnsi="宋体"/>
          <w:bCs/>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14B571BF">
      <w:pPr>
        <w:widowControl/>
        <w:adjustRightInd w:val="0"/>
        <w:snapToGrid w:val="0"/>
        <w:spacing w:line="360" w:lineRule="auto"/>
        <w:ind w:firstLine="480" w:firstLineChars="200"/>
        <w:rPr>
          <w:rFonts w:hAnsi="宋体"/>
          <w:bCs/>
          <w:kern w:val="0"/>
          <w:sz w:val="24"/>
          <w:szCs w:val="24"/>
        </w:rPr>
      </w:pPr>
      <w:r>
        <w:rPr>
          <w:rFonts w:hint="eastAsia" w:hAnsi="宋体"/>
          <w:bCs/>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5B9684C9">
      <w:pPr>
        <w:widowControl/>
        <w:adjustRightInd w:val="0"/>
        <w:snapToGrid w:val="0"/>
        <w:spacing w:line="360" w:lineRule="auto"/>
        <w:ind w:firstLine="480" w:firstLineChars="200"/>
        <w:rPr>
          <w:rFonts w:hAnsi="宋体"/>
          <w:bCs/>
          <w:kern w:val="0"/>
          <w:sz w:val="24"/>
          <w:szCs w:val="24"/>
        </w:rPr>
      </w:pPr>
      <w:r>
        <w:rPr>
          <w:rFonts w:hint="eastAsia" w:hAnsi="宋体"/>
          <w:bCs/>
          <w:kern w:val="0"/>
          <w:sz w:val="24"/>
          <w:szCs w:val="24"/>
        </w:rPr>
        <w:t>本基金可根据投资策略需要或市场环境的变化，选择将部分基金资产投资于存托凭证或选择不将基金资产投资于存托凭证，基金资产并非必然投资存托凭证。</w:t>
      </w:r>
    </w:p>
    <w:p w14:paraId="10AEB3AB">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lang w:val="en-US" w:eastAsia="zh-CN"/>
        </w:rPr>
        <w:t>3</w:t>
      </w:r>
      <w:r>
        <w:rPr>
          <w:rFonts w:hint="eastAsia" w:hAnsi="宋体"/>
          <w:kern w:val="0"/>
          <w:sz w:val="24"/>
          <w:szCs w:val="24"/>
        </w:rPr>
        <w:t>、投资国债期货的特定风险</w:t>
      </w:r>
    </w:p>
    <w:p w14:paraId="37398A16">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国债期货，国债期货的投资可能给本基金带来额外风险。国债期货的投资可能面临市场风险、基差风险、流动性风险。市场风险是因期货市场价格波动使所持有的期货合约价值发生变化的风险。基差风险是期货市场的特有风险之一，是指由于期货与现货之间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0C2CD8CF">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lang w:val="en-US" w:eastAsia="zh-CN"/>
        </w:rPr>
        <w:t>4</w:t>
      </w:r>
      <w:r>
        <w:rPr>
          <w:rFonts w:hint="eastAsia" w:hAnsi="宋体"/>
          <w:kern w:val="0"/>
          <w:sz w:val="24"/>
          <w:szCs w:val="24"/>
        </w:rPr>
        <w:t>、信用衍生品投资风险</w:t>
      </w:r>
    </w:p>
    <w:p w14:paraId="116B451D">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为对冲信用风险，本基金可能投资于信用衍生品，若投资信用衍生品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14:paraId="0ED66F93">
      <w:pPr>
        <w:widowControl/>
        <w:adjustRightInd w:val="0"/>
        <w:snapToGrid w:val="0"/>
        <w:spacing w:line="360" w:lineRule="auto"/>
        <w:ind w:firstLine="482" w:firstLineChars="200"/>
        <w:rPr>
          <w:rFonts w:hAnsi="宋体"/>
          <w:b/>
          <w:kern w:val="0"/>
          <w:sz w:val="24"/>
          <w:szCs w:val="24"/>
        </w:rPr>
      </w:pPr>
      <w:r>
        <w:rPr>
          <w:rFonts w:hint="eastAsia" w:hAnsi="宋体"/>
          <w:b/>
          <w:kern w:val="0"/>
          <w:sz w:val="24"/>
          <w:szCs w:val="24"/>
        </w:rPr>
        <w:t>（六）本基金法律文件风险收益特征表述与销售机构基金风险评价可能不一致的风险</w:t>
      </w:r>
    </w:p>
    <w:p w14:paraId="14017B78">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本基金法律文件投资章节有关风险收益特征的表述是基于投资范围、投资比例、证券市场普遍规律等做出的概述性描述，代表了一般市场情况下本基金的长期风险收益特征。销售机构</w:t>
      </w:r>
      <w:r>
        <w:rPr>
          <w:rFonts w:hAnsi="宋体"/>
          <w:kern w:val="0"/>
          <w:sz w:val="24"/>
          <w:szCs w:val="24"/>
        </w:rPr>
        <w:t>(</w:t>
      </w:r>
      <w:r>
        <w:rPr>
          <w:rFonts w:hint="eastAsia" w:hAnsi="宋体"/>
          <w:kern w:val="0"/>
          <w:sz w:val="24"/>
          <w:szCs w:val="24"/>
        </w:rPr>
        <w:t>包括基金管理人直销机构和其他销售机构</w:t>
      </w:r>
      <w:r>
        <w:rPr>
          <w:rFonts w:hAnsi="宋体"/>
          <w:kern w:val="0"/>
          <w:sz w:val="24"/>
          <w:szCs w:val="24"/>
        </w:rPr>
        <w:t>)</w:t>
      </w:r>
      <w:r>
        <w:rPr>
          <w:rFonts w:hint="eastAsia" w:hAnsi="宋体"/>
          <w:kern w:val="0"/>
          <w:sz w:val="24"/>
          <w:szCs w:val="24"/>
        </w:rPr>
        <w:t>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40715BC7">
      <w:pPr>
        <w:widowControl/>
        <w:adjustRightInd w:val="0"/>
        <w:snapToGrid w:val="0"/>
        <w:spacing w:line="360" w:lineRule="auto"/>
        <w:ind w:firstLine="482" w:firstLineChars="200"/>
        <w:rPr>
          <w:b/>
          <w:kern w:val="0"/>
          <w:sz w:val="24"/>
          <w:szCs w:val="24"/>
        </w:rPr>
      </w:pPr>
      <w:r>
        <w:rPr>
          <w:rFonts w:hint="eastAsia" w:hAnsi="宋体"/>
          <w:b/>
          <w:kern w:val="0"/>
          <w:sz w:val="24"/>
          <w:szCs w:val="24"/>
        </w:rPr>
        <w:t>（七）</w:t>
      </w:r>
      <w:r>
        <w:rPr>
          <w:rFonts w:hAnsi="宋体"/>
          <w:b/>
          <w:kern w:val="0"/>
          <w:sz w:val="24"/>
          <w:szCs w:val="24"/>
        </w:rPr>
        <w:t>其他风险</w:t>
      </w:r>
    </w:p>
    <w:p w14:paraId="21F713F7">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、因技术因素而产生的风险，如电脑系统不可靠产生的风险；</w:t>
      </w:r>
    </w:p>
    <w:p w14:paraId="0A7F8EAD">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、因基金业务快速发展，在制度建设、人员配备、内控制度建立等方面的不完善产生的风险；</w:t>
      </w:r>
    </w:p>
    <w:p w14:paraId="010934D5">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、因人为因素而产生的风险、如内幕交易、欺诈行为等产生的风险；</w:t>
      </w:r>
    </w:p>
    <w:p w14:paraId="7EFD96D5">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、对主要业务人员如基金经理的依赖而可能产生的风险；</w:t>
      </w:r>
    </w:p>
    <w:p w14:paraId="15DBB2D2">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、因业务竞争压力可能产生的风险；</w:t>
      </w:r>
    </w:p>
    <w:p w14:paraId="4693B1CA">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、战争、自然灾害等不可抗力可能导致基金财产的损失，影响基金收益水平，从而带来风险；</w:t>
      </w:r>
    </w:p>
    <w:p w14:paraId="21DA8FA9">
      <w:pPr>
        <w:widowControl/>
        <w:adjustRightInd w:val="0"/>
        <w:snapToGrid w:val="0"/>
        <w:spacing w:line="360" w:lineRule="auto"/>
        <w:ind w:firstLine="480" w:firstLineChars="200"/>
        <w:rPr>
          <w:kern w:val="0"/>
          <w:sz w:val="24"/>
        </w:rPr>
      </w:pPr>
      <w:r>
        <w:rPr>
          <w:kern w:val="0"/>
          <w:sz w:val="24"/>
          <w:szCs w:val="24"/>
        </w:rPr>
        <w:t>7</w:t>
      </w:r>
      <w:r>
        <w:rPr>
          <w:rFonts w:hAnsi="宋体"/>
          <w:kern w:val="0"/>
          <w:sz w:val="24"/>
          <w:szCs w:val="24"/>
        </w:rPr>
        <w:t>、其他意外导致的风险。</w:t>
      </w:r>
      <w:bookmarkStart w:id="113" w:name="OLE_LINK15"/>
    </w:p>
    <w:p w14:paraId="1D7B025B">
      <w:pPr>
        <w:widowControl/>
        <w:adjustRightInd w:val="0"/>
        <w:snapToGrid w:val="0"/>
        <w:spacing w:before="143" w:beforeLines="50" w:after="143" w:afterLines="50" w:line="360" w:lineRule="auto"/>
        <w:jc w:val="center"/>
        <w:outlineLvl w:val="0"/>
        <w:rPr>
          <w:b/>
          <w:kern w:val="0"/>
          <w:sz w:val="30"/>
        </w:rPr>
      </w:pPr>
      <w:r>
        <w:rPr>
          <w:rFonts w:hAnsi="宋体"/>
          <w:b/>
          <w:kern w:val="0"/>
          <w:sz w:val="30"/>
        </w:rPr>
        <w:br w:type="page"/>
      </w:r>
      <w:bookmarkEnd w:id="107"/>
      <w:bookmarkEnd w:id="108"/>
      <w:bookmarkStart w:id="114" w:name="_Toc50983786"/>
      <w:bookmarkStart w:id="115" w:name="_Hlk209967557"/>
      <w:r>
        <w:rPr>
          <w:rFonts w:hint="eastAsia" w:hAnsi="宋体"/>
          <w:b/>
          <w:kern w:val="0"/>
          <w:sz w:val="30"/>
        </w:rPr>
        <w:t>十八</w:t>
      </w:r>
      <w:r>
        <w:rPr>
          <w:rFonts w:hAnsi="宋体"/>
          <w:b/>
          <w:kern w:val="0"/>
          <w:sz w:val="30"/>
        </w:rPr>
        <w:t>、基金合同的变更、终止与基金财</w:t>
      </w:r>
      <w:bookmarkEnd w:id="113"/>
      <w:r>
        <w:rPr>
          <w:rFonts w:hAnsi="宋体"/>
          <w:b/>
          <w:kern w:val="0"/>
          <w:sz w:val="30"/>
        </w:rPr>
        <w:t>产的清算</w:t>
      </w:r>
      <w:bookmarkEnd w:id="114"/>
    </w:p>
    <w:p w14:paraId="78976B10">
      <w:pPr>
        <w:adjustRightInd w:val="0"/>
        <w:snapToGrid w:val="0"/>
        <w:spacing w:line="360" w:lineRule="auto"/>
        <w:ind w:firstLine="482"/>
        <w:rPr>
          <w:b/>
          <w:bCs/>
          <w:sz w:val="24"/>
        </w:rPr>
      </w:pPr>
      <w:bookmarkStart w:id="116" w:name="_Hlk120874318"/>
      <w:r>
        <w:rPr>
          <w:b/>
          <w:bCs/>
          <w:sz w:val="24"/>
        </w:rPr>
        <w:t>（一）《基金合同》的变更</w:t>
      </w:r>
    </w:p>
    <w:p w14:paraId="084F0F81">
      <w:pPr>
        <w:adjustRightInd w:val="0"/>
        <w:snapToGrid w:val="0"/>
        <w:spacing w:line="360" w:lineRule="auto"/>
        <w:ind w:firstLine="480" w:firstLineChars="200"/>
        <w:rPr>
          <w:rFonts w:hAnsi="宋体"/>
          <w:kern w:val="0"/>
          <w:sz w:val="24"/>
        </w:rPr>
      </w:pPr>
      <w:r>
        <w:rPr>
          <w:rFonts w:hint="eastAsia" w:hAnsi="宋体"/>
          <w:kern w:val="0"/>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Pr>
          <w:rFonts w:hint="eastAsia"/>
          <w:bCs/>
          <w:sz w:val="24"/>
        </w:rPr>
        <w:t>按规定</w:t>
      </w:r>
      <w:r>
        <w:rPr>
          <w:rFonts w:hint="eastAsia" w:hAnsi="宋体"/>
          <w:kern w:val="0"/>
          <w:sz w:val="24"/>
        </w:rPr>
        <w:t>报中国证监会备案。</w:t>
      </w:r>
    </w:p>
    <w:p w14:paraId="03790452">
      <w:pPr>
        <w:adjustRightInd w:val="0"/>
        <w:snapToGrid w:val="0"/>
        <w:spacing w:line="360" w:lineRule="auto"/>
        <w:ind w:firstLine="480" w:firstLineChars="200"/>
        <w:rPr>
          <w:rFonts w:hAnsi="宋体"/>
          <w:kern w:val="0"/>
          <w:sz w:val="24"/>
        </w:rPr>
      </w:pPr>
      <w:r>
        <w:rPr>
          <w:rFonts w:hint="eastAsia" w:hAnsi="宋体"/>
          <w:kern w:val="0"/>
          <w:sz w:val="24"/>
        </w:rPr>
        <w:t>2、关于《基金合同》变更的基金份额持有人大会决议自生效后方可执行，</w:t>
      </w:r>
      <w:r>
        <w:rPr>
          <w:rFonts w:hAnsi="宋体"/>
          <w:bCs/>
          <w:kern w:val="0"/>
          <w:sz w:val="24"/>
        </w:rPr>
        <w:t>自</w:t>
      </w:r>
      <w:r>
        <w:rPr>
          <w:rFonts w:hint="eastAsia" w:hAnsi="宋体"/>
          <w:bCs/>
          <w:kern w:val="0"/>
          <w:sz w:val="24"/>
        </w:rPr>
        <w:t>决议</w:t>
      </w:r>
      <w:r>
        <w:rPr>
          <w:rFonts w:hint="eastAsia" w:hAnsi="宋体"/>
          <w:kern w:val="0"/>
          <w:sz w:val="24"/>
        </w:rPr>
        <w:t>生效后依照《信息披露办法》的规定在规定媒介公告。</w:t>
      </w:r>
    </w:p>
    <w:p w14:paraId="4B410A1D">
      <w:pPr>
        <w:adjustRightInd w:val="0"/>
        <w:snapToGrid w:val="0"/>
        <w:spacing w:line="360" w:lineRule="auto"/>
        <w:ind w:firstLine="482"/>
        <w:rPr>
          <w:b/>
          <w:bCs/>
          <w:sz w:val="24"/>
        </w:rPr>
      </w:pPr>
      <w:r>
        <w:rPr>
          <w:b/>
          <w:bCs/>
          <w:sz w:val="24"/>
        </w:rPr>
        <w:t>（二）《基金合同》的终止事由</w:t>
      </w:r>
    </w:p>
    <w:p w14:paraId="63F65C52">
      <w:pPr>
        <w:adjustRightInd w:val="0"/>
        <w:snapToGrid w:val="0"/>
        <w:spacing w:line="360" w:lineRule="auto"/>
        <w:ind w:firstLine="480" w:firstLineChars="200"/>
        <w:rPr>
          <w:rFonts w:hAnsi="宋体"/>
          <w:kern w:val="0"/>
          <w:sz w:val="24"/>
        </w:rPr>
      </w:pPr>
      <w:r>
        <w:rPr>
          <w:rFonts w:hint="eastAsia" w:hAnsi="宋体"/>
          <w:kern w:val="0"/>
          <w:sz w:val="24"/>
        </w:rPr>
        <w:t>有下列情形之一的，</w:t>
      </w:r>
      <w:r>
        <w:rPr>
          <w:rFonts w:hint="eastAsia"/>
          <w:bCs/>
          <w:sz w:val="24"/>
        </w:rPr>
        <w:t>经履行相关程序后，</w:t>
      </w:r>
      <w:r>
        <w:rPr>
          <w:rFonts w:hint="eastAsia" w:hAnsi="宋体"/>
          <w:kern w:val="0"/>
          <w:sz w:val="24"/>
        </w:rPr>
        <w:t>《基金合同》应当终止：</w:t>
      </w:r>
    </w:p>
    <w:p w14:paraId="2285B29C">
      <w:pPr>
        <w:adjustRightInd w:val="0"/>
        <w:snapToGrid w:val="0"/>
        <w:spacing w:line="360" w:lineRule="auto"/>
        <w:ind w:firstLine="480" w:firstLineChars="200"/>
        <w:rPr>
          <w:rFonts w:hAnsi="宋体"/>
          <w:kern w:val="0"/>
          <w:sz w:val="24"/>
        </w:rPr>
      </w:pPr>
      <w:r>
        <w:rPr>
          <w:rFonts w:hint="eastAsia" w:hAnsi="宋体"/>
          <w:kern w:val="0"/>
          <w:sz w:val="24"/>
        </w:rPr>
        <w:t>1、基金份额持有人大会决定终止的；</w:t>
      </w:r>
    </w:p>
    <w:p w14:paraId="7E875468">
      <w:pPr>
        <w:adjustRightInd w:val="0"/>
        <w:snapToGrid w:val="0"/>
        <w:spacing w:line="360" w:lineRule="auto"/>
        <w:ind w:firstLine="480" w:firstLineChars="200"/>
        <w:rPr>
          <w:rFonts w:hAnsi="宋体"/>
          <w:kern w:val="0"/>
          <w:sz w:val="24"/>
        </w:rPr>
      </w:pPr>
      <w:r>
        <w:rPr>
          <w:rFonts w:hint="eastAsia" w:hAnsi="宋体"/>
          <w:kern w:val="0"/>
          <w:sz w:val="24"/>
        </w:rPr>
        <w:t>2、基金管理人、基金托管人职责终止，在6个月内没有新基金管理人、新基金托管人承接的；</w:t>
      </w:r>
    </w:p>
    <w:p w14:paraId="666D3DE9">
      <w:pPr>
        <w:adjustRightInd w:val="0"/>
        <w:snapToGrid w:val="0"/>
        <w:spacing w:line="360" w:lineRule="auto"/>
        <w:ind w:firstLine="480" w:firstLineChars="200"/>
        <w:rPr>
          <w:rFonts w:hAnsi="宋体"/>
          <w:kern w:val="0"/>
          <w:sz w:val="24"/>
        </w:rPr>
      </w:pPr>
      <w:r>
        <w:rPr>
          <w:rFonts w:hint="eastAsia" w:hAnsi="宋体"/>
          <w:kern w:val="0"/>
          <w:sz w:val="24"/>
        </w:rPr>
        <w:t>3、《基金合同》约定的其他情形；</w:t>
      </w:r>
    </w:p>
    <w:p w14:paraId="5FA94406">
      <w:pPr>
        <w:adjustRightInd w:val="0"/>
        <w:snapToGrid w:val="0"/>
        <w:spacing w:line="360" w:lineRule="auto"/>
        <w:ind w:firstLine="480" w:firstLineChars="200"/>
        <w:rPr>
          <w:rFonts w:hAnsi="宋体"/>
          <w:kern w:val="0"/>
          <w:sz w:val="24"/>
        </w:rPr>
      </w:pPr>
      <w:r>
        <w:rPr>
          <w:rFonts w:hAnsi="宋体"/>
          <w:kern w:val="0"/>
          <w:sz w:val="24"/>
        </w:rPr>
        <w:t>4</w:t>
      </w:r>
      <w:r>
        <w:rPr>
          <w:rFonts w:hint="eastAsia" w:hAnsi="宋体"/>
          <w:kern w:val="0"/>
          <w:sz w:val="24"/>
        </w:rPr>
        <w:t>、相关法律法规和中国证监会规定的其他情况。</w:t>
      </w:r>
    </w:p>
    <w:p w14:paraId="2FAFBC94">
      <w:pPr>
        <w:adjustRightInd w:val="0"/>
        <w:snapToGrid w:val="0"/>
        <w:spacing w:line="360" w:lineRule="auto"/>
        <w:ind w:firstLine="482"/>
        <w:rPr>
          <w:b/>
          <w:bCs/>
          <w:sz w:val="24"/>
        </w:rPr>
      </w:pPr>
      <w:r>
        <w:rPr>
          <w:b/>
          <w:bCs/>
          <w:sz w:val="24"/>
        </w:rPr>
        <w:t>（三）基金财产的清算</w:t>
      </w:r>
    </w:p>
    <w:p w14:paraId="21C67ABE">
      <w:pPr>
        <w:adjustRightInd w:val="0"/>
        <w:snapToGrid w:val="0"/>
        <w:spacing w:line="360" w:lineRule="auto"/>
        <w:ind w:firstLine="480" w:firstLineChars="200"/>
        <w:rPr>
          <w:rFonts w:hAnsi="宋体"/>
          <w:kern w:val="0"/>
          <w:sz w:val="24"/>
        </w:rPr>
      </w:pPr>
      <w:r>
        <w:rPr>
          <w:rFonts w:hint="eastAsia" w:hAnsi="宋体"/>
          <w:kern w:val="0"/>
          <w:sz w:val="24"/>
        </w:rPr>
        <w:t>1、基金财产清算小组：自出现《基金合同》终止事由之日起30个工作日内成立</w:t>
      </w:r>
      <w:r>
        <w:rPr>
          <w:rFonts w:hint="eastAsia"/>
          <w:bCs/>
          <w:sz w:val="24"/>
        </w:rPr>
        <w:t>基金财产</w:t>
      </w:r>
      <w:r>
        <w:rPr>
          <w:rFonts w:hint="eastAsia" w:hAnsi="宋体"/>
          <w:kern w:val="0"/>
          <w:sz w:val="24"/>
        </w:rPr>
        <w:t>清算小组，基金管理人组织基金财产清算小组并在中国证监会的监督下进行基金清算。</w:t>
      </w:r>
    </w:p>
    <w:p w14:paraId="61C62C0D">
      <w:pPr>
        <w:adjustRightInd w:val="0"/>
        <w:snapToGrid w:val="0"/>
        <w:spacing w:line="360" w:lineRule="auto"/>
        <w:ind w:firstLine="480" w:firstLineChars="200"/>
        <w:rPr>
          <w:rFonts w:hAnsi="宋体"/>
          <w:kern w:val="0"/>
          <w:sz w:val="24"/>
        </w:rPr>
      </w:pPr>
      <w:r>
        <w:rPr>
          <w:rFonts w:hint="eastAsia" w:hAnsi="宋体"/>
          <w:kern w:val="0"/>
          <w:sz w:val="24"/>
        </w:rPr>
        <w:t>2、基金财产清算小组组成：基金财产清算小组成员由基金管理人、基金托管人、</w:t>
      </w:r>
      <w:r>
        <w:rPr>
          <w:rFonts w:hint="eastAsia" w:hAnsi="宋体"/>
          <w:bCs/>
          <w:kern w:val="0"/>
          <w:sz w:val="24"/>
        </w:rPr>
        <w:t>符合《中华人民共和国证券法》规定</w:t>
      </w:r>
      <w:r>
        <w:rPr>
          <w:rFonts w:hint="eastAsia" w:hAnsi="宋体"/>
          <w:kern w:val="0"/>
          <w:sz w:val="24"/>
        </w:rPr>
        <w:t>的注册会计师、律师以及中国证监会指定的人员组成。基金财产清算小组可以聘用必要的工作人员。</w:t>
      </w:r>
    </w:p>
    <w:p w14:paraId="51A833DA">
      <w:pPr>
        <w:adjustRightInd w:val="0"/>
        <w:snapToGrid w:val="0"/>
        <w:spacing w:line="360" w:lineRule="auto"/>
        <w:ind w:firstLine="480" w:firstLineChars="200"/>
        <w:rPr>
          <w:rFonts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14:paraId="3F577AE4">
      <w:pPr>
        <w:adjustRightInd w:val="0"/>
        <w:snapToGrid w:val="0"/>
        <w:spacing w:line="360" w:lineRule="auto"/>
        <w:ind w:firstLine="480" w:firstLineChars="200"/>
        <w:rPr>
          <w:rFonts w:hAnsi="宋体"/>
          <w:kern w:val="0"/>
          <w:sz w:val="24"/>
        </w:rPr>
      </w:pPr>
      <w:r>
        <w:rPr>
          <w:rFonts w:hint="eastAsia" w:hAnsi="宋体"/>
          <w:kern w:val="0"/>
          <w:sz w:val="24"/>
        </w:rPr>
        <w:t>4、基金财产清算程序：</w:t>
      </w:r>
    </w:p>
    <w:p w14:paraId="17AB6E6E">
      <w:pPr>
        <w:adjustRightInd w:val="0"/>
        <w:snapToGrid w:val="0"/>
        <w:spacing w:line="360" w:lineRule="auto"/>
        <w:ind w:firstLine="480" w:firstLineChars="200"/>
        <w:rPr>
          <w:rFonts w:hAnsi="宋体"/>
          <w:kern w:val="0"/>
          <w:sz w:val="24"/>
        </w:rPr>
      </w:pPr>
      <w:r>
        <w:rPr>
          <w:rFonts w:hint="eastAsia" w:hAnsi="宋体"/>
          <w:kern w:val="0"/>
          <w:sz w:val="24"/>
        </w:rPr>
        <w:t>（1）《基金合同》终止情形出现时，由基金财产清算小组统一接管基金</w:t>
      </w:r>
      <w:r>
        <w:rPr>
          <w:rFonts w:hint="eastAsia"/>
          <w:bCs/>
          <w:sz w:val="24"/>
        </w:rPr>
        <w:t>财产</w:t>
      </w:r>
      <w:r>
        <w:rPr>
          <w:rFonts w:hint="eastAsia" w:hAnsi="宋体"/>
          <w:kern w:val="0"/>
          <w:sz w:val="24"/>
        </w:rPr>
        <w:t>；</w:t>
      </w:r>
    </w:p>
    <w:p w14:paraId="7335DDA1">
      <w:pPr>
        <w:adjustRightInd w:val="0"/>
        <w:snapToGrid w:val="0"/>
        <w:spacing w:line="360" w:lineRule="auto"/>
        <w:ind w:firstLine="480" w:firstLineChars="200"/>
        <w:rPr>
          <w:rFonts w:hAnsi="宋体"/>
          <w:kern w:val="0"/>
          <w:sz w:val="24"/>
        </w:rPr>
      </w:pPr>
      <w:r>
        <w:rPr>
          <w:rFonts w:hint="eastAsia" w:hAnsi="宋体"/>
          <w:kern w:val="0"/>
          <w:sz w:val="24"/>
        </w:rPr>
        <w:t>（2）对基金财产和债权债务进行清理和确认；</w:t>
      </w:r>
    </w:p>
    <w:p w14:paraId="761A6890">
      <w:pPr>
        <w:adjustRightInd w:val="0"/>
        <w:snapToGrid w:val="0"/>
        <w:spacing w:line="360" w:lineRule="auto"/>
        <w:ind w:firstLine="480" w:firstLineChars="200"/>
        <w:rPr>
          <w:rFonts w:hAnsi="宋体"/>
          <w:kern w:val="0"/>
          <w:sz w:val="24"/>
        </w:rPr>
      </w:pPr>
      <w:r>
        <w:rPr>
          <w:rFonts w:hint="eastAsia" w:hAnsi="宋体"/>
          <w:kern w:val="0"/>
          <w:sz w:val="24"/>
        </w:rPr>
        <w:t>（3）对基金财产进行估值和变现；</w:t>
      </w:r>
    </w:p>
    <w:p w14:paraId="435BFDDF">
      <w:pPr>
        <w:adjustRightInd w:val="0"/>
        <w:snapToGrid w:val="0"/>
        <w:spacing w:line="360" w:lineRule="auto"/>
        <w:ind w:firstLine="480" w:firstLineChars="200"/>
        <w:rPr>
          <w:rFonts w:hAnsi="宋体"/>
          <w:kern w:val="0"/>
          <w:sz w:val="24"/>
        </w:rPr>
      </w:pPr>
      <w:r>
        <w:rPr>
          <w:rFonts w:hint="eastAsia" w:hAnsi="宋体"/>
          <w:kern w:val="0"/>
          <w:sz w:val="24"/>
        </w:rPr>
        <w:t>（4）制作清算报告；</w:t>
      </w:r>
    </w:p>
    <w:p w14:paraId="6174F630">
      <w:pPr>
        <w:adjustRightInd w:val="0"/>
        <w:snapToGrid w:val="0"/>
        <w:spacing w:line="360" w:lineRule="auto"/>
        <w:ind w:firstLine="480" w:firstLineChars="200"/>
        <w:rPr>
          <w:rFonts w:hAnsi="宋体"/>
          <w:kern w:val="0"/>
          <w:sz w:val="24"/>
        </w:rPr>
      </w:pPr>
      <w:r>
        <w:rPr>
          <w:rFonts w:hint="eastAsia" w:hAnsi="宋体"/>
          <w:kern w:val="0"/>
          <w:sz w:val="24"/>
        </w:rPr>
        <w:t>（5）聘请会计师事务所对清算报告进行外部审计，聘请律师事务所对清算报告出具法律意见书；</w:t>
      </w:r>
    </w:p>
    <w:p w14:paraId="5810CA68">
      <w:pPr>
        <w:adjustRightInd w:val="0"/>
        <w:snapToGrid w:val="0"/>
        <w:spacing w:line="360" w:lineRule="auto"/>
        <w:ind w:firstLine="480" w:firstLineChars="200"/>
        <w:rPr>
          <w:rFonts w:hAnsi="宋体"/>
          <w:kern w:val="0"/>
          <w:sz w:val="24"/>
        </w:rPr>
      </w:pPr>
      <w:r>
        <w:rPr>
          <w:rFonts w:hint="eastAsia" w:hAnsi="宋体"/>
          <w:kern w:val="0"/>
          <w:sz w:val="24"/>
        </w:rPr>
        <w:t>（6）将清算报告报中国证监会备案并公告；</w:t>
      </w:r>
    </w:p>
    <w:p w14:paraId="79FC22F0">
      <w:pPr>
        <w:adjustRightInd w:val="0"/>
        <w:snapToGrid w:val="0"/>
        <w:spacing w:line="360" w:lineRule="auto"/>
        <w:ind w:firstLine="480" w:firstLineChars="200"/>
        <w:rPr>
          <w:rFonts w:hAnsi="宋体"/>
          <w:kern w:val="0"/>
          <w:sz w:val="24"/>
        </w:rPr>
      </w:pPr>
      <w:r>
        <w:rPr>
          <w:rFonts w:hint="eastAsia" w:hAnsi="宋体"/>
          <w:kern w:val="0"/>
          <w:sz w:val="24"/>
        </w:rPr>
        <w:t>（7）对基金剩余财产进行分配。</w:t>
      </w:r>
    </w:p>
    <w:p w14:paraId="2105DB5F">
      <w:pPr>
        <w:adjustRightInd w:val="0"/>
        <w:snapToGrid w:val="0"/>
        <w:spacing w:line="360" w:lineRule="auto"/>
        <w:ind w:firstLine="480" w:firstLineChars="200"/>
        <w:rPr>
          <w:rFonts w:hAnsi="宋体"/>
          <w:kern w:val="0"/>
          <w:sz w:val="24"/>
        </w:rPr>
      </w:pPr>
      <w:r>
        <w:rPr>
          <w:rFonts w:hint="eastAsia" w:hAnsi="宋体"/>
          <w:kern w:val="0"/>
          <w:sz w:val="24"/>
        </w:rPr>
        <w:t>5、基金财产清算的期限为6个月，但因本基金所持证券的流动性受到限制而不能及时变现的，清算期限相应顺延。</w:t>
      </w:r>
    </w:p>
    <w:p w14:paraId="584608C1">
      <w:pPr>
        <w:adjustRightInd w:val="0"/>
        <w:snapToGrid w:val="0"/>
        <w:spacing w:line="360" w:lineRule="auto"/>
        <w:ind w:firstLine="482"/>
        <w:rPr>
          <w:b/>
          <w:bCs/>
          <w:sz w:val="24"/>
        </w:rPr>
      </w:pPr>
      <w:r>
        <w:rPr>
          <w:b/>
          <w:bCs/>
          <w:sz w:val="24"/>
        </w:rPr>
        <w:t>（四）清算费用</w:t>
      </w:r>
    </w:p>
    <w:p w14:paraId="5E6F12E1">
      <w:pPr>
        <w:adjustRightInd w:val="0"/>
        <w:snapToGrid w:val="0"/>
        <w:spacing w:line="360" w:lineRule="auto"/>
        <w:ind w:firstLine="480" w:firstLineChars="200"/>
        <w:rPr>
          <w:rFonts w:hAnsi="宋体"/>
          <w:kern w:val="0"/>
          <w:sz w:val="24"/>
        </w:rPr>
      </w:pPr>
      <w:r>
        <w:rPr>
          <w:rFonts w:hint="eastAsia" w:hAnsi="宋体"/>
          <w:kern w:val="0"/>
          <w:sz w:val="24"/>
        </w:rPr>
        <w:t>清算费用是指基金财产清算小组在进行基金</w:t>
      </w:r>
      <w:r>
        <w:rPr>
          <w:rFonts w:hint="eastAsia"/>
          <w:bCs/>
          <w:sz w:val="24"/>
        </w:rPr>
        <w:t>财产</w:t>
      </w:r>
      <w:r>
        <w:rPr>
          <w:rFonts w:hint="eastAsia" w:hAnsi="宋体"/>
          <w:kern w:val="0"/>
          <w:sz w:val="24"/>
        </w:rPr>
        <w:t>清算过程中发生的所有合理费用，清算费用由基金财产清算小组优先从基金财产中支付。</w:t>
      </w:r>
    </w:p>
    <w:p w14:paraId="3857B355">
      <w:pPr>
        <w:adjustRightInd w:val="0"/>
        <w:snapToGrid w:val="0"/>
        <w:spacing w:line="360" w:lineRule="auto"/>
        <w:ind w:firstLine="482"/>
        <w:rPr>
          <w:b/>
          <w:bCs/>
          <w:sz w:val="24"/>
        </w:rPr>
      </w:pPr>
      <w:r>
        <w:rPr>
          <w:b/>
          <w:bCs/>
          <w:sz w:val="24"/>
        </w:rPr>
        <w:t>（五）基金财产清算剩余资产的分配</w:t>
      </w:r>
    </w:p>
    <w:p w14:paraId="5099CD6A">
      <w:pPr>
        <w:adjustRightInd w:val="0"/>
        <w:snapToGrid w:val="0"/>
        <w:spacing w:line="360" w:lineRule="auto"/>
        <w:ind w:firstLine="480" w:firstLineChars="200"/>
        <w:rPr>
          <w:rFonts w:hint="eastAsia"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依据基金财产清算的分配方案，将基金财产清算后的全部剩余资产扣除基金财产清算费用、交纳所欠税款并清偿基金债务后，按基金份额持有人持有的各类基金份额比例进行分配。</w:t>
      </w:r>
    </w:p>
    <w:p w14:paraId="3AB239CD">
      <w:pPr>
        <w:adjustRightInd w:val="0"/>
        <w:snapToGrid w:val="0"/>
        <w:spacing w:line="360" w:lineRule="auto"/>
        <w:ind w:firstLine="480" w:firstLineChars="200"/>
        <w:rPr>
          <w:rFonts w:hint="eastAsia" w:hAnsi="宋体"/>
          <w:kern w:val="0"/>
          <w:sz w:val="24"/>
        </w:rPr>
      </w:pPr>
      <w:r>
        <w:rPr>
          <w:rFonts w:hint="eastAsia" w:hAnsi="宋体"/>
          <w:kern w:val="0"/>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14:paraId="0FD9632B">
      <w:pPr>
        <w:adjustRightInd w:val="0"/>
        <w:snapToGrid w:val="0"/>
        <w:spacing w:line="360" w:lineRule="auto"/>
        <w:ind w:firstLine="482"/>
        <w:rPr>
          <w:b/>
          <w:bCs/>
          <w:sz w:val="24"/>
        </w:rPr>
      </w:pPr>
      <w:r>
        <w:rPr>
          <w:b/>
          <w:bCs/>
          <w:sz w:val="24"/>
        </w:rPr>
        <w:t>（六）基金财产清算的公告</w:t>
      </w:r>
    </w:p>
    <w:p w14:paraId="0222DDD6">
      <w:pPr>
        <w:adjustRightInd w:val="0"/>
        <w:snapToGrid w:val="0"/>
        <w:spacing w:line="360" w:lineRule="auto"/>
        <w:ind w:firstLine="480" w:firstLineChars="200"/>
        <w:rPr>
          <w:rFonts w:hAnsi="宋体"/>
          <w:kern w:val="0"/>
          <w:sz w:val="24"/>
          <w:szCs w:val="24"/>
        </w:rPr>
      </w:pPr>
      <w:r>
        <w:rPr>
          <w:rFonts w:hint="eastAsia"/>
          <w:sz w:val="24"/>
          <w:szCs w:val="24"/>
        </w:rPr>
        <w:t>清算过程中的有关重大事项须及时公告；基金财产清算报告经</w:t>
      </w:r>
      <w:r>
        <w:rPr>
          <w:rFonts w:hint="eastAsia"/>
          <w:bCs/>
          <w:sz w:val="24"/>
          <w:szCs w:val="24"/>
        </w:rPr>
        <w:t>符合《中华人民共和国证券法》规定</w:t>
      </w:r>
      <w:r>
        <w:rPr>
          <w:rFonts w:hint="eastAsia"/>
          <w:bCs/>
          <w:sz w:val="24"/>
        </w:rPr>
        <w:t>的</w:t>
      </w:r>
      <w:r>
        <w:rPr>
          <w:rFonts w:hint="eastAsia"/>
          <w:sz w:val="24"/>
          <w:szCs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rFonts w:hint="eastAsia"/>
          <w:sz w:val="24"/>
          <w:szCs w:val="24"/>
        </w:rPr>
        <w:t>。</w:t>
      </w:r>
    </w:p>
    <w:p w14:paraId="0745C78B">
      <w:pPr>
        <w:adjustRightInd w:val="0"/>
        <w:snapToGrid w:val="0"/>
        <w:spacing w:line="360" w:lineRule="auto"/>
        <w:ind w:firstLine="482"/>
        <w:rPr>
          <w:b/>
          <w:bCs/>
          <w:sz w:val="24"/>
        </w:rPr>
      </w:pPr>
      <w:r>
        <w:rPr>
          <w:b/>
          <w:bCs/>
          <w:sz w:val="24"/>
        </w:rPr>
        <w:t>（七）基金财产清算账册及文件的保存</w:t>
      </w:r>
    </w:p>
    <w:p w14:paraId="7FD3630D">
      <w:pPr>
        <w:adjustRightInd w:val="0"/>
        <w:snapToGrid w:val="0"/>
        <w:spacing w:line="360" w:lineRule="auto"/>
        <w:ind w:firstLine="480" w:firstLineChars="200"/>
        <w:rPr>
          <w:rFonts w:ascii="宋体" w:hAnsi="宋体"/>
          <w:kern w:val="0"/>
          <w:sz w:val="24"/>
        </w:rPr>
      </w:pPr>
      <w:r>
        <w:rPr>
          <w:rFonts w:hint="eastAsia" w:hAnsi="宋体"/>
          <w:kern w:val="0"/>
          <w:sz w:val="24"/>
        </w:rPr>
        <w:t>基金财产清算账册及有关文件由基金托管人保存不低于法律法规规定的最低期限。</w:t>
      </w:r>
      <w:bookmarkEnd w:id="115"/>
    </w:p>
    <w:p w14:paraId="0D0BE5B6">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116"/>
      <w:bookmarkStart w:id="117" w:name="_Toc50983787"/>
      <w:bookmarkStart w:id="118" w:name="OLE_LINK13"/>
      <w:bookmarkStart w:id="119" w:name="OLE_LINK12"/>
      <w:r>
        <w:rPr>
          <w:rFonts w:hint="eastAsia" w:ascii="宋体" w:hAnsi="宋体"/>
          <w:b/>
          <w:kern w:val="0"/>
          <w:sz w:val="30"/>
        </w:rPr>
        <w:t>十九、基金合同内容摘要</w:t>
      </w:r>
      <w:bookmarkEnd w:id="117"/>
    </w:p>
    <w:p w14:paraId="25AEFE03">
      <w:pPr>
        <w:adjustRightInd w:val="0"/>
        <w:snapToGrid w:val="0"/>
        <w:spacing w:line="360" w:lineRule="auto"/>
        <w:ind w:firstLine="482"/>
        <w:rPr>
          <w:b/>
          <w:bCs/>
          <w:sz w:val="24"/>
        </w:rPr>
      </w:pPr>
      <w:bookmarkStart w:id="120" w:name="_Hlk201930820"/>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14:paraId="4AAA06F2">
      <w:pPr>
        <w:adjustRightInd w:val="0"/>
        <w:snapToGrid w:val="0"/>
        <w:spacing w:line="360" w:lineRule="auto"/>
        <w:ind w:firstLine="480" w:firstLineChars="200"/>
        <w:rPr>
          <w:bCs/>
          <w:sz w:val="24"/>
        </w:rPr>
      </w:pPr>
      <w:r>
        <w:rPr>
          <w:bCs/>
          <w:sz w:val="24"/>
        </w:rPr>
        <w:t>1、基金管理人的权利与义务</w:t>
      </w:r>
    </w:p>
    <w:p w14:paraId="3ABDECA7">
      <w:pPr>
        <w:adjustRightInd w:val="0"/>
        <w:snapToGrid w:val="0"/>
        <w:spacing w:line="360" w:lineRule="auto"/>
        <w:ind w:firstLine="480" w:firstLineChars="200"/>
        <w:rPr>
          <w:bCs/>
          <w:sz w:val="24"/>
        </w:rPr>
      </w:pPr>
      <w:r>
        <w:rPr>
          <w:bCs/>
          <w:sz w:val="24"/>
        </w:rPr>
        <w:t>根据《基金法》、《运作办法》及其他有关规定，基金管理人的权利包括但不限于：</w:t>
      </w:r>
    </w:p>
    <w:p w14:paraId="70479992">
      <w:pPr>
        <w:adjustRightInd w:val="0"/>
        <w:snapToGrid w:val="0"/>
        <w:spacing w:line="360" w:lineRule="auto"/>
        <w:ind w:firstLine="480" w:firstLineChars="200"/>
        <w:rPr>
          <w:bCs/>
          <w:sz w:val="24"/>
        </w:rPr>
      </w:pPr>
      <w:r>
        <w:rPr>
          <w:bCs/>
          <w:sz w:val="24"/>
        </w:rPr>
        <w:t>（1）依法募集</w:t>
      </w:r>
      <w:r>
        <w:rPr>
          <w:rFonts w:hint="eastAsia"/>
          <w:bCs/>
          <w:sz w:val="24"/>
        </w:rPr>
        <w:t>资</w:t>
      </w:r>
      <w:r>
        <w:rPr>
          <w:bCs/>
          <w:sz w:val="24"/>
        </w:rPr>
        <w:t>金；</w:t>
      </w:r>
    </w:p>
    <w:p w14:paraId="1BD923B4">
      <w:pPr>
        <w:adjustRightInd w:val="0"/>
        <w:snapToGrid w:val="0"/>
        <w:spacing w:line="360" w:lineRule="auto"/>
        <w:ind w:firstLine="480" w:firstLineChars="200"/>
        <w:rPr>
          <w:bCs/>
          <w:sz w:val="24"/>
        </w:rPr>
      </w:pPr>
      <w:r>
        <w:rPr>
          <w:bCs/>
          <w:sz w:val="24"/>
        </w:rPr>
        <w:t>（2）自《基金合同》生效之日起，根据法律法规和《基金合同》独立运用并管理基金财产；</w:t>
      </w:r>
    </w:p>
    <w:p w14:paraId="768727A2">
      <w:pPr>
        <w:adjustRightInd w:val="0"/>
        <w:snapToGrid w:val="0"/>
        <w:spacing w:line="360" w:lineRule="auto"/>
        <w:ind w:firstLine="480" w:firstLineChars="200"/>
        <w:rPr>
          <w:bCs/>
          <w:sz w:val="24"/>
        </w:rPr>
      </w:pPr>
      <w:r>
        <w:rPr>
          <w:bCs/>
          <w:sz w:val="24"/>
        </w:rPr>
        <w:t>（3）依照《基金合同》收取基金管理费以及法律法规规定或中国证监会批准的其他费用；</w:t>
      </w:r>
    </w:p>
    <w:p w14:paraId="29CD2484">
      <w:pPr>
        <w:adjustRightInd w:val="0"/>
        <w:snapToGrid w:val="0"/>
        <w:spacing w:line="360" w:lineRule="auto"/>
        <w:ind w:firstLine="480" w:firstLineChars="200"/>
        <w:rPr>
          <w:bCs/>
          <w:sz w:val="24"/>
        </w:rPr>
      </w:pPr>
      <w:r>
        <w:rPr>
          <w:bCs/>
          <w:sz w:val="24"/>
        </w:rPr>
        <w:t>（4）销售基金份额；</w:t>
      </w:r>
    </w:p>
    <w:p w14:paraId="537496E4">
      <w:pPr>
        <w:adjustRightInd w:val="0"/>
        <w:snapToGrid w:val="0"/>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14:paraId="15293559">
      <w:pPr>
        <w:adjustRightInd w:val="0"/>
        <w:snapToGrid w:val="0"/>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7D0BA9B2">
      <w:pPr>
        <w:adjustRightInd w:val="0"/>
        <w:snapToGrid w:val="0"/>
        <w:spacing w:line="360" w:lineRule="auto"/>
        <w:ind w:firstLine="480" w:firstLineChars="200"/>
        <w:rPr>
          <w:bCs/>
          <w:sz w:val="24"/>
        </w:rPr>
      </w:pPr>
      <w:r>
        <w:rPr>
          <w:bCs/>
          <w:sz w:val="24"/>
        </w:rPr>
        <w:t>（7）在基金托管人更换时，提名新的基金托管人；</w:t>
      </w:r>
    </w:p>
    <w:p w14:paraId="7010FAD5">
      <w:pPr>
        <w:adjustRightInd w:val="0"/>
        <w:snapToGrid w:val="0"/>
        <w:spacing w:line="360" w:lineRule="auto"/>
        <w:ind w:firstLine="480" w:firstLineChars="200"/>
        <w:rPr>
          <w:bCs/>
          <w:sz w:val="24"/>
        </w:rPr>
      </w:pPr>
      <w:r>
        <w:rPr>
          <w:bCs/>
          <w:sz w:val="24"/>
        </w:rPr>
        <w:t>（8）选择、更换基金销售机构，对基金销售机构的相关行为进行监督和处理；</w:t>
      </w:r>
    </w:p>
    <w:p w14:paraId="3DC36FE8">
      <w:pPr>
        <w:adjustRightInd w:val="0"/>
        <w:snapToGrid w:val="0"/>
        <w:spacing w:line="360" w:lineRule="auto"/>
        <w:ind w:firstLine="480" w:firstLineChars="200"/>
        <w:rPr>
          <w:bCs/>
          <w:sz w:val="24"/>
        </w:rPr>
      </w:pPr>
      <w:r>
        <w:rPr>
          <w:bCs/>
          <w:sz w:val="24"/>
        </w:rPr>
        <w:t>（9）担任或委托其他符合条件的机构担任基金登记机构办理基金登记业务并获得《基金合同》规定的费用；</w:t>
      </w:r>
    </w:p>
    <w:p w14:paraId="31F56A57">
      <w:pPr>
        <w:adjustRightInd w:val="0"/>
        <w:snapToGrid w:val="0"/>
        <w:spacing w:line="360" w:lineRule="auto"/>
        <w:ind w:firstLine="480" w:firstLineChars="200"/>
        <w:rPr>
          <w:bCs/>
          <w:sz w:val="24"/>
        </w:rPr>
      </w:pPr>
      <w:r>
        <w:rPr>
          <w:bCs/>
          <w:sz w:val="24"/>
        </w:rPr>
        <w:t>（10）依据《基金合同》及有关法律规定决定基金收益的分配方案；</w:t>
      </w:r>
    </w:p>
    <w:p w14:paraId="5FCCD3AA">
      <w:pPr>
        <w:adjustRightInd w:val="0"/>
        <w:snapToGrid w:val="0"/>
        <w:spacing w:line="360" w:lineRule="auto"/>
        <w:ind w:firstLine="480" w:firstLineChars="200"/>
        <w:rPr>
          <w:bCs/>
          <w:sz w:val="24"/>
        </w:rPr>
      </w:pPr>
      <w:r>
        <w:rPr>
          <w:bCs/>
          <w:sz w:val="24"/>
        </w:rPr>
        <w:t>（11）在《基金合同》约定的范围内，拒绝或暂停受理申购与赎回申请；</w:t>
      </w:r>
    </w:p>
    <w:p w14:paraId="00B9E8BB">
      <w:pPr>
        <w:adjustRightInd w:val="0"/>
        <w:snapToGrid w:val="0"/>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14:paraId="44383E46">
      <w:pPr>
        <w:adjustRightInd w:val="0"/>
        <w:snapToGrid w:val="0"/>
        <w:spacing w:line="360" w:lineRule="auto"/>
        <w:ind w:firstLine="480" w:firstLineChars="200"/>
        <w:rPr>
          <w:bCs/>
          <w:sz w:val="24"/>
        </w:rPr>
      </w:pPr>
      <w:r>
        <w:rPr>
          <w:bCs/>
          <w:sz w:val="24"/>
        </w:rPr>
        <w:t>（13）在法律法规允许的前提下，为基金的利益依法为基金进行融资；</w:t>
      </w:r>
    </w:p>
    <w:p w14:paraId="35104D50">
      <w:pPr>
        <w:adjustRightInd w:val="0"/>
        <w:snapToGrid w:val="0"/>
        <w:spacing w:line="360" w:lineRule="auto"/>
        <w:ind w:firstLine="480" w:firstLineChars="200"/>
        <w:rPr>
          <w:bCs/>
          <w:sz w:val="24"/>
        </w:rPr>
      </w:pPr>
      <w:r>
        <w:rPr>
          <w:bCs/>
          <w:sz w:val="24"/>
        </w:rPr>
        <w:t>（14）以基金管理人的名义，代表基金份额持有人的利益行使诉讼权利或者实施其他法律行为；</w:t>
      </w:r>
      <w:r>
        <w:rPr>
          <w:bCs/>
          <w:sz w:val="24"/>
        </w:rPr>
        <w:tab/>
      </w:r>
    </w:p>
    <w:p w14:paraId="0B2B48FA">
      <w:pPr>
        <w:adjustRightInd w:val="0"/>
        <w:snapToGrid w:val="0"/>
        <w:spacing w:line="360" w:lineRule="auto"/>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14:paraId="714EC982">
      <w:pPr>
        <w:adjustRightInd w:val="0"/>
        <w:snapToGrid w:val="0"/>
        <w:spacing w:line="360" w:lineRule="auto"/>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349C75B5">
      <w:pPr>
        <w:adjustRightInd w:val="0"/>
        <w:snapToGrid w:val="0"/>
        <w:spacing w:line="360" w:lineRule="auto"/>
        <w:ind w:firstLine="480" w:firstLineChars="200"/>
        <w:rPr>
          <w:bCs/>
          <w:sz w:val="24"/>
        </w:rPr>
      </w:pPr>
      <w:r>
        <w:rPr>
          <w:bCs/>
          <w:sz w:val="24"/>
        </w:rPr>
        <w:t>（17）</w:t>
      </w:r>
      <w:r>
        <w:rPr>
          <w:rFonts w:hint="eastAsia"/>
          <w:bCs/>
          <w:sz w:val="24"/>
        </w:rPr>
        <w:t>以基金管理人的名义，参与本基金持有的基金所召开的基金份额持有人大会；</w:t>
      </w:r>
    </w:p>
    <w:p w14:paraId="4E2806BE">
      <w:pPr>
        <w:adjustRightInd w:val="0"/>
        <w:snapToGrid w:val="0"/>
        <w:spacing w:line="360" w:lineRule="auto"/>
        <w:ind w:firstLine="480" w:firstLineChars="200"/>
        <w:rPr>
          <w:bCs/>
          <w:sz w:val="24"/>
        </w:rPr>
      </w:pPr>
      <w:r>
        <w:rPr>
          <w:rFonts w:hint="eastAsia"/>
          <w:bCs/>
          <w:sz w:val="24"/>
        </w:rPr>
        <w:t>（18）</w:t>
      </w:r>
      <w:r>
        <w:rPr>
          <w:bCs/>
          <w:sz w:val="24"/>
        </w:rPr>
        <w:t>法律法规及中国证监会规定的和《基金合同》约定的其他权利。</w:t>
      </w:r>
    </w:p>
    <w:p w14:paraId="5D6EE936">
      <w:pPr>
        <w:adjustRightInd w:val="0"/>
        <w:snapToGrid w:val="0"/>
        <w:spacing w:line="360" w:lineRule="auto"/>
        <w:ind w:firstLine="480" w:firstLineChars="200"/>
        <w:rPr>
          <w:bCs/>
          <w:sz w:val="24"/>
        </w:rPr>
      </w:pPr>
      <w:r>
        <w:rPr>
          <w:bCs/>
          <w:sz w:val="24"/>
        </w:rPr>
        <w:t>根据《基金法》、《运作办法》及其他有关规定，基金管理人的义务包括但不限于：</w:t>
      </w:r>
    </w:p>
    <w:p w14:paraId="6052CD67">
      <w:pPr>
        <w:adjustRightInd w:val="0"/>
        <w:snapToGrid w:val="0"/>
        <w:spacing w:line="360" w:lineRule="auto"/>
        <w:ind w:firstLine="480" w:firstLineChars="200"/>
        <w:rPr>
          <w:bCs/>
          <w:sz w:val="24"/>
        </w:rPr>
      </w:pPr>
      <w:bookmarkStart w:id="121" w:name="_Hlt88897298"/>
      <w:bookmarkEnd w:id="121"/>
      <w:r>
        <w:rPr>
          <w:rFonts w:hint="eastAsia"/>
          <w:bCs/>
          <w:sz w:val="24"/>
        </w:rPr>
        <w:t>（1）依法募集资金，办理或者委托经中国证监会认定的其他机构办理基金份额的发售、申购、赎回和登记事宜；</w:t>
      </w:r>
    </w:p>
    <w:p w14:paraId="19506C01">
      <w:pPr>
        <w:adjustRightInd w:val="0"/>
        <w:snapToGrid w:val="0"/>
        <w:spacing w:line="360" w:lineRule="auto"/>
        <w:ind w:firstLine="480" w:firstLineChars="200"/>
        <w:rPr>
          <w:bCs/>
          <w:sz w:val="24"/>
        </w:rPr>
      </w:pPr>
      <w:r>
        <w:rPr>
          <w:rFonts w:hint="eastAsia"/>
          <w:bCs/>
          <w:sz w:val="24"/>
        </w:rPr>
        <w:t>（2）办理基金备案手续；</w:t>
      </w:r>
    </w:p>
    <w:p w14:paraId="75F36EB6">
      <w:pPr>
        <w:adjustRightInd w:val="0"/>
        <w:snapToGrid w:val="0"/>
        <w:spacing w:line="360" w:lineRule="auto"/>
        <w:ind w:firstLine="480" w:firstLineChars="200"/>
        <w:rPr>
          <w:bCs/>
          <w:sz w:val="24"/>
        </w:rPr>
      </w:pPr>
      <w:r>
        <w:rPr>
          <w:rFonts w:hint="eastAsia"/>
          <w:bCs/>
          <w:sz w:val="24"/>
        </w:rPr>
        <w:t>（3）自《基金合同》生效之日起，以诚实信用、谨慎勤勉的原则管理和运用基金财产；</w:t>
      </w:r>
    </w:p>
    <w:p w14:paraId="02F560FD">
      <w:pPr>
        <w:adjustRightInd w:val="0"/>
        <w:snapToGrid w:val="0"/>
        <w:spacing w:line="360" w:lineRule="auto"/>
        <w:ind w:firstLine="480" w:firstLineChars="200"/>
        <w:rPr>
          <w:bCs/>
          <w:sz w:val="24"/>
        </w:rPr>
      </w:pPr>
      <w:r>
        <w:rPr>
          <w:rFonts w:hint="eastAsia"/>
          <w:bCs/>
          <w:sz w:val="24"/>
        </w:rPr>
        <w:t>（4）配备足够的具有专业资格的人员进行基金投资分析、决策，以专业化的经营方式管理和运作基金财产；</w:t>
      </w:r>
    </w:p>
    <w:p w14:paraId="7E23E0C8">
      <w:pPr>
        <w:adjustRightInd w:val="0"/>
        <w:snapToGrid w:val="0"/>
        <w:spacing w:line="360" w:lineRule="auto"/>
        <w:ind w:firstLine="480" w:firstLineChars="200"/>
        <w:rPr>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（5）建立健全内部风险控制、监察与稽核、财务管理及人事管理等制度，保证所管理的基金财产和基金管理人的财产相互独立，对所管理的不同基金分别管理，分别记账，进行证券、基金投资；</w:t>
      </w:r>
    </w:p>
    <w:p w14:paraId="6CB08262">
      <w:pPr>
        <w:adjustRightInd w:val="0"/>
        <w:snapToGrid w:val="0"/>
        <w:spacing w:line="360" w:lineRule="auto"/>
        <w:ind w:firstLine="480" w:firstLineChars="200"/>
        <w:rPr>
          <w:bCs/>
          <w:sz w:val="24"/>
        </w:rPr>
      </w:pPr>
      <w:r>
        <w:rPr>
          <w:rFonts w:hint="eastAsia"/>
          <w:bCs/>
          <w:sz w:val="24"/>
        </w:rPr>
        <w:t>（6）除依据《基金法》、《基金合同》及其他有关规定外，不得利用基金财产为自己及任何第三人谋取利益，不得委托第三人运作基金财产；</w:t>
      </w:r>
    </w:p>
    <w:p w14:paraId="391B5303">
      <w:pPr>
        <w:adjustRightInd w:val="0"/>
        <w:snapToGrid w:val="0"/>
        <w:spacing w:line="360" w:lineRule="auto"/>
        <w:ind w:firstLine="480" w:firstLineChars="200"/>
        <w:rPr>
          <w:bCs/>
          <w:sz w:val="24"/>
        </w:rPr>
      </w:pPr>
      <w:r>
        <w:rPr>
          <w:rFonts w:hint="eastAsia"/>
          <w:bCs/>
          <w:sz w:val="24"/>
        </w:rPr>
        <w:t>（7）依法接受基金托管人的监督；</w:t>
      </w:r>
    </w:p>
    <w:p w14:paraId="17EE58CC">
      <w:pPr>
        <w:adjustRightInd w:val="0"/>
        <w:snapToGrid w:val="0"/>
        <w:spacing w:line="360" w:lineRule="auto"/>
        <w:ind w:firstLine="480" w:firstLineChars="200"/>
        <w:rPr>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14:paraId="61992AE8">
      <w:pPr>
        <w:adjustRightInd w:val="0"/>
        <w:snapToGrid w:val="0"/>
        <w:spacing w:line="360" w:lineRule="auto"/>
        <w:ind w:firstLine="480" w:firstLineChars="200"/>
        <w:rPr>
          <w:bCs/>
          <w:sz w:val="24"/>
        </w:rPr>
      </w:pPr>
      <w:r>
        <w:rPr>
          <w:rFonts w:hint="eastAsia"/>
          <w:bCs/>
          <w:sz w:val="24"/>
        </w:rPr>
        <w:t>（9）进行基金会计核算并编制基金财务会计报告；</w:t>
      </w:r>
    </w:p>
    <w:p w14:paraId="1C00881D">
      <w:pPr>
        <w:adjustRightInd w:val="0"/>
        <w:snapToGrid w:val="0"/>
        <w:spacing w:line="360" w:lineRule="auto"/>
        <w:ind w:firstLine="480" w:firstLineChars="200"/>
        <w:rPr>
          <w:bCs/>
          <w:sz w:val="24"/>
        </w:rPr>
      </w:pPr>
      <w:r>
        <w:rPr>
          <w:rFonts w:hint="eastAsia"/>
          <w:bCs/>
          <w:sz w:val="24"/>
        </w:rPr>
        <w:t>（10）编制季度报告、中期报告和年度报告；</w:t>
      </w:r>
    </w:p>
    <w:p w14:paraId="5FC383E6">
      <w:pPr>
        <w:adjustRightInd w:val="0"/>
        <w:snapToGrid w:val="0"/>
        <w:spacing w:line="360" w:lineRule="auto"/>
        <w:ind w:firstLine="480" w:firstLineChars="200"/>
        <w:rPr>
          <w:bCs/>
          <w:sz w:val="24"/>
        </w:rPr>
      </w:pPr>
      <w:r>
        <w:rPr>
          <w:rFonts w:hint="eastAsia"/>
          <w:bCs/>
          <w:sz w:val="24"/>
        </w:rPr>
        <w:t>（11）严格按照《基金法》、《基金合同》及其他有关规定，履行信息披露及报告义务；</w:t>
      </w:r>
    </w:p>
    <w:p w14:paraId="55AAEE53">
      <w:pPr>
        <w:adjustRightInd w:val="0"/>
        <w:snapToGrid w:val="0"/>
        <w:spacing w:line="360" w:lineRule="auto"/>
        <w:ind w:firstLine="480" w:firstLineChars="200"/>
        <w:rPr>
          <w:bCs/>
          <w:sz w:val="24"/>
        </w:rPr>
      </w:pPr>
      <w:r>
        <w:rPr>
          <w:rFonts w:hint="eastAsia"/>
          <w:bCs/>
          <w:sz w:val="24"/>
        </w:rPr>
        <w:t xml:space="preserve">（12）保守基金商业秘密，不泄露基金投资计划、投资意向等。除《基金法》、《基金合同》及其他有关规定另有规定外，在基金信息公开披露前应予保密，不向他人泄露； </w:t>
      </w:r>
    </w:p>
    <w:p w14:paraId="392C5A8A">
      <w:pPr>
        <w:adjustRightInd w:val="0"/>
        <w:snapToGrid w:val="0"/>
        <w:spacing w:line="360" w:lineRule="auto"/>
        <w:ind w:firstLine="480" w:firstLineChars="200"/>
        <w:rPr>
          <w:bCs/>
          <w:sz w:val="24"/>
        </w:rPr>
      </w:pPr>
      <w:r>
        <w:rPr>
          <w:rFonts w:hint="eastAsia"/>
          <w:bCs/>
          <w:sz w:val="24"/>
        </w:rPr>
        <w:t>（13）按《基金合同》的约定确定基金收益分配方案，及时向基金份额持有人分配基金收益；</w:t>
      </w:r>
    </w:p>
    <w:p w14:paraId="7BF83E35">
      <w:pPr>
        <w:adjustRightInd w:val="0"/>
        <w:snapToGrid w:val="0"/>
        <w:spacing w:line="360" w:lineRule="auto"/>
        <w:ind w:firstLine="480" w:firstLineChars="200"/>
        <w:rPr>
          <w:bCs/>
          <w:sz w:val="24"/>
        </w:rPr>
      </w:pPr>
      <w:r>
        <w:rPr>
          <w:rFonts w:hint="eastAsia"/>
          <w:bCs/>
          <w:sz w:val="24"/>
        </w:rPr>
        <w:t>（14）按规定受理申购与赎回申请，及时、足额支付赎回款项；</w:t>
      </w:r>
    </w:p>
    <w:p w14:paraId="31D5D471">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（15）依据《基金法》、《基金合同》及其他有关规定召集基金份额持有人大会或配合基金托管人、基金份额持有人依法召集基金份额持有人大会；</w:t>
      </w:r>
    </w:p>
    <w:p w14:paraId="1886810F">
      <w:pPr>
        <w:adjustRightInd w:val="0"/>
        <w:snapToGrid w:val="0"/>
        <w:spacing w:line="360" w:lineRule="auto"/>
        <w:ind w:firstLine="480" w:firstLineChars="200"/>
        <w:rPr>
          <w:bCs/>
          <w:sz w:val="24"/>
        </w:rPr>
      </w:pPr>
      <w:r>
        <w:rPr>
          <w:rFonts w:hint="eastAsia"/>
          <w:bCs/>
          <w:sz w:val="24"/>
        </w:rPr>
        <w:t>（16）按规定保存基金财产管理业务活动的会计账册、报表、记录和其他相关资料不低于法律法规规定的最低期限；</w:t>
      </w:r>
    </w:p>
    <w:p w14:paraId="56EFA5F8">
      <w:pPr>
        <w:adjustRightInd w:val="0"/>
        <w:snapToGrid w:val="0"/>
        <w:spacing w:line="360" w:lineRule="auto"/>
        <w:ind w:firstLine="480" w:firstLineChars="200"/>
        <w:rPr>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C5C2AB0">
      <w:pPr>
        <w:adjustRightInd w:val="0"/>
        <w:snapToGrid w:val="0"/>
        <w:spacing w:line="360" w:lineRule="auto"/>
        <w:ind w:firstLine="480" w:firstLineChars="200"/>
        <w:rPr>
          <w:bCs/>
          <w:sz w:val="24"/>
        </w:rPr>
      </w:pPr>
      <w:r>
        <w:rPr>
          <w:rFonts w:hint="eastAsia"/>
          <w:bCs/>
          <w:sz w:val="24"/>
        </w:rPr>
        <w:t>（18）组织并参加基金财产清算小组，参与基金财产的保管、清理、估价、变现和分配；</w:t>
      </w:r>
    </w:p>
    <w:p w14:paraId="1B6AD9DA">
      <w:pPr>
        <w:adjustRightInd w:val="0"/>
        <w:snapToGrid w:val="0"/>
        <w:spacing w:line="360" w:lineRule="auto"/>
        <w:ind w:firstLine="480" w:firstLineChars="200"/>
        <w:rPr>
          <w:bCs/>
          <w:sz w:val="24"/>
        </w:rPr>
      </w:pPr>
      <w:r>
        <w:rPr>
          <w:rFonts w:hint="eastAsia"/>
          <w:bCs/>
          <w:sz w:val="24"/>
        </w:rPr>
        <w:t>（19）面临解散、依法被撤销或者被依法宣告破产时，及时报告中国证监会并通知基金托管人；</w:t>
      </w:r>
    </w:p>
    <w:p w14:paraId="168F2189">
      <w:pPr>
        <w:adjustRightInd w:val="0"/>
        <w:snapToGrid w:val="0"/>
        <w:spacing w:line="360" w:lineRule="auto"/>
        <w:ind w:firstLine="480" w:firstLineChars="200"/>
        <w:rPr>
          <w:bCs/>
          <w:sz w:val="24"/>
        </w:rPr>
      </w:pPr>
      <w:r>
        <w:rPr>
          <w:rFonts w:hint="eastAsia"/>
          <w:bCs/>
          <w:sz w:val="24"/>
        </w:rPr>
        <w:t>（20）因违反《基金合同》导致基金财产的损失或损害基金份额持有人合法权益时，应当承担赔偿责任，其赔偿责任不因其退任而免除；</w:t>
      </w:r>
    </w:p>
    <w:p w14:paraId="4ED89950">
      <w:pPr>
        <w:adjustRightInd w:val="0"/>
        <w:snapToGrid w:val="0"/>
        <w:spacing w:line="360" w:lineRule="auto"/>
        <w:ind w:firstLine="480" w:firstLineChars="200"/>
        <w:rPr>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14:paraId="0CB1D9BF">
      <w:pPr>
        <w:adjustRightInd w:val="0"/>
        <w:snapToGrid w:val="0"/>
        <w:spacing w:line="360" w:lineRule="auto"/>
        <w:ind w:firstLine="480" w:firstLineChars="200"/>
        <w:rPr>
          <w:bCs/>
          <w:sz w:val="24"/>
        </w:rPr>
      </w:pPr>
      <w:r>
        <w:rPr>
          <w:rFonts w:hint="eastAsia"/>
          <w:bCs/>
          <w:sz w:val="24"/>
        </w:rPr>
        <w:t>（22）当基金管理人将其义务委托第三方处理时，应当对第三方处理有关基金事务的行为承担责任；</w:t>
      </w:r>
    </w:p>
    <w:p w14:paraId="2CFE5C5D">
      <w:pPr>
        <w:adjustRightInd w:val="0"/>
        <w:snapToGrid w:val="0"/>
        <w:spacing w:line="360" w:lineRule="auto"/>
        <w:ind w:firstLine="480" w:firstLineChars="200"/>
        <w:rPr>
          <w:bCs/>
          <w:sz w:val="24"/>
        </w:rPr>
      </w:pPr>
      <w:r>
        <w:rPr>
          <w:rFonts w:hint="eastAsia"/>
          <w:bCs/>
          <w:sz w:val="24"/>
        </w:rPr>
        <w:t>（23）以基金管理人名义，代表基金份额持有人利益行使诉讼权利或实施其他法律行为；</w:t>
      </w:r>
      <w:r>
        <w:rPr>
          <w:rFonts w:hint="eastAsia"/>
          <w:bCs/>
          <w:sz w:val="24"/>
        </w:rPr>
        <w:tab/>
      </w:r>
    </w:p>
    <w:p w14:paraId="54EFF995">
      <w:pPr>
        <w:adjustRightInd w:val="0"/>
        <w:snapToGrid w:val="0"/>
        <w:spacing w:line="360" w:lineRule="auto"/>
        <w:ind w:firstLine="480" w:firstLineChars="200"/>
        <w:rPr>
          <w:bCs/>
          <w:sz w:val="24"/>
        </w:rPr>
      </w:pPr>
      <w:r>
        <w:rPr>
          <w:rFonts w:hint="eastAsia"/>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138D5BA7">
      <w:pPr>
        <w:adjustRightInd w:val="0"/>
        <w:snapToGrid w:val="0"/>
        <w:spacing w:line="360" w:lineRule="auto"/>
        <w:ind w:firstLine="480" w:firstLineChars="200"/>
        <w:rPr>
          <w:bCs/>
          <w:sz w:val="24"/>
        </w:rPr>
      </w:pPr>
      <w:r>
        <w:rPr>
          <w:rFonts w:hint="eastAsia"/>
          <w:bCs/>
          <w:sz w:val="24"/>
        </w:rPr>
        <w:t>（25）执行生效的基金份额持有人大会的决议；</w:t>
      </w:r>
    </w:p>
    <w:p w14:paraId="6A546CF6">
      <w:pPr>
        <w:adjustRightInd w:val="0"/>
        <w:snapToGrid w:val="0"/>
        <w:spacing w:line="360" w:lineRule="auto"/>
        <w:ind w:firstLine="480" w:firstLineChars="200"/>
        <w:rPr>
          <w:bCs/>
          <w:sz w:val="24"/>
        </w:rPr>
      </w:pPr>
      <w:r>
        <w:rPr>
          <w:rFonts w:hint="eastAsia"/>
          <w:bCs/>
          <w:sz w:val="24"/>
        </w:rPr>
        <w:t>（26）建立并保存基金份额持有人名册；</w:t>
      </w:r>
    </w:p>
    <w:p w14:paraId="5E9EFACF">
      <w:pPr>
        <w:adjustRightInd w:val="0"/>
        <w:snapToGrid w:val="0"/>
        <w:spacing w:line="360" w:lineRule="auto"/>
        <w:ind w:firstLine="480" w:firstLineChars="200"/>
        <w:rPr>
          <w:bCs/>
          <w:sz w:val="24"/>
        </w:rPr>
      </w:pPr>
      <w:r>
        <w:rPr>
          <w:rFonts w:hint="eastAsia"/>
          <w:bCs/>
          <w:sz w:val="24"/>
        </w:rPr>
        <w:t>（27）法律法规及中国证监会规定的和《基金合同》约定的其他义务。</w:t>
      </w:r>
    </w:p>
    <w:p w14:paraId="2E16193A">
      <w:pPr>
        <w:adjustRightInd w:val="0"/>
        <w:snapToGrid w:val="0"/>
        <w:spacing w:line="360" w:lineRule="auto"/>
        <w:ind w:firstLine="480" w:firstLineChars="200"/>
        <w:rPr>
          <w:bCs/>
          <w:sz w:val="24"/>
        </w:rPr>
      </w:pPr>
      <w:r>
        <w:rPr>
          <w:bCs/>
          <w:sz w:val="24"/>
        </w:rPr>
        <w:t>2、基金托管人的权利与义务</w:t>
      </w:r>
    </w:p>
    <w:p w14:paraId="493F25C5">
      <w:pPr>
        <w:adjustRightInd w:val="0"/>
        <w:snapToGrid w:val="0"/>
        <w:spacing w:line="360" w:lineRule="auto"/>
        <w:ind w:firstLine="480" w:firstLineChars="200"/>
        <w:rPr>
          <w:bCs/>
          <w:sz w:val="24"/>
        </w:rPr>
      </w:pPr>
      <w:r>
        <w:rPr>
          <w:bCs/>
          <w:sz w:val="24"/>
        </w:rPr>
        <w:t>根据《基金法》、《运作办法》及其他有关规定，基金托管人的权利包括但不限于：</w:t>
      </w:r>
    </w:p>
    <w:p w14:paraId="47870803">
      <w:pPr>
        <w:adjustRightInd w:val="0"/>
        <w:snapToGrid w:val="0"/>
        <w:spacing w:line="360" w:lineRule="auto"/>
        <w:ind w:firstLine="480" w:firstLineChars="200"/>
        <w:rPr>
          <w:bCs/>
          <w:sz w:val="24"/>
        </w:rPr>
      </w:pPr>
      <w:r>
        <w:rPr>
          <w:rFonts w:hint="eastAsia"/>
          <w:bCs/>
          <w:sz w:val="24"/>
        </w:rPr>
        <w:t>（1）自《基金合同》生效之日起，依法律法规和《基金合同》的规定安全保管基金财产；</w:t>
      </w:r>
    </w:p>
    <w:p w14:paraId="572A16D4">
      <w:pPr>
        <w:adjustRightInd w:val="0"/>
        <w:snapToGrid w:val="0"/>
        <w:spacing w:line="360" w:lineRule="auto"/>
        <w:ind w:firstLine="480" w:firstLineChars="200"/>
        <w:rPr>
          <w:bCs/>
          <w:sz w:val="24"/>
        </w:rPr>
      </w:pPr>
      <w:r>
        <w:rPr>
          <w:rFonts w:hint="eastAsia"/>
          <w:bCs/>
          <w:sz w:val="24"/>
        </w:rPr>
        <w:t>（2）依《基金合同》约定获得基金托管费以及法律法规规定或监管部门批准的其他费用；</w:t>
      </w:r>
    </w:p>
    <w:p w14:paraId="669D1B56">
      <w:pPr>
        <w:adjustRightInd w:val="0"/>
        <w:snapToGrid w:val="0"/>
        <w:spacing w:line="360" w:lineRule="auto"/>
        <w:ind w:firstLine="480" w:firstLineChars="200"/>
        <w:rPr>
          <w:bCs/>
          <w:sz w:val="24"/>
        </w:rPr>
      </w:pPr>
      <w:r>
        <w:rPr>
          <w:rFonts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8E61482">
      <w:pPr>
        <w:adjustRightInd w:val="0"/>
        <w:snapToGrid w:val="0"/>
        <w:spacing w:line="360" w:lineRule="auto"/>
        <w:ind w:firstLine="480" w:firstLineChars="200"/>
        <w:rPr>
          <w:bCs/>
          <w:sz w:val="24"/>
        </w:rPr>
      </w:pPr>
      <w:r>
        <w:rPr>
          <w:rFonts w:hint="eastAsia"/>
          <w:bCs/>
          <w:sz w:val="24"/>
        </w:rPr>
        <w:t>（4）根据相关市场规则，为基金开设资金账户、证券账户等投资所需账户，为基金办理证券、期货交易资金清算；</w:t>
      </w:r>
    </w:p>
    <w:p w14:paraId="3114A765">
      <w:pPr>
        <w:adjustRightInd w:val="0"/>
        <w:snapToGrid w:val="0"/>
        <w:spacing w:line="360" w:lineRule="auto"/>
        <w:ind w:firstLine="480" w:firstLineChars="200"/>
        <w:rPr>
          <w:bCs/>
          <w:sz w:val="24"/>
        </w:rPr>
      </w:pPr>
      <w:r>
        <w:rPr>
          <w:rFonts w:hint="eastAsia"/>
          <w:bCs/>
          <w:sz w:val="24"/>
        </w:rPr>
        <w:t>（5）提议召开或召集基金份额持有人大会；</w:t>
      </w:r>
    </w:p>
    <w:p w14:paraId="6A767559">
      <w:pPr>
        <w:adjustRightInd w:val="0"/>
        <w:snapToGrid w:val="0"/>
        <w:spacing w:line="360" w:lineRule="auto"/>
        <w:ind w:firstLine="480" w:firstLineChars="200"/>
        <w:rPr>
          <w:bCs/>
          <w:sz w:val="24"/>
        </w:rPr>
      </w:pPr>
      <w:r>
        <w:rPr>
          <w:rFonts w:hint="eastAsia"/>
          <w:bCs/>
          <w:sz w:val="24"/>
        </w:rPr>
        <w:t>（6）在基金管理人更换时，提名新的基金管理人；</w:t>
      </w:r>
    </w:p>
    <w:p w14:paraId="710B16CC">
      <w:pPr>
        <w:adjustRightInd w:val="0"/>
        <w:snapToGrid w:val="0"/>
        <w:spacing w:line="360" w:lineRule="auto"/>
        <w:ind w:firstLine="480" w:firstLineChars="200"/>
        <w:rPr>
          <w:bCs/>
          <w:sz w:val="24"/>
        </w:rPr>
      </w:pPr>
      <w:r>
        <w:rPr>
          <w:rFonts w:hint="eastAsia"/>
          <w:bCs/>
          <w:sz w:val="24"/>
        </w:rPr>
        <w:t>（7）法律法规及中国证监会规定的和《基金合同》约定的其他权利。</w:t>
      </w:r>
    </w:p>
    <w:p w14:paraId="017ADB2E">
      <w:pPr>
        <w:adjustRightInd w:val="0"/>
        <w:snapToGrid w:val="0"/>
        <w:spacing w:line="360" w:lineRule="auto"/>
        <w:ind w:firstLine="480" w:firstLineChars="200"/>
        <w:rPr>
          <w:bCs/>
          <w:sz w:val="24"/>
        </w:rPr>
      </w:pPr>
      <w:r>
        <w:rPr>
          <w:bCs/>
          <w:sz w:val="24"/>
        </w:rPr>
        <w:t>根据《基金法》、《运作办法》及其他有关规定，基金托管人的义务包括但不限于：</w:t>
      </w:r>
    </w:p>
    <w:p w14:paraId="0003254B">
      <w:pPr>
        <w:adjustRightInd w:val="0"/>
        <w:snapToGrid w:val="0"/>
        <w:spacing w:line="360" w:lineRule="auto"/>
        <w:ind w:firstLine="480" w:firstLineChars="200"/>
        <w:rPr>
          <w:bCs/>
          <w:sz w:val="24"/>
        </w:rPr>
      </w:pPr>
      <w:r>
        <w:rPr>
          <w:rFonts w:hint="eastAsia"/>
          <w:bCs/>
          <w:sz w:val="24"/>
        </w:rPr>
        <w:t>（1）以诚实信用、勤勉尽责的原则持有并安全保管基金财产；</w:t>
      </w:r>
    </w:p>
    <w:p w14:paraId="29BC2F1F">
      <w:pPr>
        <w:adjustRightInd w:val="0"/>
        <w:snapToGrid w:val="0"/>
        <w:spacing w:line="360" w:lineRule="auto"/>
        <w:ind w:firstLine="480" w:firstLineChars="200"/>
        <w:rPr>
          <w:bCs/>
          <w:sz w:val="24"/>
        </w:rPr>
      </w:pPr>
      <w:r>
        <w:rPr>
          <w:rFonts w:hint="eastAsia"/>
          <w:bCs/>
          <w:sz w:val="24"/>
        </w:rPr>
        <w:t>（2）设立专门的基金托管部门，具有符合要求的营业场所，配备足够的、合格的熟悉基金托管业务的专职人员，负责基金财产托管事宜；</w:t>
      </w:r>
    </w:p>
    <w:p w14:paraId="73B0CD32">
      <w:pPr>
        <w:adjustRightInd w:val="0"/>
        <w:snapToGrid w:val="0"/>
        <w:spacing w:line="360" w:lineRule="auto"/>
        <w:ind w:firstLine="480" w:firstLineChars="200"/>
        <w:rPr>
          <w:bCs/>
          <w:sz w:val="24"/>
        </w:rPr>
      </w:pPr>
      <w:r>
        <w:rPr>
          <w:rFonts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5FDB083">
      <w:pPr>
        <w:adjustRightInd w:val="0"/>
        <w:snapToGrid w:val="0"/>
        <w:spacing w:line="360" w:lineRule="auto"/>
        <w:ind w:firstLine="480" w:firstLineChars="200"/>
        <w:rPr>
          <w:bCs/>
          <w:sz w:val="24"/>
        </w:rPr>
      </w:pPr>
      <w:r>
        <w:rPr>
          <w:rFonts w:hint="eastAsia"/>
          <w:bCs/>
          <w:sz w:val="24"/>
        </w:rPr>
        <w:t>（4）除依据《基金法》、《基金合同》及其他有关规定外，不得利用基金财产为自己及任何第三人谋取利益，不得委托第三人托管基金财产；</w:t>
      </w:r>
    </w:p>
    <w:p w14:paraId="5DB1DF90">
      <w:pPr>
        <w:adjustRightInd w:val="0"/>
        <w:snapToGrid w:val="0"/>
        <w:spacing w:line="360" w:lineRule="auto"/>
        <w:ind w:firstLine="480" w:firstLineChars="200"/>
        <w:rPr>
          <w:bCs/>
          <w:sz w:val="24"/>
        </w:rPr>
      </w:pPr>
      <w:r>
        <w:rPr>
          <w:rFonts w:hint="eastAsia"/>
          <w:bCs/>
          <w:sz w:val="24"/>
        </w:rPr>
        <w:t>（5）保管由基金管理人代表基金签订的与基金有关的重大合同及有关凭证；</w:t>
      </w:r>
    </w:p>
    <w:p w14:paraId="01F0524E">
      <w:pPr>
        <w:adjustRightInd w:val="0"/>
        <w:snapToGrid w:val="0"/>
        <w:spacing w:line="360" w:lineRule="auto"/>
        <w:ind w:firstLine="480" w:firstLineChars="200"/>
        <w:rPr>
          <w:bCs/>
          <w:sz w:val="24"/>
        </w:rPr>
      </w:pPr>
      <w:r>
        <w:rPr>
          <w:rFonts w:hint="eastAsia"/>
          <w:bCs/>
          <w:sz w:val="24"/>
        </w:rPr>
        <w:t>（6）按规定开设基金财产的资金账户、证券账户等投资所需账户，按照《基金合同》的约定，根据基金管理人的投资指令，及时办理清算、交割事宜；</w:t>
      </w:r>
    </w:p>
    <w:p w14:paraId="7E9F763E">
      <w:pPr>
        <w:adjustRightInd w:val="0"/>
        <w:snapToGrid w:val="0"/>
        <w:spacing w:line="360" w:lineRule="auto"/>
        <w:ind w:firstLine="480" w:firstLineChars="200"/>
        <w:rPr>
          <w:bCs/>
          <w:sz w:val="24"/>
        </w:rPr>
      </w:pPr>
      <w:r>
        <w:rPr>
          <w:rFonts w:hint="eastAsia"/>
          <w:bCs/>
          <w:sz w:val="24"/>
        </w:rPr>
        <w:t xml:space="preserve">（7）保守基金商业秘密，除《基金法》、《基金合同》及其他有关规定另有规定外，在基金信息公开披露前予以保密，不得向他人泄露； </w:t>
      </w:r>
    </w:p>
    <w:p w14:paraId="3ED82621">
      <w:pPr>
        <w:adjustRightInd w:val="0"/>
        <w:snapToGrid w:val="0"/>
        <w:spacing w:line="360" w:lineRule="auto"/>
        <w:ind w:firstLine="480" w:firstLineChars="200"/>
        <w:rPr>
          <w:bCs/>
          <w:sz w:val="24"/>
        </w:rPr>
      </w:pPr>
      <w:r>
        <w:rPr>
          <w:rFonts w:hint="eastAsia"/>
          <w:bCs/>
          <w:sz w:val="24"/>
        </w:rPr>
        <w:t>（8）复核、审查基金管理人计算的基金资产净值、各类基金份额净值、基金份额申购、赎回价格；</w:t>
      </w:r>
    </w:p>
    <w:p w14:paraId="7A0678FE">
      <w:pPr>
        <w:adjustRightInd w:val="0"/>
        <w:snapToGrid w:val="0"/>
        <w:spacing w:line="360" w:lineRule="auto"/>
        <w:ind w:firstLine="480" w:firstLineChars="200"/>
        <w:rPr>
          <w:bCs/>
          <w:sz w:val="24"/>
        </w:rPr>
      </w:pPr>
      <w:r>
        <w:rPr>
          <w:rFonts w:hint="eastAsia"/>
          <w:bCs/>
          <w:sz w:val="24"/>
        </w:rPr>
        <w:t>（9）办理与基金托管业务活动有关的信息披露事项；</w:t>
      </w:r>
    </w:p>
    <w:p w14:paraId="2146056B">
      <w:pPr>
        <w:adjustRightInd w:val="0"/>
        <w:snapToGrid w:val="0"/>
        <w:spacing w:line="360" w:lineRule="auto"/>
        <w:ind w:firstLine="480" w:firstLineChars="200"/>
        <w:rPr>
          <w:bCs/>
          <w:sz w:val="24"/>
        </w:rPr>
      </w:pPr>
      <w:r>
        <w:rPr>
          <w:rFonts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A16D2EC">
      <w:pPr>
        <w:adjustRightInd w:val="0"/>
        <w:snapToGrid w:val="0"/>
        <w:spacing w:line="360" w:lineRule="auto"/>
        <w:ind w:firstLine="480" w:firstLineChars="200"/>
        <w:rPr>
          <w:bCs/>
          <w:sz w:val="24"/>
        </w:rPr>
      </w:pPr>
      <w:r>
        <w:rPr>
          <w:rFonts w:hint="eastAsia"/>
          <w:bCs/>
          <w:sz w:val="24"/>
        </w:rPr>
        <w:t>（11）保存基金托管业务活动的记录、账册、报表和其他相关资料不低于法律法规规定的最低期限；</w:t>
      </w:r>
    </w:p>
    <w:p w14:paraId="3780B1B3">
      <w:pPr>
        <w:adjustRightInd w:val="0"/>
        <w:snapToGrid w:val="0"/>
        <w:spacing w:line="360" w:lineRule="auto"/>
        <w:ind w:firstLine="480" w:firstLineChars="200"/>
        <w:rPr>
          <w:bCs/>
          <w:sz w:val="24"/>
        </w:rPr>
      </w:pPr>
      <w:r>
        <w:rPr>
          <w:rFonts w:hint="eastAsia"/>
          <w:bCs/>
          <w:sz w:val="24"/>
        </w:rPr>
        <w:t>（12）建立并保存基金份额持有人名册；</w:t>
      </w:r>
    </w:p>
    <w:p w14:paraId="1C3F1B84">
      <w:pPr>
        <w:adjustRightInd w:val="0"/>
        <w:snapToGrid w:val="0"/>
        <w:spacing w:line="360" w:lineRule="auto"/>
        <w:ind w:firstLine="480" w:firstLineChars="200"/>
        <w:rPr>
          <w:bCs/>
          <w:sz w:val="24"/>
        </w:rPr>
      </w:pPr>
      <w:r>
        <w:rPr>
          <w:rFonts w:hint="eastAsia"/>
          <w:bCs/>
          <w:sz w:val="24"/>
        </w:rPr>
        <w:t>（13）按规定制作相关账册并与基金管理人核对；</w:t>
      </w:r>
    </w:p>
    <w:p w14:paraId="434C6B26">
      <w:pPr>
        <w:adjustRightInd w:val="0"/>
        <w:snapToGrid w:val="0"/>
        <w:spacing w:line="360" w:lineRule="auto"/>
        <w:ind w:firstLine="480" w:firstLineChars="200"/>
        <w:rPr>
          <w:bCs/>
          <w:sz w:val="24"/>
        </w:rPr>
      </w:pPr>
      <w:r>
        <w:rPr>
          <w:rFonts w:hint="eastAsia"/>
          <w:bCs/>
          <w:sz w:val="24"/>
        </w:rPr>
        <w:t>（14）依据基金管理人的指令或有关规定向基金份额持有人支付基金收益和赎回款项；</w:t>
      </w:r>
    </w:p>
    <w:p w14:paraId="561AF625">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（15）依据《基金法》、《基金合同》及其他有关规定，召集基金份额持有人大会或配合基金管理人、基金份额持有人依法召集基金份额持有人大会；</w:t>
      </w:r>
    </w:p>
    <w:p w14:paraId="7ED1A2EF">
      <w:pPr>
        <w:adjustRightInd w:val="0"/>
        <w:snapToGrid w:val="0"/>
        <w:spacing w:line="360" w:lineRule="auto"/>
        <w:ind w:firstLine="480" w:firstLineChars="200"/>
        <w:rPr>
          <w:bCs/>
          <w:sz w:val="24"/>
        </w:rPr>
      </w:pPr>
      <w:r>
        <w:rPr>
          <w:rFonts w:hint="eastAsia"/>
          <w:bCs/>
          <w:sz w:val="24"/>
        </w:rPr>
        <w:t>（16）按照法律法规和《基金合同》的规定监督基金管理人的投资运作；</w:t>
      </w:r>
    </w:p>
    <w:p w14:paraId="0ACB3ACC">
      <w:pPr>
        <w:adjustRightInd w:val="0"/>
        <w:snapToGrid w:val="0"/>
        <w:spacing w:line="360" w:lineRule="auto"/>
        <w:ind w:firstLine="480" w:firstLineChars="200"/>
        <w:rPr>
          <w:bCs/>
          <w:sz w:val="24"/>
        </w:rPr>
      </w:pPr>
      <w:r>
        <w:rPr>
          <w:rFonts w:hint="eastAsia"/>
          <w:bCs/>
          <w:sz w:val="24"/>
        </w:rPr>
        <w:t>（17）参加基金财产清算小组，参与基金财产的保管、清理、估价、变现和分配；</w:t>
      </w:r>
    </w:p>
    <w:p w14:paraId="338E38FB">
      <w:pPr>
        <w:adjustRightInd w:val="0"/>
        <w:snapToGrid w:val="0"/>
        <w:spacing w:line="360" w:lineRule="auto"/>
        <w:ind w:firstLine="480" w:firstLineChars="200"/>
        <w:rPr>
          <w:bCs/>
          <w:sz w:val="24"/>
        </w:rPr>
      </w:pPr>
      <w:r>
        <w:rPr>
          <w:rFonts w:hint="eastAsia"/>
          <w:bCs/>
          <w:sz w:val="24"/>
        </w:rPr>
        <w:t>（18）面临解散、依法被撤销或者被依法宣告破产时，及时报告中国证监会和银行业监督管理机构，并通知基金管理人；</w:t>
      </w:r>
    </w:p>
    <w:p w14:paraId="0C83D58B">
      <w:pPr>
        <w:adjustRightInd w:val="0"/>
        <w:snapToGrid w:val="0"/>
        <w:spacing w:line="360" w:lineRule="auto"/>
        <w:ind w:firstLine="480" w:firstLineChars="200"/>
        <w:rPr>
          <w:bCs/>
          <w:sz w:val="24"/>
        </w:rPr>
      </w:pPr>
      <w:r>
        <w:rPr>
          <w:rFonts w:hint="eastAsia"/>
          <w:bCs/>
          <w:sz w:val="24"/>
        </w:rPr>
        <w:t>（19）因违反《基金合同》导致基金财产损失时，应承担赔偿责任，其赔偿责任不因其退任而免除；</w:t>
      </w:r>
    </w:p>
    <w:p w14:paraId="37CD8FB1">
      <w:pPr>
        <w:adjustRightInd w:val="0"/>
        <w:snapToGrid w:val="0"/>
        <w:spacing w:line="360" w:lineRule="auto"/>
        <w:ind w:firstLine="480" w:firstLineChars="200"/>
        <w:rPr>
          <w:bCs/>
          <w:sz w:val="24"/>
        </w:rPr>
      </w:pPr>
      <w:r>
        <w:rPr>
          <w:rFonts w:hint="eastAsia"/>
          <w:bCs/>
          <w:sz w:val="24"/>
        </w:rPr>
        <w:t>（20）按规定监督基金管理人按法律法规和《基金合同》规定履行自己的义务，基金管理人因违反《基金合同》造成基金财产损失时，应为基金份额持有人利益向基金管理人追偿；</w:t>
      </w:r>
    </w:p>
    <w:p w14:paraId="0B03AA7B">
      <w:pPr>
        <w:adjustRightInd w:val="0"/>
        <w:snapToGrid w:val="0"/>
        <w:spacing w:line="360" w:lineRule="auto"/>
        <w:ind w:firstLine="480" w:firstLineChars="200"/>
        <w:rPr>
          <w:bCs/>
          <w:sz w:val="24"/>
        </w:rPr>
      </w:pPr>
      <w:r>
        <w:rPr>
          <w:rFonts w:hint="eastAsia"/>
          <w:bCs/>
          <w:sz w:val="24"/>
        </w:rPr>
        <w:t>（21）执行生效的基金份额持有人大会的决议；</w:t>
      </w:r>
    </w:p>
    <w:p w14:paraId="3B205E3A">
      <w:pPr>
        <w:adjustRightInd w:val="0"/>
        <w:snapToGrid w:val="0"/>
        <w:spacing w:line="360" w:lineRule="auto"/>
        <w:ind w:firstLine="480" w:firstLineChars="200"/>
        <w:rPr>
          <w:bCs/>
          <w:sz w:val="24"/>
        </w:rPr>
      </w:pPr>
      <w:r>
        <w:rPr>
          <w:rFonts w:hint="eastAsia"/>
          <w:bCs/>
          <w:sz w:val="24"/>
        </w:rPr>
        <w:t>（22）法律法规及中国证监会规定的和《基金合同》约定的其他义务。</w:t>
      </w:r>
    </w:p>
    <w:p w14:paraId="792FE261">
      <w:pPr>
        <w:adjustRightInd w:val="0"/>
        <w:snapToGrid w:val="0"/>
        <w:spacing w:line="360" w:lineRule="auto"/>
        <w:ind w:firstLine="480" w:firstLineChars="200"/>
        <w:rPr>
          <w:bCs/>
          <w:sz w:val="24"/>
        </w:rPr>
      </w:pPr>
      <w:r>
        <w:rPr>
          <w:bCs/>
          <w:sz w:val="24"/>
        </w:rPr>
        <w:t>3、基金份额持有人的权利与义务</w:t>
      </w:r>
    </w:p>
    <w:p w14:paraId="39027F58">
      <w:pPr>
        <w:adjustRightInd w:val="0"/>
        <w:snapToGrid w:val="0"/>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14:paraId="03B7FC9E">
      <w:pPr>
        <w:adjustRightInd w:val="0"/>
        <w:snapToGrid w:val="0"/>
        <w:spacing w:line="360" w:lineRule="auto"/>
        <w:ind w:firstLine="480" w:firstLineChars="200"/>
        <w:rPr>
          <w:bCs/>
          <w:sz w:val="24"/>
        </w:rPr>
      </w:pPr>
      <w:r>
        <w:rPr>
          <w:rFonts w:hint="eastAsia"/>
          <w:bCs/>
          <w:sz w:val="24"/>
        </w:rPr>
        <w:t>同一类别每份基金份额具有同等的合法权益。</w:t>
      </w:r>
    </w:p>
    <w:p w14:paraId="67F762F1">
      <w:pPr>
        <w:adjustRightInd w:val="0"/>
        <w:snapToGrid w:val="0"/>
        <w:spacing w:line="360" w:lineRule="auto"/>
        <w:ind w:firstLine="480" w:firstLineChars="200"/>
        <w:rPr>
          <w:bCs/>
          <w:sz w:val="24"/>
        </w:rPr>
      </w:pPr>
      <w:r>
        <w:rPr>
          <w:rFonts w:hint="eastAsia"/>
          <w:bCs/>
          <w:sz w:val="24"/>
        </w:rPr>
        <w:t>根据《基金法》、《运作办法》及其他有关规定，基金份额持有人的权利包括但不限于：</w:t>
      </w:r>
    </w:p>
    <w:p w14:paraId="48D60207">
      <w:pPr>
        <w:adjustRightInd w:val="0"/>
        <w:snapToGrid w:val="0"/>
        <w:spacing w:line="360" w:lineRule="auto"/>
        <w:ind w:firstLine="480" w:firstLineChars="200"/>
        <w:rPr>
          <w:bCs/>
          <w:sz w:val="24"/>
        </w:rPr>
      </w:pPr>
      <w:r>
        <w:rPr>
          <w:rFonts w:hint="eastAsia"/>
          <w:bCs/>
          <w:sz w:val="24"/>
        </w:rPr>
        <w:t>（1）分享基金财产收益；</w:t>
      </w:r>
    </w:p>
    <w:p w14:paraId="3FA75B43">
      <w:pPr>
        <w:adjustRightInd w:val="0"/>
        <w:snapToGrid w:val="0"/>
        <w:spacing w:line="360" w:lineRule="auto"/>
        <w:ind w:firstLine="480" w:firstLineChars="200"/>
        <w:rPr>
          <w:bCs/>
          <w:sz w:val="24"/>
        </w:rPr>
      </w:pPr>
      <w:r>
        <w:rPr>
          <w:rFonts w:hint="eastAsia"/>
          <w:bCs/>
          <w:sz w:val="24"/>
        </w:rPr>
        <w:t>（2）参与分配清算后的剩余基金财产；</w:t>
      </w:r>
    </w:p>
    <w:p w14:paraId="085D625B">
      <w:pPr>
        <w:adjustRightInd w:val="0"/>
        <w:snapToGrid w:val="0"/>
        <w:spacing w:line="360" w:lineRule="auto"/>
        <w:ind w:firstLine="480" w:firstLineChars="200"/>
        <w:rPr>
          <w:bCs/>
          <w:sz w:val="24"/>
        </w:rPr>
      </w:pPr>
      <w:r>
        <w:rPr>
          <w:rFonts w:hint="eastAsia"/>
          <w:bCs/>
          <w:sz w:val="24"/>
        </w:rPr>
        <w:t>（3）依法并按照基金合同和招募说明书的规定转让或者申请赎回其持有的基金份额；</w:t>
      </w:r>
    </w:p>
    <w:p w14:paraId="44795EFE">
      <w:pPr>
        <w:adjustRightInd w:val="0"/>
        <w:snapToGrid w:val="0"/>
        <w:spacing w:line="360" w:lineRule="auto"/>
        <w:ind w:firstLine="480" w:firstLineChars="200"/>
        <w:rPr>
          <w:bCs/>
          <w:sz w:val="24"/>
        </w:rPr>
      </w:pPr>
      <w:r>
        <w:rPr>
          <w:rFonts w:hint="eastAsia"/>
          <w:bCs/>
          <w:sz w:val="24"/>
        </w:rPr>
        <w:t>（4）按照规定要求召开基金份额持有人大会或者召集基金份额持有人大会；</w:t>
      </w:r>
    </w:p>
    <w:p w14:paraId="3E6AAB81">
      <w:pPr>
        <w:adjustRightInd w:val="0"/>
        <w:snapToGrid w:val="0"/>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14:paraId="687FB124">
      <w:pPr>
        <w:adjustRightInd w:val="0"/>
        <w:snapToGrid w:val="0"/>
        <w:spacing w:line="360" w:lineRule="auto"/>
        <w:ind w:firstLine="480" w:firstLineChars="200"/>
        <w:rPr>
          <w:bCs/>
          <w:sz w:val="24"/>
        </w:rPr>
      </w:pPr>
      <w:r>
        <w:rPr>
          <w:rFonts w:hint="eastAsia"/>
          <w:bCs/>
          <w:sz w:val="24"/>
        </w:rPr>
        <w:t>（6）查阅或者复制公开披露的基金信息资料；</w:t>
      </w:r>
    </w:p>
    <w:p w14:paraId="2578C32E">
      <w:pPr>
        <w:adjustRightInd w:val="0"/>
        <w:snapToGrid w:val="0"/>
        <w:spacing w:line="360" w:lineRule="auto"/>
        <w:ind w:firstLine="480" w:firstLineChars="200"/>
        <w:rPr>
          <w:bCs/>
          <w:sz w:val="24"/>
        </w:rPr>
      </w:pPr>
      <w:r>
        <w:rPr>
          <w:rFonts w:hint="eastAsia"/>
          <w:bCs/>
          <w:sz w:val="24"/>
        </w:rPr>
        <w:t>（7）监督基金管理人的投资运作；</w:t>
      </w:r>
    </w:p>
    <w:p w14:paraId="52C18DDA">
      <w:pPr>
        <w:adjustRightInd w:val="0"/>
        <w:snapToGrid w:val="0"/>
        <w:spacing w:line="360" w:lineRule="auto"/>
        <w:ind w:firstLine="480" w:firstLineChars="200"/>
        <w:rPr>
          <w:bCs/>
          <w:sz w:val="24"/>
        </w:rPr>
      </w:pPr>
      <w:r>
        <w:rPr>
          <w:rFonts w:hint="eastAsia"/>
          <w:bCs/>
          <w:sz w:val="24"/>
        </w:rPr>
        <w:t>（8）对基金管理人、基金托管人、基金服务机构损害其合法权益的行为依法提起诉讼或仲裁；</w:t>
      </w:r>
    </w:p>
    <w:p w14:paraId="6F24CBED">
      <w:pPr>
        <w:adjustRightInd w:val="0"/>
        <w:snapToGrid w:val="0"/>
        <w:spacing w:line="360" w:lineRule="auto"/>
        <w:ind w:firstLine="480" w:firstLineChars="200"/>
        <w:rPr>
          <w:bCs/>
          <w:sz w:val="24"/>
        </w:rPr>
      </w:pPr>
      <w:r>
        <w:rPr>
          <w:rFonts w:hint="eastAsia"/>
          <w:bCs/>
          <w:sz w:val="24"/>
        </w:rPr>
        <w:t>（9）法律法规及中国证监会规定的和《基金合同》约定的其他权利。</w:t>
      </w:r>
    </w:p>
    <w:p w14:paraId="35D4E642">
      <w:pPr>
        <w:adjustRightInd w:val="0"/>
        <w:snapToGrid w:val="0"/>
        <w:spacing w:line="360" w:lineRule="auto"/>
        <w:ind w:firstLine="480" w:firstLineChars="200"/>
        <w:rPr>
          <w:bCs/>
          <w:sz w:val="24"/>
        </w:rPr>
      </w:pPr>
      <w:r>
        <w:rPr>
          <w:rFonts w:hint="eastAsia"/>
          <w:bCs/>
          <w:sz w:val="24"/>
        </w:rPr>
        <w:t>根据《基金法》、《运作办法》及其他有关规定，基金份额持有人的义务包括但不限于：</w:t>
      </w:r>
    </w:p>
    <w:p w14:paraId="4DB5A361">
      <w:pPr>
        <w:adjustRightInd w:val="0"/>
        <w:snapToGrid w:val="0"/>
        <w:spacing w:line="360" w:lineRule="auto"/>
        <w:ind w:firstLine="480" w:firstLineChars="200"/>
        <w:rPr>
          <w:bCs/>
          <w:sz w:val="24"/>
        </w:rPr>
      </w:pPr>
      <w:r>
        <w:rPr>
          <w:rFonts w:hint="eastAsia"/>
          <w:bCs/>
          <w:sz w:val="24"/>
        </w:rPr>
        <w:t>（1）认真阅读并遵守《基金合同》、招募说明书等信息披露文件；</w:t>
      </w:r>
    </w:p>
    <w:p w14:paraId="623A7432">
      <w:pPr>
        <w:adjustRightInd w:val="0"/>
        <w:snapToGrid w:val="0"/>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14:paraId="6FF3BAB1">
      <w:pPr>
        <w:adjustRightInd w:val="0"/>
        <w:snapToGrid w:val="0"/>
        <w:spacing w:line="360" w:lineRule="auto"/>
        <w:ind w:firstLine="480" w:firstLineChars="200"/>
        <w:rPr>
          <w:bCs/>
          <w:sz w:val="24"/>
        </w:rPr>
      </w:pPr>
      <w:r>
        <w:rPr>
          <w:rFonts w:hint="eastAsia"/>
          <w:bCs/>
          <w:sz w:val="24"/>
        </w:rPr>
        <w:t>（3）关注基金信息披露，及时行使权利和履行义务；</w:t>
      </w:r>
    </w:p>
    <w:p w14:paraId="61DC8FAE">
      <w:pPr>
        <w:adjustRightInd w:val="0"/>
        <w:snapToGrid w:val="0"/>
        <w:spacing w:line="360" w:lineRule="auto"/>
        <w:ind w:firstLine="480" w:firstLineChars="200"/>
        <w:rPr>
          <w:bCs/>
          <w:sz w:val="24"/>
        </w:rPr>
      </w:pPr>
      <w:r>
        <w:rPr>
          <w:rFonts w:hint="eastAsia"/>
          <w:bCs/>
          <w:sz w:val="24"/>
        </w:rPr>
        <w:t>（4）交纳基金认购、申购款项及法律法规和《基金合同》所规定的费用；</w:t>
      </w:r>
    </w:p>
    <w:p w14:paraId="6D4B3D70">
      <w:pPr>
        <w:adjustRightInd w:val="0"/>
        <w:snapToGrid w:val="0"/>
        <w:spacing w:line="360" w:lineRule="auto"/>
        <w:ind w:firstLine="480" w:firstLineChars="200"/>
        <w:rPr>
          <w:bCs/>
          <w:sz w:val="24"/>
        </w:rPr>
      </w:pPr>
      <w:r>
        <w:rPr>
          <w:rFonts w:hint="eastAsia"/>
          <w:bCs/>
          <w:sz w:val="24"/>
        </w:rPr>
        <w:t>（5）在其持有的基金份额范围内，承担基金亏损或者《基金合同》终止的有限责任；</w:t>
      </w:r>
    </w:p>
    <w:p w14:paraId="06357331">
      <w:pPr>
        <w:adjustRightInd w:val="0"/>
        <w:snapToGrid w:val="0"/>
        <w:spacing w:line="360" w:lineRule="auto"/>
        <w:ind w:firstLine="480" w:firstLineChars="200"/>
        <w:rPr>
          <w:bCs/>
          <w:sz w:val="24"/>
        </w:rPr>
      </w:pPr>
      <w:r>
        <w:rPr>
          <w:rFonts w:hint="eastAsia"/>
          <w:bCs/>
          <w:sz w:val="24"/>
        </w:rPr>
        <w:t>（6）不从事任何有损基金及其他《基金合同》当事人合法权益的活动；</w:t>
      </w:r>
    </w:p>
    <w:p w14:paraId="3FDA7494">
      <w:pPr>
        <w:adjustRightInd w:val="0"/>
        <w:snapToGrid w:val="0"/>
        <w:spacing w:line="360" w:lineRule="auto"/>
        <w:ind w:firstLine="480" w:firstLineChars="200"/>
        <w:rPr>
          <w:bCs/>
          <w:sz w:val="24"/>
        </w:rPr>
      </w:pPr>
      <w:r>
        <w:rPr>
          <w:rFonts w:hint="eastAsia"/>
          <w:bCs/>
          <w:sz w:val="24"/>
        </w:rPr>
        <w:t>（7）执行生效的基金份额持有人大会的决议；</w:t>
      </w:r>
    </w:p>
    <w:p w14:paraId="55A2847A">
      <w:pPr>
        <w:adjustRightInd w:val="0"/>
        <w:snapToGrid w:val="0"/>
        <w:spacing w:line="360" w:lineRule="auto"/>
        <w:ind w:firstLine="480" w:firstLineChars="200"/>
        <w:rPr>
          <w:bCs/>
          <w:sz w:val="24"/>
        </w:rPr>
      </w:pPr>
      <w:r>
        <w:rPr>
          <w:rFonts w:hint="eastAsia"/>
          <w:bCs/>
          <w:sz w:val="24"/>
        </w:rPr>
        <w:t>（8）返还在基金交易过程中因任何原因获得的不当得利；</w:t>
      </w:r>
    </w:p>
    <w:p w14:paraId="6D08B050">
      <w:pPr>
        <w:adjustRightInd w:val="0"/>
        <w:snapToGrid w:val="0"/>
        <w:spacing w:line="360" w:lineRule="auto"/>
        <w:ind w:firstLine="480" w:firstLineChars="200"/>
        <w:rPr>
          <w:bCs/>
          <w:sz w:val="24"/>
        </w:rPr>
      </w:pPr>
      <w:r>
        <w:rPr>
          <w:rFonts w:hint="eastAsia"/>
          <w:bCs/>
          <w:sz w:val="24"/>
        </w:rPr>
        <w:t>（9）遵守基金管理人、基金托管人、销售机构和登记机构的相关交易及业务规则；</w:t>
      </w:r>
    </w:p>
    <w:p w14:paraId="4B8F89A2">
      <w:pPr>
        <w:adjustRightInd w:val="0"/>
        <w:snapToGrid w:val="0"/>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14:paraId="26879D10">
      <w:pPr>
        <w:adjustRightInd w:val="0"/>
        <w:snapToGrid w:val="0"/>
        <w:spacing w:line="360" w:lineRule="auto"/>
        <w:ind w:firstLine="480" w:firstLineChars="200"/>
        <w:rPr>
          <w:bCs/>
          <w:sz w:val="24"/>
        </w:rPr>
      </w:pPr>
      <w:r>
        <w:rPr>
          <w:rFonts w:hint="eastAsia"/>
          <w:bCs/>
          <w:sz w:val="24"/>
        </w:rPr>
        <w:t>（11）法律法规及中国证监会规定的和《基金合同》约定的其他义务。</w:t>
      </w:r>
    </w:p>
    <w:p w14:paraId="18B28FFF">
      <w:pPr>
        <w:adjustRightInd w:val="0"/>
        <w:snapToGrid w:val="0"/>
        <w:spacing w:line="360" w:lineRule="auto"/>
        <w:ind w:firstLine="482"/>
        <w:rPr>
          <w:b/>
          <w:bCs/>
          <w:sz w:val="24"/>
        </w:rPr>
      </w:pPr>
      <w:r>
        <w:rPr>
          <w:b/>
          <w:bCs/>
          <w:sz w:val="24"/>
        </w:rPr>
        <w:t>（二）基金份额持有人大会</w:t>
      </w:r>
      <w:r>
        <w:rPr>
          <w:rFonts w:hint="eastAsia"/>
          <w:b/>
          <w:bCs/>
          <w:sz w:val="24"/>
        </w:rPr>
        <w:t>召集、议事及表决的程序和规则</w:t>
      </w:r>
    </w:p>
    <w:p w14:paraId="279B8CED">
      <w:pPr>
        <w:adjustRightInd w:val="0"/>
        <w:snapToGrid w:val="0"/>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4EB7FA24">
      <w:pPr>
        <w:adjustRightInd w:val="0"/>
        <w:snapToGrid w:val="0"/>
        <w:spacing w:line="360" w:lineRule="auto"/>
        <w:ind w:firstLine="480" w:firstLineChars="200"/>
        <w:rPr>
          <w:bCs/>
          <w:sz w:val="24"/>
        </w:rPr>
      </w:pPr>
      <w:r>
        <w:rPr>
          <w:rFonts w:hint="eastAsia"/>
          <w:bCs/>
          <w:sz w:val="24"/>
        </w:rPr>
        <w:t>本基金份额持有人大会不设日常机构。</w:t>
      </w:r>
    </w:p>
    <w:p w14:paraId="62376643">
      <w:pPr>
        <w:adjustRightInd w:val="0"/>
        <w:snapToGrid w:val="0"/>
        <w:spacing w:line="360" w:lineRule="auto"/>
        <w:ind w:firstLine="480" w:firstLineChars="200"/>
        <w:rPr>
          <w:bCs/>
          <w:sz w:val="24"/>
        </w:rPr>
      </w:pPr>
      <w:r>
        <w:rPr>
          <w:bCs/>
          <w:sz w:val="24"/>
        </w:rPr>
        <w:t>1、召开事由</w:t>
      </w:r>
    </w:p>
    <w:p w14:paraId="44764E8E">
      <w:pPr>
        <w:adjustRightInd w:val="0"/>
        <w:snapToGrid w:val="0"/>
        <w:spacing w:line="360" w:lineRule="auto"/>
        <w:ind w:firstLine="480" w:firstLineChars="200"/>
        <w:rPr>
          <w:bCs/>
          <w:sz w:val="24"/>
        </w:rPr>
      </w:pPr>
      <w:r>
        <w:rPr>
          <w:rFonts w:hint="eastAsia"/>
          <w:bCs/>
          <w:sz w:val="24"/>
        </w:rPr>
        <w:t>（1）当出现或需要决定下列事由之一的，应当召开基金份额持有人大会，法律法规、基金合同和中国证监会另有规定的除外：</w:t>
      </w:r>
    </w:p>
    <w:p w14:paraId="3C9A4999">
      <w:pPr>
        <w:adjustRightInd w:val="0"/>
        <w:snapToGrid w:val="0"/>
        <w:spacing w:line="360" w:lineRule="auto"/>
        <w:ind w:firstLine="480" w:firstLineChars="200"/>
        <w:rPr>
          <w:bCs/>
          <w:sz w:val="24"/>
        </w:rPr>
      </w:pPr>
      <w:r>
        <w:rPr>
          <w:rFonts w:hint="eastAsia"/>
          <w:bCs/>
          <w:sz w:val="24"/>
        </w:rPr>
        <w:t>1）终止《基金合同》；</w:t>
      </w:r>
    </w:p>
    <w:p w14:paraId="1C2BACB6">
      <w:pPr>
        <w:adjustRightInd w:val="0"/>
        <w:snapToGrid w:val="0"/>
        <w:spacing w:line="360" w:lineRule="auto"/>
        <w:ind w:firstLine="480" w:firstLineChars="200"/>
        <w:rPr>
          <w:bCs/>
          <w:sz w:val="24"/>
        </w:rPr>
      </w:pPr>
      <w:r>
        <w:rPr>
          <w:rFonts w:hint="eastAsia"/>
          <w:bCs/>
          <w:sz w:val="24"/>
        </w:rPr>
        <w:t>2）更换基金管理人；</w:t>
      </w:r>
    </w:p>
    <w:p w14:paraId="4A275C42">
      <w:pPr>
        <w:adjustRightInd w:val="0"/>
        <w:snapToGrid w:val="0"/>
        <w:spacing w:line="360" w:lineRule="auto"/>
        <w:ind w:firstLine="480" w:firstLineChars="200"/>
        <w:rPr>
          <w:bCs/>
          <w:sz w:val="24"/>
        </w:rPr>
      </w:pPr>
      <w:r>
        <w:rPr>
          <w:rFonts w:hint="eastAsia"/>
          <w:bCs/>
          <w:sz w:val="24"/>
        </w:rPr>
        <w:t>3）更换基金托管人；</w:t>
      </w:r>
    </w:p>
    <w:p w14:paraId="69200626">
      <w:pPr>
        <w:adjustRightInd w:val="0"/>
        <w:snapToGrid w:val="0"/>
        <w:spacing w:line="360" w:lineRule="auto"/>
        <w:ind w:firstLine="480" w:firstLineChars="200"/>
        <w:rPr>
          <w:bCs/>
          <w:sz w:val="24"/>
        </w:rPr>
      </w:pPr>
      <w:r>
        <w:rPr>
          <w:rFonts w:hint="eastAsia"/>
          <w:bCs/>
          <w:sz w:val="24"/>
        </w:rPr>
        <w:t>4）转换基金运作方式；</w:t>
      </w:r>
    </w:p>
    <w:p w14:paraId="105A8C2A">
      <w:pPr>
        <w:adjustRightInd w:val="0"/>
        <w:snapToGrid w:val="0"/>
        <w:spacing w:line="360" w:lineRule="auto"/>
        <w:ind w:firstLine="480" w:firstLineChars="200"/>
        <w:rPr>
          <w:bCs/>
          <w:sz w:val="24"/>
        </w:rPr>
      </w:pPr>
      <w:r>
        <w:rPr>
          <w:rFonts w:hint="eastAsia"/>
          <w:bCs/>
          <w:sz w:val="24"/>
        </w:rPr>
        <w:t>5）调整基金管理人、基金托管人的报酬标准和提高销售服务费率；</w:t>
      </w:r>
    </w:p>
    <w:p w14:paraId="12D8CD93">
      <w:pPr>
        <w:adjustRightInd w:val="0"/>
        <w:snapToGrid w:val="0"/>
        <w:spacing w:line="360" w:lineRule="auto"/>
        <w:ind w:firstLine="480" w:firstLineChars="200"/>
        <w:rPr>
          <w:bCs/>
          <w:sz w:val="24"/>
        </w:rPr>
      </w:pPr>
      <w:r>
        <w:rPr>
          <w:rFonts w:hint="eastAsia"/>
          <w:bCs/>
          <w:sz w:val="24"/>
        </w:rPr>
        <w:t>6）变更基金类别；</w:t>
      </w:r>
    </w:p>
    <w:p w14:paraId="13F56B93">
      <w:pPr>
        <w:adjustRightInd w:val="0"/>
        <w:snapToGrid w:val="0"/>
        <w:spacing w:line="360" w:lineRule="auto"/>
        <w:ind w:firstLine="480" w:firstLineChars="200"/>
        <w:rPr>
          <w:bCs/>
          <w:sz w:val="24"/>
        </w:rPr>
      </w:pPr>
      <w:r>
        <w:rPr>
          <w:rFonts w:hint="eastAsia"/>
          <w:bCs/>
          <w:sz w:val="24"/>
        </w:rPr>
        <w:t>7）本基金与其他基金的合并；</w:t>
      </w:r>
    </w:p>
    <w:p w14:paraId="136DAA40">
      <w:pPr>
        <w:adjustRightInd w:val="0"/>
        <w:snapToGrid w:val="0"/>
        <w:spacing w:line="360" w:lineRule="auto"/>
        <w:ind w:firstLine="480" w:firstLineChars="200"/>
        <w:rPr>
          <w:bCs/>
          <w:sz w:val="24"/>
        </w:rPr>
      </w:pPr>
      <w:r>
        <w:rPr>
          <w:rFonts w:hint="eastAsia"/>
          <w:bCs/>
          <w:sz w:val="24"/>
        </w:rPr>
        <w:t>8）变更基金投资目标、范围或策略；</w:t>
      </w:r>
    </w:p>
    <w:p w14:paraId="65398FD5">
      <w:pPr>
        <w:adjustRightInd w:val="0"/>
        <w:snapToGrid w:val="0"/>
        <w:spacing w:line="360" w:lineRule="auto"/>
        <w:ind w:firstLine="480" w:firstLineChars="200"/>
        <w:rPr>
          <w:bCs/>
          <w:sz w:val="24"/>
        </w:rPr>
      </w:pPr>
      <w:r>
        <w:rPr>
          <w:rFonts w:hint="eastAsia"/>
          <w:bCs/>
          <w:sz w:val="24"/>
        </w:rPr>
        <w:t>9）变更基金份额持有人大会程序；</w:t>
      </w:r>
    </w:p>
    <w:p w14:paraId="1C90E5BA">
      <w:pPr>
        <w:adjustRightInd w:val="0"/>
        <w:snapToGrid w:val="0"/>
        <w:spacing w:line="360" w:lineRule="auto"/>
        <w:ind w:firstLine="480" w:firstLineChars="200"/>
        <w:rPr>
          <w:bCs/>
          <w:sz w:val="24"/>
        </w:rPr>
      </w:pPr>
      <w:r>
        <w:rPr>
          <w:rFonts w:hint="eastAsia"/>
          <w:bCs/>
          <w:sz w:val="24"/>
        </w:rPr>
        <w:t>10）基金管理人或基金托管人要求召开基金份额持有人大会；</w:t>
      </w:r>
    </w:p>
    <w:p w14:paraId="557BCAFC">
      <w:pPr>
        <w:adjustRightInd w:val="0"/>
        <w:snapToGrid w:val="0"/>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14:paraId="2B2CD7F9">
      <w:pPr>
        <w:adjustRightInd w:val="0"/>
        <w:snapToGrid w:val="0"/>
        <w:spacing w:line="360" w:lineRule="auto"/>
        <w:ind w:firstLine="480" w:firstLineChars="200"/>
        <w:rPr>
          <w:bCs/>
          <w:sz w:val="24"/>
        </w:rPr>
      </w:pPr>
      <w:r>
        <w:rPr>
          <w:rFonts w:hint="eastAsia"/>
          <w:bCs/>
          <w:sz w:val="24"/>
        </w:rPr>
        <w:t>12）对基金合同当事人权利和义务产生重大影响的其他事项；</w:t>
      </w:r>
    </w:p>
    <w:p w14:paraId="59123A34">
      <w:pPr>
        <w:adjustRightInd w:val="0"/>
        <w:snapToGrid w:val="0"/>
        <w:spacing w:line="360" w:lineRule="auto"/>
        <w:ind w:firstLine="480" w:firstLineChars="200"/>
        <w:rPr>
          <w:bCs/>
          <w:sz w:val="24"/>
        </w:rPr>
      </w:pPr>
      <w:r>
        <w:rPr>
          <w:rFonts w:hint="eastAsia"/>
          <w:bCs/>
          <w:sz w:val="24"/>
        </w:rPr>
        <w:t>13）法律法规、《基金合同》或中国证监会规定的其他应当召开基金份额持有人大会的事项。</w:t>
      </w:r>
    </w:p>
    <w:p w14:paraId="17E38DDD">
      <w:pPr>
        <w:adjustRightInd w:val="0"/>
        <w:snapToGrid w:val="0"/>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14:paraId="0F533372">
      <w:pPr>
        <w:adjustRightInd w:val="0"/>
        <w:snapToGrid w:val="0"/>
        <w:spacing w:line="360" w:lineRule="auto"/>
        <w:ind w:firstLine="480" w:firstLineChars="200"/>
        <w:rPr>
          <w:bCs/>
          <w:sz w:val="24"/>
        </w:rPr>
      </w:pPr>
      <w:r>
        <w:rPr>
          <w:rFonts w:hint="eastAsia"/>
          <w:bCs/>
          <w:sz w:val="24"/>
        </w:rPr>
        <w:t>1）法律法规要求增加的基金费用的收取；</w:t>
      </w:r>
    </w:p>
    <w:p w14:paraId="71676A5F">
      <w:pPr>
        <w:adjustRightInd w:val="0"/>
        <w:snapToGrid w:val="0"/>
        <w:spacing w:line="360" w:lineRule="auto"/>
        <w:ind w:firstLine="480" w:firstLineChars="200"/>
        <w:rPr>
          <w:bCs/>
          <w:sz w:val="24"/>
        </w:rPr>
      </w:pPr>
      <w:r>
        <w:rPr>
          <w:rFonts w:hint="eastAsia"/>
          <w:bCs/>
          <w:sz w:val="24"/>
        </w:rPr>
        <w:t>2）在法律法规和《基金合同》规定的范围内调整本基金的申购费率、调低基金销售服务费率、在对现有基金份额持有人利益无实质性不利影响的前提下变更收费方式；</w:t>
      </w:r>
    </w:p>
    <w:p w14:paraId="714E55CF">
      <w:pPr>
        <w:adjustRightInd w:val="0"/>
        <w:snapToGrid w:val="0"/>
        <w:spacing w:line="360" w:lineRule="auto"/>
        <w:ind w:firstLine="480" w:firstLineChars="200"/>
        <w:rPr>
          <w:bCs/>
          <w:sz w:val="24"/>
        </w:rPr>
      </w:pPr>
      <w:r>
        <w:rPr>
          <w:rFonts w:hint="eastAsia"/>
          <w:bCs/>
          <w:sz w:val="24"/>
        </w:rPr>
        <w:t>3）因相应的法律法规、登记机构的相关业务规则发生变动而应当对《基金合同》进行修改；</w:t>
      </w:r>
    </w:p>
    <w:p w14:paraId="6B3AC036">
      <w:pPr>
        <w:adjustRightInd w:val="0"/>
        <w:snapToGrid w:val="0"/>
        <w:spacing w:line="360" w:lineRule="auto"/>
        <w:ind w:firstLine="480" w:firstLineChars="200"/>
        <w:rPr>
          <w:bCs/>
          <w:sz w:val="24"/>
        </w:rPr>
      </w:pPr>
      <w:r>
        <w:rPr>
          <w:rFonts w:hint="eastAsia"/>
          <w:bCs/>
          <w:sz w:val="24"/>
        </w:rPr>
        <w:t>4）对《基金合同》的修改对基金份额持有人利益无实质性不利影响或修改不涉及《基金合同》当事人权利义务关系发生重大变化；</w:t>
      </w:r>
    </w:p>
    <w:p w14:paraId="58F26EB4">
      <w:pPr>
        <w:adjustRightInd w:val="0"/>
        <w:snapToGrid w:val="0"/>
        <w:spacing w:line="360" w:lineRule="auto"/>
        <w:ind w:firstLine="480" w:firstLineChars="200"/>
        <w:rPr>
          <w:bCs/>
          <w:sz w:val="24"/>
        </w:rPr>
      </w:pPr>
      <w:r>
        <w:rPr>
          <w:rFonts w:hint="eastAsia"/>
          <w:bCs/>
          <w:sz w:val="24"/>
        </w:rPr>
        <w:t>5）在法律法规允许的情况下，且在对现有基金份额持有人利益无实质性不利影响的前提下，在履行适当程序后，基金推出新业务或服务；</w:t>
      </w:r>
    </w:p>
    <w:p w14:paraId="59A52AA7">
      <w:pPr>
        <w:adjustRightInd w:val="0"/>
        <w:snapToGrid w:val="0"/>
        <w:spacing w:line="360" w:lineRule="auto"/>
        <w:ind w:firstLine="480" w:firstLineChars="200"/>
        <w:rPr>
          <w:bCs/>
          <w:sz w:val="24"/>
        </w:rPr>
      </w:pPr>
      <w:r>
        <w:rPr>
          <w:rFonts w:hint="eastAsia"/>
          <w:bCs/>
          <w:sz w:val="24"/>
        </w:rPr>
        <w:t>6）在符合法律法规及本基金合同规定、并且对基金份额持有人利益无实质性不利影响的前提下，调整本基金份额类别的设置、对基金份额分类办法及规则进行调整；</w:t>
      </w:r>
    </w:p>
    <w:p w14:paraId="5478EC3B">
      <w:pPr>
        <w:adjustRightInd w:val="0"/>
        <w:snapToGrid w:val="0"/>
        <w:spacing w:line="360" w:lineRule="auto"/>
        <w:ind w:firstLine="480" w:firstLineChars="200"/>
        <w:rPr>
          <w:bCs/>
          <w:sz w:val="24"/>
        </w:rPr>
      </w:pPr>
      <w:r>
        <w:rPr>
          <w:rFonts w:hint="eastAsia"/>
          <w:bCs/>
          <w:sz w:val="24"/>
        </w:rPr>
        <w:t>7）在不违反法律法规及对基金份额持有人利益无实质性不利影响的前提下，基金管理人、登记机构、销售机构调整有关基金认购、申购、赎回、转换、收益分配、非交易过户、转托管等业务的规则；</w:t>
      </w:r>
    </w:p>
    <w:p w14:paraId="0773D52C">
      <w:pPr>
        <w:adjustRightInd w:val="0"/>
        <w:snapToGrid w:val="0"/>
        <w:spacing w:line="360" w:lineRule="auto"/>
        <w:ind w:firstLine="480" w:firstLineChars="200"/>
        <w:rPr>
          <w:bCs/>
          <w:sz w:val="24"/>
        </w:rPr>
      </w:pPr>
      <w:r>
        <w:rPr>
          <w:rFonts w:hint="eastAsia"/>
          <w:bCs/>
          <w:sz w:val="24"/>
        </w:rPr>
        <w:t>8）按照法律法规和《基金合同》规定不需召开基金份额持有人大会的其他情形。</w:t>
      </w:r>
    </w:p>
    <w:p w14:paraId="592A367B">
      <w:pPr>
        <w:adjustRightInd w:val="0"/>
        <w:snapToGrid w:val="0"/>
        <w:spacing w:line="360" w:lineRule="auto"/>
        <w:ind w:firstLine="480" w:firstLineChars="200"/>
        <w:rPr>
          <w:bCs/>
          <w:sz w:val="24"/>
        </w:rPr>
      </w:pPr>
      <w:r>
        <w:rPr>
          <w:rFonts w:hint="eastAsia"/>
          <w:bCs/>
          <w:sz w:val="24"/>
        </w:rPr>
        <w:t>2、会议召集人及召集方式</w:t>
      </w:r>
    </w:p>
    <w:p w14:paraId="76543063">
      <w:pPr>
        <w:adjustRightInd w:val="0"/>
        <w:snapToGrid w:val="0"/>
        <w:spacing w:line="360" w:lineRule="auto"/>
        <w:ind w:firstLine="480" w:firstLineChars="200"/>
        <w:rPr>
          <w:bCs/>
          <w:sz w:val="24"/>
        </w:rPr>
      </w:pPr>
      <w:r>
        <w:rPr>
          <w:rFonts w:hint="eastAsia"/>
          <w:bCs/>
          <w:sz w:val="24"/>
        </w:rPr>
        <w:t>（1）除法律法规规定或《基金合同》另有约定外，基金份额持有人大会由基金管理人召集；</w:t>
      </w:r>
    </w:p>
    <w:p w14:paraId="4B78BD26">
      <w:pPr>
        <w:adjustRightInd w:val="0"/>
        <w:snapToGrid w:val="0"/>
        <w:spacing w:line="360" w:lineRule="auto"/>
        <w:ind w:firstLine="480" w:firstLineChars="200"/>
        <w:rPr>
          <w:bCs/>
          <w:sz w:val="24"/>
        </w:rPr>
      </w:pPr>
      <w:r>
        <w:rPr>
          <w:rFonts w:hint="eastAsia"/>
          <w:bCs/>
          <w:sz w:val="24"/>
        </w:rPr>
        <w:t>（2）基金管理人未按规定召集或不能召集时，由基金托管人召集；</w:t>
      </w:r>
    </w:p>
    <w:p w14:paraId="078AD2CE">
      <w:pPr>
        <w:adjustRightInd w:val="0"/>
        <w:snapToGrid w:val="0"/>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97AF789">
      <w:pPr>
        <w:adjustRightInd w:val="0"/>
        <w:snapToGrid w:val="0"/>
        <w:spacing w:line="360" w:lineRule="auto"/>
        <w:ind w:firstLine="480" w:firstLineChars="20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CAAA739">
      <w:pPr>
        <w:adjustRightInd w:val="0"/>
        <w:snapToGrid w:val="0"/>
        <w:spacing w:line="360" w:lineRule="auto"/>
        <w:ind w:firstLine="480" w:firstLineChars="20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4C9F091">
      <w:pPr>
        <w:adjustRightInd w:val="0"/>
        <w:snapToGrid w:val="0"/>
        <w:spacing w:line="360" w:lineRule="auto"/>
        <w:ind w:firstLine="480" w:firstLineChars="200"/>
        <w:rPr>
          <w:bCs/>
          <w:sz w:val="24"/>
        </w:rPr>
      </w:pPr>
      <w:r>
        <w:rPr>
          <w:rFonts w:hint="eastAsia"/>
          <w:bCs/>
          <w:sz w:val="24"/>
        </w:rPr>
        <w:t>（6）基金份额持有人会议的召集人负责选择确定开会时间、地点、方式和权益登记日。</w:t>
      </w:r>
    </w:p>
    <w:p w14:paraId="6C652A3E">
      <w:pPr>
        <w:adjustRightInd w:val="0"/>
        <w:snapToGrid w:val="0"/>
        <w:spacing w:line="360" w:lineRule="auto"/>
        <w:ind w:firstLine="480" w:firstLineChars="200"/>
        <w:rPr>
          <w:bCs/>
          <w:sz w:val="24"/>
        </w:rPr>
      </w:pPr>
      <w:r>
        <w:rPr>
          <w:rFonts w:hint="eastAsia"/>
          <w:bCs/>
          <w:sz w:val="24"/>
        </w:rPr>
        <w:t>3、召开基金份额持有人大会的通知时间、通知内容、通知方式</w:t>
      </w:r>
    </w:p>
    <w:p w14:paraId="3C517850">
      <w:pPr>
        <w:adjustRightInd w:val="0"/>
        <w:snapToGrid w:val="0"/>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14:paraId="2F612D26">
      <w:pPr>
        <w:adjustRightInd w:val="0"/>
        <w:snapToGrid w:val="0"/>
        <w:spacing w:line="360" w:lineRule="auto"/>
        <w:ind w:firstLine="480" w:firstLineChars="200"/>
        <w:rPr>
          <w:bCs/>
          <w:sz w:val="24"/>
        </w:rPr>
      </w:pPr>
      <w:r>
        <w:rPr>
          <w:rFonts w:hint="eastAsia"/>
          <w:bCs/>
          <w:sz w:val="24"/>
        </w:rPr>
        <w:t>1）会议召开的时间、地点和会议形式；</w:t>
      </w:r>
    </w:p>
    <w:p w14:paraId="152CD938">
      <w:pPr>
        <w:adjustRightInd w:val="0"/>
        <w:snapToGrid w:val="0"/>
        <w:spacing w:line="360" w:lineRule="auto"/>
        <w:ind w:firstLine="480" w:firstLineChars="200"/>
        <w:rPr>
          <w:bCs/>
          <w:sz w:val="24"/>
        </w:rPr>
      </w:pPr>
      <w:r>
        <w:rPr>
          <w:rFonts w:hint="eastAsia"/>
          <w:bCs/>
          <w:sz w:val="24"/>
        </w:rPr>
        <w:t>2）会议拟审议的事项、议事程序和表决方式；</w:t>
      </w:r>
    </w:p>
    <w:p w14:paraId="2B6F9F2D">
      <w:pPr>
        <w:adjustRightInd w:val="0"/>
        <w:snapToGrid w:val="0"/>
        <w:spacing w:line="360" w:lineRule="auto"/>
        <w:ind w:firstLine="480" w:firstLineChars="200"/>
        <w:rPr>
          <w:bCs/>
          <w:sz w:val="24"/>
        </w:rPr>
      </w:pPr>
      <w:r>
        <w:rPr>
          <w:rFonts w:hint="eastAsia"/>
          <w:bCs/>
          <w:sz w:val="24"/>
        </w:rPr>
        <w:t>3）有权出席基金份额持有人大会的基金份额持有人的权益登记日；</w:t>
      </w:r>
    </w:p>
    <w:p w14:paraId="76AEC58D">
      <w:pPr>
        <w:adjustRightInd w:val="0"/>
        <w:snapToGrid w:val="0"/>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14:paraId="2E33FA54">
      <w:pPr>
        <w:adjustRightInd w:val="0"/>
        <w:snapToGrid w:val="0"/>
        <w:spacing w:line="360" w:lineRule="auto"/>
        <w:ind w:firstLine="480" w:firstLineChars="200"/>
        <w:rPr>
          <w:bCs/>
          <w:sz w:val="24"/>
        </w:rPr>
      </w:pPr>
      <w:r>
        <w:rPr>
          <w:rFonts w:hint="eastAsia"/>
          <w:bCs/>
          <w:sz w:val="24"/>
        </w:rPr>
        <w:t>5）会务常设联系人姓名及联系电话；</w:t>
      </w:r>
    </w:p>
    <w:p w14:paraId="7B467943">
      <w:pPr>
        <w:adjustRightInd w:val="0"/>
        <w:snapToGrid w:val="0"/>
        <w:spacing w:line="360" w:lineRule="auto"/>
        <w:ind w:firstLine="480" w:firstLineChars="200"/>
        <w:rPr>
          <w:bCs/>
          <w:sz w:val="24"/>
        </w:rPr>
      </w:pPr>
      <w:r>
        <w:rPr>
          <w:rFonts w:hint="eastAsia"/>
          <w:bCs/>
          <w:sz w:val="24"/>
        </w:rPr>
        <w:t>6）出席会议者必须准备的文件和必须履行的手续；</w:t>
      </w:r>
    </w:p>
    <w:p w14:paraId="5E53E4BC">
      <w:pPr>
        <w:adjustRightInd w:val="0"/>
        <w:snapToGrid w:val="0"/>
        <w:spacing w:line="360" w:lineRule="auto"/>
        <w:ind w:firstLine="480" w:firstLineChars="200"/>
        <w:rPr>
          <w:bCs/>
          <w:sz w:val="24"/>
        </w:rPr>
      </w:pPr>
      <w:r>
        <w:rPr>
          <w:rFonts w:hint="eastAsia"/>
          <w:bCs/>
          <w:sz w:val="24"/>
        </w:rPr>
        <w:t>7）召集人需要通知的其他事项。</w:t>
      </w:r>
    </w:p>
    <w:p w14:paraId="2A4774D5">
      <w:pPr>
        <w:adjustRightInd w:val="0"/>
        <w:snapToGrid w:val="0"/>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8E8F4DB">
      <w:pPr>
        <w:adjustRightInd w:val="0"/>
        <w:snapToGrid w:val="0"/>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03D9A1C">
      <w:pPr>
        <w:adjustRightInd w:val="0"/>
        <w:snapToGrid w:val="0"/>
        <w:spacing w:line="360" w:lineRule="auto"/>
        <w:ind w:firstLine="480" w:firstLineChars="200"/>
        <w:rPr>
          <w:bCs/>
          <w:sz w:val="24"/>
        </w:rPr>
      </w:pPr>
      <w:r>
        <w:rPr>
          <w:rFonts w:hint="eastAsia"/>
          <w:bCs/>
          <w:sz w:val="24"/>
        </w:rPr>
        <w:t>4、基金份额持有人出席会议的方式</w:t>
      </w:r>
    </w:p>
    <w:p w14:paraId="42FDA6FB">
      <w:pPr>
        <w:adjustRightInd w:val="0"/>
        <w:snapToGrid w:val="0"/>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基金份额持有人大会可通过现场开会方式、通讯开会方式或法律法规、监管机构允许的其他方式召开，会议的召开方式由会议召集人确定。</w:t>
      </w:r>
    </w:p>
    <w:p w14:paraId="503619AF">
      <w:pPr>
        <w:adjustRightInd w:val="0"/>
        <w:snapToGrid w:val="0"/>
        <w:spacing w:line="360" w:lineRule="auto"/>
        <w:ind w:firstLine="480" w:firstLineChars="20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D15C42C">
      <w:pPr>
        <w:adjustRightInd w:val="0"/>
        <w:snapToGrid w:val="0"/>
        <w:spacing w:line="360" w:lineRule="auto"/>
        <w:ind w:firstLine="480" w:firstLineChars="20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236699D">
      <w:pPr>
        <w:adjustRightInd w:val="0"/>
        <w:snapToGrid w:val="0"/>
        <w:spacing w:line="360" w:lineRule="auto"/>
        <w:ind w:firstLine="480" w:firstLineChars="20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DBE7DA6">
      <w:pPr>
        <w:adjustRightInd w:val="0"/>
        <w:snapToGrid w:val="0"/>
        <w:spacing w:line="360" w:lineRule="auto"/>
        <w:ind w:firstLine="480" w:firstLineChars="200"/>
        <w:rPr>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14:paraId="4285A815">
      <w:pPr>
        <w:adjustRightInd w:val="0"/>
        <w:snapToGrid w:val="0"/>
        <w:spacing w:line="360" w:lineRule="auto"/>
        <w:ind w:firstLine="480" w:firstLineChars="200"/>
        <w:rPr>
          <w:bCs/>
          <w:sz w:val="24"/>
        </w:rPr>
      </w:pPr>
      <w:r>
        <w:rPr>
          <w:rFonts w:hint="eastAsia"/>
          <w:bCs/>
          <w:sz w:val="24"/>
        </w:rPr>
        <w:t>在同时符合以下条件时，通讯开会的方式视为有效：</w:t>
      </w:r>
    </w:p>
    <w:p w14:paraId="44D11959">
      <w:pPr>
        <w:adjustRightInd w:val="0"/>
        <w:snapToGrid w:val="0"/>
        <w:spacing w:line="360" w:lineRule="auto"/>
        <w:ind w:firstLine="480" w:firstLineChars="200"/>
        <w:rPr>
          <w:bCs/>
          <w:sz w:val="24"/>
        </w:rPr>
      </w:pPr>
      <w:r>
        <w:rPr>
          <w:rFonts w:hint="eastAsia"/>
          <w:bCs/>
          <w:sz w:val="24"/>
        </w:rPr>
        <w:t>1）会议召集人按《基金合同》约定公布会议通知后，在2个工作日内连续公布相关提示性公告；</w:t>
      </w:r>
    </w:p>
    <w:p w14:paraId="5503B70A">
      <w:pPr>
        <w:adjustRightInd w:val="0"/>
        <w:snapToGrid w:val="0"/>
        <w:spacing w:line="360" w:lineRule="auto"/>
        <w:ind w:firstLine="480" w:firstLineChars="20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A5A1DA9">
      <w:pPr>
        <w:adjustRightInd w:val="0"/>
        <w:snapToGrid w:val="0"/>
        <w:spacing w:line="360" w:lineRule="auto"/>
        <w:ind w:firstLine="480" w:firstLineChars="20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01251031">
      <w:pPr>
        <w:adjustRightInd w:val="0"/>
        <w:snapToGrid w:val="0"/>
        <w:spacing w:line="360" w:lineRule="auto"/>
        <w:ind w:firstLine="480" w:firstLineChars="20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553E0E2">
      <w:pPr>
        <w:adjustRightInd w:val="0"/>
        <w:snapToGrid w:val="0"/>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17DEDC9D">
      <w:pPr>
        <w:adjustRightInd w:val="0"/>
        <w:snapToGrid w:val="0"/>
        <w:spacing w:line="360" w:lineRule="auto"/>
        <w:ind w:firstLine="480" w:firstLineChars="200"/>
        <w:rPr>
          <w:bCs/>
          <w:sz w:val="24"/>
        </w:rPr>
      </w:pPr>
      <w:r>
        <w:rPr>
          <w:rFonts w:hint="eastAsia"/>
          <w:bCs/>
          <w:sz w:val="24"/>
        </w:rPr>
        <w:t>5、议事内容与程序</w:t>
      </w:r>
    </w:p>
    <w:p w14:paraId="71DE4C1F">
      <w:pPr>
        <w:adjustRightInd w:val="0"/>
        <w:snapToGrid w:val="0"/>
        <w:spacing w:line="360" w:lineRule="auto"/>
        <w:ind w:firstLine="480" w:firstLineChars="200"/>
        <w:rPr>
          <w:bCs/>
          <w:sz w:val="24"/>
        </w:rPr>
      </w:pPr>
      <w:r>
        <w:rPr>
          <w:rFonts w:hint="eastAsia"/>
          <w:bCs/>
          <w:sz w:val="24"/>
        </w:rPr>
        <w:t>（1）议事内容及提案权</w:t>
      </w:r>
    </w:p>
    <w:p w14:paraId="7815800B">
      <w:pPr>
        <w:adjustRightInd w:val="0"/>
        <w:snapToGrid w:val="0"/>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658B7F20">
      <w:pPr>
        <w:adjustRightInd w:val="0"/>
        <w:snapToGrid w:val="0"/>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14:paraId="15E8B53E">
      <w:pPr>
        <w:adjustRightInd w:val="0"/>
        <w:snapToGrid w:val="0"/>
        <w:spacing w:line="360" w:lineRule="auto"/>
        <w:ind w:firstLine="480" w:firstLineChars="200"/>
        <w:rPr>
          <w:bCs/>
          <w:sz w:val="24"/>
        </w:rPr>
      </w:pPr>
      <w:r>
        <w:rPr>
          <w:rFonts w:hint="eastAsia"/>
          <w:bCs/>
          <w:sz w:val="24"/>
        </w:rPr>
        <w:t>基金份额持有人大会不得对未事先公告的议事内容进行表决。</w:t>
      </w:r>
    </w:p>
    <w:p w14:paraId="136BB187">
      <w:pPr>
        <w:adjustRightInd w:val="0"/>
        <w:snapToGrid w:val="0"/>
        <w:spacing w:line="360" w:lineRule="auto"/>
        <w:ind w:firstLine="480" w:firstLineChars="200"/>
        <w:rPr>
          <w:bCs/>
          <w:sz w:val="24"/>
        </w:rPr>
      </w:pPr>
      <w:r>
        <w:rPr>
          <w:rFonts w:hint="eastAsia"/>
          <w:bCs/>
          <w:sz w:val="24"/>
        </w:rPr>
        <w:t>（2）议事程序</w:t>
      </w:r>
    </w:p>
    <w:p w14:paraId="09BF1E2A">
      <w:pPr>
        <w:adjustRightInd w:val="0"/>
        <w:snapToGrid w:val="0"/>
        <w:spacing w:line="360" w:lineRule="auto"/>
        <w:ind w:firstLine="480" w:firstLineChars="200"/>
        <w:rPr>
          <w:bCs/>
          <w:sz w:val="24"/>
        </w:rPr>
      </w:pPr>
      <w:r>
        <w:rPr>
          <w:rFonts w:hint="eastAsia"/>
          <w:bCs/>
          <w:sz w:val="24"/>
        </w:rPr>
        <w:t>1）现场开会</w:t>
      </w:r>
    </w:p>
    <w:p w14:paraId="3A5E161E">
      <w:pPr>
        <w:adjustRightInd w:val="0"/>
        <w:snapToGrid w:val="0"/>
        <w:spacing w:line="360" w:lineRule="auto"/>
        <w:ind w:firstLine="480" w:firstLineChars="200"/>
        <w:rPr>
          <w:bCs/>
          <w:sz w:val="24"/>
        </w:rPr>
      </w:pPr>
      <w:r>
        <w:rPr>
          <w:rFonts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14:paraId="269A8189">
      <w:pPr>
        <w:adjustRightInd w:val="0"/>
        <w:snapToGrid w:val="0"/>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0F199AF9">
      <w:pPr>
        <w:adjustRightInd w:val="0"/>
        <w:snapToGrid w:val="0"/>
        <w:spacing w:line="360" w:lineRule="auto"/>
        <w:ind w:firstLine="480" w:firstLineChars="200"/>
        <w:rPr>
          <w:bCs/>
          <w:sz w:val="24"/>
        </w:rPr>
      </w:pPr>
      <w:r>
        <w:rPr>
          <w:rFonts w:hint="eastAsia"/>
          <w:bCs/>
          <w:sz w:val="24"/>
        </w:rPr>
        <w:t>2）通讯开会</w:t>
      </w:r>
    </w:p>
    <w:p w14:paraId="1BFA6BF4">
      <w:pPr>
        <w:adjustRightInd w:val="0"/>
        <w:snapToGrid w:val="0"/>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14:paraId="72C0B136">
      <w:pPr>
        <w:adjustRightInd w:val="0"/>
        <w:snapToGrid w:val="0"/>
        <w:spacing w:line="360" w:lineRule="auto"/>
        <w:ind w:firstLine="480" w:firstLineChars="200"/>
        <w:rPr>
          <w:bCs/>
          <w:sz w:val="24"/>
        </w:rPr>
      </w:pPr>
      <w:r>
        <w:rPr>
          <w:rFonts w:hint="eastAsia"/>
          <w:bCs/>
          <w:sz w:val="24"/>
        </w:rPr>
        <w:t>6、表决</w:t>
      </w:r>
    </w:p>
    <w:p w14:paraId="7F296F19">
      <w:pPr>
        <w:adjustRightInd w:val="0"/>
        <w:snapToGrid w:val="0"/>
        <w:spacing w:line="360" w:lineRule="auto"/>
        <w:ind w:firstLine="480" w:firstLineChars="200"/>
        <w:rPr>
          <w:bCs/>
          <w:sz w:val="24"/>
        </w:rPr>
      </w:pPr>
      <w:r>
        <w:rPr>
          <w:rFonts w:hint="eastAsia"/>
          <w:bCs/>
          <w:sz w:val="24"/>
        </w:rPr>
        <w:t>基金份额持有人所持每份基金份额有一票表决权。</w:t>
      </w:r>
    </w:p>
    <w:p w14:paraId="1356368A">
      <w:pPr>
        <w:adjustRightInd w:val="0"/>
        <w:snapToGrid w:val="0"/>
        <w:spacing w:line="360" w:lineRule="auto"/>
        <w:ind w:firstLine="480" w:firstLineChars="200"/>
        <w:rPr>
          <w:bCs/>
          <w:sz w:val="24"/>
        </w:rPr>
      </w:pPr>
      <w:r>
        <w:rPr>
          <w:rFonts w:hint="eastAsia"/>
          <w:bCs/>
          <w:sz w:val="24"/>
        </w:rPr>
        <w:t>基金份额持有人大会决议分为一般决议和特别决议：</w:t>
      </w:r>
    </w:p>
    <w:p w14:paraId="6CC49F91">
      <w:pPr>
        <w:adjustRightInd w:val="0"/>
        <w:snapToGrid w:val="0"/>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6D30E36">
      <w:pPr>
        <w:adjustRightInd w:val="0"/>
        <w:snapToGrid w:val="0"/>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法律法规、《基金合同》和中国证监会另有规定的除外）以特别决议通过方为有效。</w:t>
      </w:r>
    </w:p>
    <w:p w14:paraId="7E2B5426">
      <w:pPr>
        <w:adjustRightInd w:val="0"/>
        <w:snapToGrid w:val="0"/>
        <w:spacing w:line="360" w:lineRule="auto"/>
        <w:ind w:firstLine="480" w:firstLineChars="200"/>
        <w:rPr>
          <w:bCs/>
          <w:sz w:val="24"/>
        </w:rPr>
      </w:pPr>
      <w:r>
        <w:rPr>
          <w:rFonts w:hint="eastAsia"/>
          <w:bCs/>
          <w:sz w:val="24"/>
        </w:rPr>
        <w:t>基金份额持有人大会采取记名方式进行投票表决。</w:t>
      </w:r>
    </w:p>
    <w:p w14:paraId="15AE8424">
      <w:pPr>
        <w:adjustRightInd w:val="0"/>
        <w:snapToGrid w:val="0"/>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04C5918">
      <w:pPr>
        <w:adjustRightInd w:val="0"/>
        <w:snapToGrid w:val="0"/>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14:paraId="3C048BAB">
      <w:pPr>
        <w:adjustRightInd w:val="0"/>
        <w:snapToGrid w:val="0"/>
        <w:spacing w:line="360" w:lineRule="auto"/>
        <w:ind w:firstLine="480" w:firstLineChars="200"/>
        <w:rPr>
          <w:bCs/>
          <w:sz w:val="24"/>
        </w:rPr>
      </w:pPr>
      <w:r>
        <w:rPr>
          <w:rFonts w:hint="eastAsia"/>
          <w:bCs/>
          <w:sz w:val="24"/>
        </w:rPr>
        <w:t>7、计票</w:t>
      </w:r>
    </w:p>
    <w:p w14:paraId="7AA4570E">
      <w:pPr>
        <w:adjustRightInd w:val="0"/>
        <w:snapToGrid w:val="0"/>
        <w:spacing w:line="360" w:lineRule="auto"/>
        <w:ind w:firstLine="480" w:firstLineChars="200"/>
        <w:rPr>
          <w:bCs/>
          <w:sz w:val="24"/>
        </w:rPr>
      </w:pPr>
      <w:r>
        <w:rPr>
          <w:rFonts w:hint="eastAsia"/>
          <w:bCs/>
          <w:sz w:val="24"/>
        </w:rPr>
        <w:t>（1）现场开会</w:t>
      </w:r>
    </w:p>
    <w:p w14:paraId="49527D10">
      <w:pPr>
        <w:adjustRightInd w:val="0"/>
        <w:snapToGrid w:val="0"/>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FC061E2">
      <w:pPr>
        <w:adjustRightInd w:val="0"/>
        <w:snapToGrid w:val="0"/>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14:paraId="75D59D63">
      <w:pPr>
        <w:adjustRightInd w:val="0"/>
        <w:snapToGrid w:val="0"/>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AA1277D">
      <w:pPr>
        <w:adjustRightInd w:val="0"/>
        <w:snapToGrid w:val="0"/>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14:paraId="1721AA8E">
      <w:pPr>
        <w:adjustRightInd w:val="0"/>
        <w:snapToGrid w:val="0"/>
        <w:spacing w:line="360" w:lineRule="auto"/>
        <w:ind w:firstLine="480" w:firstLineChars="200"/>
        <w:rPr>
          <w:bCs/>
          <w:sz w:val="24"/>
        </w:rPr>
      </w:pPr>
      <w:r>
        <w:rPr>
          <w:rFonts w:hint="eastAsia"/>
          <w:bCs/>
          <w:sz w:val="24"/>
        </w:rPr>
        <w:t>（2）通讯开会</w:t>
      </w:r>
    </w:p>
    <w:p w14:paraId="2CF4A6F8">
      <w:pPr>
        <w:adjustRightInd w:val="0"/>
        <w:snapToGrid w:val="0"/>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88FB1F4">
      <w:pPr>
        <w:adjustRightInd w:val="0"/>
        <w:snapToGrid w:val="0"/>
        <w:spacing w:line="360" w:lineRule="auto"/>
        <w:ind w:firstLine="480" w:firstLineChars="200"/>
        <w:rPr>
          <w:bCs/>
          <w:sz w:val="24"/>
        </w:rPr>
      </w:pPr>
      <w:r>
        <w:rPr>
          <w:rFonts w:hint="eastAsia"/>
          <w:bCs/>
          <w:sz w:val="24"/>
        </w:rPr>
        <w:t>8、生效与公告</w:t>
      </w:r>
    </w:p>
    <w:p w14:paraId="2CC335FD">
      <w:pPr>
        <w:adjustRightInd w:val="0"/>
        <w:snapToGrid w:val="0"/>
        <w:spacing w:line="360" w:lineRule="auto"/>
        <w:ind w:firstLine="480" w:firstLineChars="200"/>
        <w:rPr>
          <w:bCs/>
          <w:sz w:val="24"/>
        </w:rPr>
      </w:pPr>
      <w:r>
        <w:rPr>
          <w:rFonts w:hint="eastAsia"/>
          <w:bCs/>
          <w:sz w:val="24"/>
        </w:rPr>
        <w:t>基金份额持有人大会的决议，召集人应当自通过之日起5日内报中国证监会备案。</w:t>
      </w:r>
    </w:p>
    <w:p w14:paraId="3FCE30E8">
      <w:pPr>
        <w:adjustRightInd w:val="0"/>
        <w:snapToGrid w:val="0"/>
        <w:spacing w:line="360" w:lineRule="auto"/>
        <w:ind w:firstLine="480" w:firstLineChars="200"/>
        <w:rPr>
          <w:bCs/>
          <w:sz w:val="24"/>
        </w:rPr>
      </w:pPr>
      <w:r>
        <w:rPr>
          <w:rFonts w:hint="eastAsia"/>
          <w:bCs/>
          <w:sz w:val="24"/>
        </w:rPr>
        <w:t>基金份额持有人大会的决议自表决通过之日起生效。法律法规另有规定的，从其规定。</w:t>
      </w:r>
    </w:p>
    <w:p w14:paraId="18EAB784">
      <w:pPr>
        <w:adjustRightInd w:val="0"/>
        <w:snapToGrid w:val="0"/>
        <w:spacing w:line="360" w:lineRule="auto"/>
        <w:ind w:firstLine="480" w:firstLineChars="20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3B16DB52">
      <w:pPr>
        <w:adjustRightInd w:val="0"/>
        <w:snapToGrid w:val="0"/>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D7E5349">
      <w:pPr>
        <w:adjustRightInd w:val="0"/>
        <w:snapToGrid w:val="0"/>
        <w:spacing w:line="360" w:lineRule="auto"/>
        <w:ind w:firstLine="480" w:firstLineChars="200"/>
        <w:rPr>
          <w:bCs/>
          <w:sz w:val="24"/>
        </w:rPr>
      </w:pPr>
      <w:r>
        <w:rPr>
          <w:rFonts w:hint="eastAsia"/>
          <w:bCs/>
          <w:sz w:val="24"/>
        </w:rPr>
        <w:t>9、本基金持有的基金召开基金份额持有人大会时，本基金的基金管理人应当代表其基金份额持有人的利益，根据本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14:paraId="1A584E02">
      <w:pPr>
        <w:adjustRightInd w:val="0"/>
        <w:snapToGrid w:val="0"/>
        <w:spacing w:line="360" w:lineRule="auto"/>
        <w:ind w:firstLine="480" w:firstLineChars="200"/>
        <w:rPr>
          <w:bCs/>
          <w:sz w:val="24"/>
        </w:rPr>
      </w:pPr>
      <w:r>
        <w:rPr>
          <w:rFonts w:hint="eastAsia"/>
          <w:bCs/>
          <w:sz w:val="24"/>
        </w:rPr>
        <w:t>法律法规对于本基金参与本基金持有的基金召开基金份额持有人大会的程序或要求另有规定的，从其规定。</w:t>
      </w:r>
    </w:p>
    <w:p w14:paraId="5769B3CF">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、实施侧袋机制期间基金份额持有人大会的特殊约定</w:t>
      </w:r>
    </w:p>
    <w:p w14:paraId="6EDC95FA">
      <w:pPr>
        <w:adjustRightInd w:val="0"/>
        <w:snapToGrid w:val="0"/>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61DCE07">
      <w:pPr>
        <w:adjustRightInd w:val="0"/>
        <w:snapToGrid w:val="0"/>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14:paraId="0FCDDC06">
      <w:pPr>
        <w:adjustRightInd w:val="0"/>
        <w:snapToGrid w:val="0"/>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14:paraId="509C281C">
      <w:pPr>
        <w:adjustRightInd w:val="0"/>
        <w:snapToGrid w:val="0"/>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132105F0">
      <w:pPr>
        <w:adjustRightInd w:val="0"/>
        <w:snapToGrid w:val="0"/>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A991EDB">
      <w:pPr>
        <w:adjustRightInd w:val="0"/>
        <w:snapToGrid w:val="0"/>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14:paraId="4D4D147E">
      <w:pPr>
        <w:adjustRightInd w:val="0"/>
        <w:snapToGrid w:val="0"/>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14:paraId="211A5922">
      <w:pPr>
        <w:adjustRightInd w:val="0"/>
        <w:snapToGrid w:val="0"/>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14:paraId="420C458C">
      <w:pPr>
        <w:adjustRightInd w:val="0"/>
        <w:snapToGrid w:val="0"/>
        <w:spacing w:line="360" w:lineRule="auto"/>
        <w:ind w:firstLine="480" w:firstLineChars="200"/>
        <w:rPr>
          <w:bCs/>
          <w:sz w:val="24"/>
        </w:rPr>
      </w:pPr>
      <w:r>
        <w:rPr>
          <w:rFonts w:hint="eastAsia"/>
          <w:bCs/>
          <w:sz w:val="24"/>
        </w:rPr>
        <w:t>同一主侧袋账户内的每份基金份额具有平等的表决权。</w:t>
      </w:r>
    </w:p>
    <w:p w14:paraId="7CEC45E5">
      <w:pPr>
        <w:adjustRightInd w:val="0"/>
        <w:snapToGrid w:val="0"/>
        <w:spacing w:line="360" w:lineRule="auto"/>
        <w:ind w:firstLine="480" w:firstLineChars="200"/>
        <w:rPr>
          <w:bCs/>
          <w:sz w:val="24"/>
        </w:rPr>
      </w:pPr>
      <w:r>
        <w:rPr>
          <w:bCs/>
          <w:sz w:val="24"/>
        </w:rPr>
        <w:t>11</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193C3391">
      <w:pPr>
        <w:adjustRightInd w:val="0"/>
        <w:snapToGrid w:val="0"/>
        <w:spacing w:line="360" w:lineRule="auto"/>
        <w:ind w:firstLine="482"/>
        <w:rPr>
          <w:b/>
          <w:bCs/>
          <w:sz w:val="24"/>
        </w:rPr>
      </w:pPr>
      <w:r>
        <w:rPr>
          <w:rFonts w:hint="eastAsia"/>
          <w:b/>
          <w:bCs/>
          <w:sz w:val="24"/>
        </w:rPr>
        <w:t>（三）基金合同的变更、终止与基金财产的清算</w:t>
      </w:r>
    </w:p>
    <w:p w14:paraId="6DB5A237">
      <w:pPr>
        <w:adjustRightInd w:val="0"/>
        <w:snapToGrid w:val="0"/>
        <w:spacing w:line="360" w:lineRule="auto"/>
        <w:ind w:firstLine="480" w:firstLineChars="200"/>
        <w:rPr>
          <w:bCs/>
          <w:sz w:val="24"/>
        </w:rPr>
      </w:pPr>
      <w:r>
        <w:rPr>
          <w:bCs/>
          <w:sz w:val="24"/>
        </w:rPr>
        <w:t>1、《基金合同》的变更</w:t>
      </w:r>
    </w:p>
    <w:p w14:paraId="72314E4C">
      <w:pPr>
        <w:adjustRightInd w:val="0"/>
        <w:snapToGrid w:val="0"/>
        <w:spacing w:line="360" w:lineRule="auto"/>
        <w:ind w:firstLine="480" w:firstLineChars="200"/>
        <w:rPr>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2BCE1302">
      <w:pPr>
        <w:adjustRightInd w:val="0"/>
        <w:snapToGrid w:val="0"/>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14:paraId="7F168C1B">
      <w:pPr>
        <w:adjustRightInd w:val="0"/>
        <w:snapToGrid w:val="0"/>
        <w:spacing w:line="360" w:lineRule="auto"/>
        <w:ind w:firstLine="480" w:firstLineChars="200"/>
        <w:rPr>
          <w:bCs/>
          <w:sz w:val="24"/>
        </w:rPr>
      </w:pPr>
      <w:r>
        <w:rPr>
          <w:bCs/>
          <w:sz w:val="24"/>
        </w:rPr>
        <w:t>2、《基金合同》的终止事由</w:t>
      </w:r>
    </w:p>
    <w:p w14:paraId="622E5C6C">
      <w:pPr>
        <w:adjustRightInd w:val="0"/>
        <w:snapToGrid w:val="0"/>
        <w:spacing w:line="360" w:lineRule="auto"/>
        <w:ind w:firstLine="480" w:firstLineChars="200"/>
        <w:rPr>
          <w:bCs/>
          <w:sz w:val="24"/>
        </w:rPr>
      </w:pPr>
      <w:r>
        <w:rPr>
          <w:rFonts w:hint="eastAsia"/>
          <w:bCs/>
          <w:sz w:val="24"/>
        </w:rPr>
        <w:t>有下列情形之一的，经履行相关程序后，《基金合同》应当终止：</w:t>
      </w:r>
    </w:p>
    <w:p w14:paraId="28CA1410">
      <w:pPr>
        <w:adjustRightInd w:val="0"/>
        <w:snapToGrid w:val="0"/>
        <w:spacing w:line="360" w:lineRule="auto"/>
        <w:ind w:firstLine="480" w:firstLineChars="200"/>
        <w:rPr>
          <w:bCs/>
          <w:sz w:val="24"/>
        </w:rPr>
      </w:pPr>
      <w:r>
        <w:rPr>
          <w:rFonts w:hint="eastAsia"/>
          <w:bCs/>
          <w:sz w:val="24"/>
        </w:rPr>
        <w:t>（1）基金份额持有人大会决定终止的；</w:t>
      </w:r>
    </w:p>
    <w:p w14:paraId="016A121E">
      <w:pPr>
        <w:adjustRightInd w:val="0"/>
        <w:snapToGrid w:val="0"/>
        <w:spacing w:line="360" w:lineRule="auto"/>
        <w:ind w:firstLine="480" w:firstLineChars="200"/>
        <w:rPr>
          <w:bCs/>
          <w:sz w:val="24"/>
        </w:rPr>
      </w:pPr>
      <w:r>
        <w:rPr>
          <w:rFonts w:hint="eastAsia"/>
          <w:bCs/>
          <w:sz w:val="24"/>
        </w:rPr>
        <w:t>（2）基金管理人、基金托管人职责终止，在6个月内没有新基金管理人、新基金托管人承接的；</w:t>
      </w:r>
    </w:p>
    <w:p w14:paraId="3CE7EC4B">
      <w:pPr>
        <w:adjustRightInd w:val="0"/>
        <w:snapToGrid w:val="0"/>
        <w:spacing w:line="360" w:lineRule="auto"/>
        <w:ind w:firstLine="480" w:firstLineChars="200"/>
        <w:rPr>
          <w:bCs/>
          <w:sz w:val="24"/>
        </w:rPr>
      </w:pPr>
      <w:r>
        <w:rPr>
          <w:rFonts w:hint="eastAsia"/>
          <w:bCs/>
          <w:sz w:val="24"/>
        </w:rPr>
        <w:t>（3）《基金合同》约定的其他情形；</w:t>
      </w:r>
    </w:p>
    <w:p w14:paraId="7ECE1612">
      <w:pPr>
        <w:adjustRightInd w:val="0"/>
        <w:snapToGrid w:val="0"/>
        <w:spacing w:line="360" w:lineRule="auto"/>
        <w:ind w:firstLine="480" w:firstLineChars="200"/>
        <w:rPr>
          <w:bCs/>
          <w:sz w:val="24"/>
        </w:rPr>
      </w:pPr>
      <w:r>
        <w:rPr>
          <w:rFonts w:hint="eastAsia"/>
          <w:bCs/>
          <w:sz w:val="24"/>
        </w:rPr>
        <w:t>（</w:t>
      </w:r>
      <w:r>
        <w:rPr>
          <w:bCs/>
          <w:sz w:val="24"/>
        </w:rPr>
        <w:t>4</w:t>
      </w:r>
      <w:r>
        <w:rPr>
          <w:rFonts w:hint="eastAsia"/>
          <w:bCs/>
          <w:sz w:val="24"/>
        </w:rPr>
        <w:t>）相关法律法规和中国证监会规定的其他情况。</w:t>
      </w:r>
    </w:p>
    <w:p w14:paraId="3B55D27B">
      <w:pPr>
        <w:adjustRightInd w:val="0"/>
        <w:snapToGrid w:val="0"/>
        <w:spacing w:line="360" w:lineRule="auto"/>
        <w:ind w:firstLine="480" w:firstLineChars="200"/>
        <w:rPr>
          <w:bCs/>
          <w:sz w:val="24"/>
        </w:rPr>
      </w:pPr>
      <w:r>
        <w:rPr>
          <w:rFonts w:hint="eastAsia"/>
          <w:bCs/>
          <w:sz w:val="24"/>
        </w:rPr>
        <w:t>3</w:t>
      </w:r>
      <w:r>
        <w:rPr>
          <w:bCs/>
          <w:sz w:val="24"/>
        </w:rPr>
        <w:t>、基金财产的清算</w:t>
      </w:r>
    </w:p>
    <w:p w14:paraId="64812B6F">
      <w:pPr>
        <w:adjustRightInd w:val="0"/>
        <w:snapToGrid w:val="0"/>
        <w:spacing w:line="360" w:lineRule="auto"/>
        <w:ind w:firstLine="480" w:firstLineChars="200"/>
        <w:rPr>
          <w:bCs/>
          <w:sz w:val="24"/>
        </w:rPr>
      </w:pPr>
      <w:r>
        <w:rPr>
          <w:rFonts w:hint="eastAsia"/>
          <w:bCs/>
          <w:sz w:val="24"/>
        </w:rPr>
        <w:t>（1）基金财产清算小组：自出现《基金合同》终止事由之日起30个工作日内成立基金财产清算小组，基金管理人组织基金财产清算小组并在中国证监会的监督下进行基金清算。</w:t>
      </w:r>
    </w:p>
    <w:p w14:paraId="69DF00B4">
      <w:pPr>
        <w:adjustRightInd w:val="0"/>
        <w:snapToGrid w:val="0"/>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BCF40D6">
      <w:pPr>
        <w:adjustRightInd w:val="0"/>
        <w:snapToGrid w:val="0"/>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14:paraId="04DB3ED1">
      <w:pPr>
        <w:adjustRightInd w:val="0"/>
        <w:snapToGrid w:val="0"/>
        <w:spacing w:line="360" w:lineRule="auto"/>
        <w:ind w:firstLine="480" w:firstLineChars="200"/>
        <w:rPr>
          <w:bCs/>
          <w:sz w:val="24"/>
        </w:rPr>
      </w:pPr>
      <w:r>
        <w:rPr>
          <w:rFonts w:hint="eastAsia"/>
          <w:bCs/>
          <w:sz w:val="24"/>
        </w:rPr>
        <w:t>（4）基金财产清算程序：</w:t>
      </w:r>
    </w:p>
    <w:p w14:paraId="5C0309DD">
      <w:pPr>
        <w:adjustRightInd w:val="0"/>
        <w:snapToGrid w:val="0"/>
        <w:spacing w:line="360" w:lineRule="auto"/>
        <w:ind w:firstLine="480" w:firstLineChars="200"/>
        <w:rPr>
          <w:bCs/>
          <w:sz w:val="24"/>
        </w:rPr>
      </w:pPr>
      <w:r>
        <w:rPr>
          <w:rFonts w:hint="eastAsia"/>
          <w:bCs/>
          <w:sz w:val="24"/>
        </w:rPr>
        <w:t>1）《基金合同》终止情形出现时，由基金财产清算小组统一接管基金财产；</w:t>
      </w:r>
    </w:p>
    <w:p w14:paraId="0C6CC6FE">
      <w:pPr>
        <w:adjustRightInd w:val="0"/>
        <w:snapToGrid w:val="0"/>
        <w:spacing w:line="360" w:lineRule="auto"/>
        <w:ind w:firstLine="480" w:firstLineChars="200"/>
        <w:rPr>
          <w:bCs/>
          <w:sz w:val="24"/>
        </w:rPr>
      </w:pPr>
      <w:r>
        <w:rPr>
          <w:rFonts w:hint="eastAsia"/>
          <w:bCs/>
          <w:sz w:val="24"/>
        </w:rPr>
        <w:t>2）对基金财产和债权债务进行清理和确认；</w:t>
      </w:r>
    </w:p>
    <w:p w14:paraId="2A6A3F1D">
      <w:pPr>
        <w:adjustRightInd w:val="0"/>
        <w:snapToGrid w:val="0"/>
        <w:spacing w:line="360" w:lineRule="auto"/>
        <w:ind w:firstLine="480" w:firstLineChars="200"/>
        <w:rPr>
          <w:bCs/>
          <w:sz w:val="24"/>
        </w:rPr>
      </w:pPr>
      <w:r>
        <w:rPr>
          <w:rFonts w:hint="eastAsia"/>
          <w:bCs/>
          <w:sz w:val="24"/>
        </w:rPr>
        <w:t>3）对基金财产进行估值和变现；</w:t>
      </w:r>
    </w:p>
    <w:p w14:paraId="661424B7">
      <w:pPr>
        <w:adjustRightInd w:val="0"/>
        <w:snapToGrid w:val="0"/>
        <w:spacing w:line="360" w:lineRule="auto"/>
        <w:ind w:firstLine="480" w:firstLineChars="200"/>
        <w:rPr>
          <w:bCs/>
          <w:sz w:val="24"/>
        </w:rPr>
      </w:pPr>
      <w:r>
        <w:rPr>
          <w:rFonts w:hint="eastAsia"/>
          <w:bCs/>
          <w:sz w:val="24"/>
        </w:rPr>
        <w:t>4）制作清算报告；</w:t>
      </w:r>
    </w:p>
    <w:p w14:paraId="2A215A66">
      <w:pPr>
        <w:adjustRightInd w:val="0"/>
        <w:snapToGrid w:val="0"/>
        <w:spacing w:line="360" w:lineRule="auto"/>
        <w:ind w:firstLine="480" w:firstLineChars="200"/>
        <w:rPr>
          <w:bCs/>
          <w:sz w:val="24"/>
        </w:rPr>
      </w:pPr>
      <w:r>
        <w:rPr>
          <w:rFonts w:hint="eastAsia"/>
          <w:bCs/>
          <w:sz w:val="24"/>
        </w:rPr>
        <w:t>5）聘请会计师事务所对清算报告进行外部审计，聘请律师事务所对清算报告出具法律意见书；</w:t>
      </w:r>
    </w:p>
    <w:p w14:paraId="4518AF8F">
      <w:pPr>
        <w:adjustRightInd w:val="0"/>
        <w:snapToGrid w:val="0"/>
        <w:spacing w:line="360" w:lineRule="auto"/>
        <w:ind w:firstLine="480" w:firstLineChars="200"/>
        <w:rPr>
          <w:bCs/>
          <w:sz w:val="24"/>
        </w:rPr>
      </w:pPr>
      <w:r>
        <w:rPr>
          <w:rFonts w:hint="eastAsia"/>
          <w:bCs/>
          <w:sz w:val="24"/>
        </w:rPr>
        <w:t>6）将清算报告报中国证监会备案并公告；</w:t>
      </w:r>
    </w:p>
    <w:p w14:paraId="31A90D5B">
      <w:pPr>
        <w:adjustRightInd w:val="0"/>
        <w:snapToGrid w:val="0"/>
        <w:spacing w:line="360" w:lineRule="auto"/>
        <w:ind w:firstLine="480" w:firstLineChars="200"/>
        <w:rPr>
          <w:bCs/>
          <w:sz w:val="24"/>
        </w:rPr>
      </w:pPr>
      <w:r>
        <w:rPr>
          <w:rFonts w:hint="eastAsia"/>
          <w:bCs/>
          <w:sz w:val="24"/>
        </w:rPr>
        <w:t>7）对基金剩余财产进行分配。</w:t>
      </w:r>
    </w:p>
    <w:p w14:paraId="2D0F523A">
      <w:pPr>
        <w:adjustRightInd w:val="0"/>
        <w:snapToGrid w:val="0"/>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14:paraId="23012D65">
      <w:pPr>
        <w:adjustRightInd w:val="0"/>
        <w:snapToGrid w:val="0"/>
        <w:spacing w:line="360" w:lineRule="auto"/>
        <w:ind w:firstLine="480" w:firstLineChars="200"/>
        <w:rPr>
          <w:bCs/>
          <w:sz w:val="24"/>
        </w:rPr>
      </w:pPr>
      <w:r>
        <w:rPr>
          <w:rFonts w:hint="eastAsia"/>
          <w:bCs/>
          <w:sz w:val="24"/>
        </w:rPr>
        <w:t>4</w:t>
      </w:r>
      <w:r>
        <w:rPr>
          <w:bCs/>
          <w:sz w:val="24"/>
        </w:rPr>
        <w:t>、清算费用</w:t>
      </w:r>
    </w:p>
    <w:p w14:paraId="1714260E">
      <w:pPr>
        <w:adjustRightInd w:val="0"/>
        <w:snapToGrid w:val="0"/>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14:paraId="7AB4790C">
      <w:pPr>
        <w:adjustRightInd w:val="0"/>
        <w:snapToGrid w:val="0"/>
        <w:spacing w:line="360" w:lineRule="auto"/>
        <w:ind w:firstLine="480" w:firstLineChars="200"/>
        <w:rPr>
          <w:bCs/>
          <w:sz w:val="24"/>
        </w:rPr>
      </w:pPr>
      <w:r>
        <w:rPr>
          <w:rFonts w:hint="eastAsia"/>
          <w:bCs/>
          <w:sz w:val="24"/>
        </w:rPr>
        <w:t>5</w:t>
      </w:r>
      <w:r>
        <w:rPr>
          <w:bCs/>
          <w:sz w:val="24"/>
        </w:rPr>
        <w:t>、基金财产清算剩余资产的分配</w:t>
      </w:r>
    </w:p>
    <w:p w14:paraId="3F6B8E3D">
      <w:pPr>
        <w:adjustRightInd w:val="0"/>
        <w:snapToGrid w:val="0"/>
        <w:spacing w:line="360" w:lineRule="auto"/>
        <w:ind w:firstLine="480" w:firstLineChars="200"/>
        <w:rPr>
          <w:rFonts w:hint="eastAsia"/>
          <w:bCs/>
          <w:sz w:val="24"/>
        </w:rPr>
      </w:pPr>
      <w:r>
        <w:rPr>
          <w:bCs/>
          <w:sz w:val="24"/>
        </w:rPr>
        <w:t>依据基金财产清算的分配方案，将基金财产清算后的全部剩余资产扣除基金财产清算费用、交纳所欠税款并清偿基金债务后，按基金份额持有人持有的各类基金份额比例进行分配</w:t>
      </w:r>
      <w:r>
        <w:rPr>
          <w:rFonts w:hint="eastAsia"/>
          <w:bCs/>
          <w:sz w:val="24"/>
        </w:rPr>
        <w:t>。</w:t>
      </w:r>
    </w:p>
    <w:p w14:paraId="55E08427">
      <w:pPr>
        <w:adjustRightInd w:val="0"/>
        <w:snapToGrid w:val="0"/>
        <w:spacing w:line="360" w:lineRule="auto"/>
        <w:ind w:firstLine="480" w:firstLineChars="200"/>
        <w:rPr>
          <w:rFonts w:hint="eastAsia"/>
          <w:bCs/>
          <w:sz w:val="24"/>
        </w:rPr>
      </w:pPr>
      <w:r>
        <w:rPr>
          <w:rFonts w:hint="eastAsia"/>
          <w:bCs/>
          <w:sz w:val="24"/>
        </w:rPr>
        <w:t>其中，对于投资人通过直销机构认购/申购的</w:t>
      </w:r>
      <w:r>
        <w:rPr>
          <w:rFonts w:ascii="Times New Roman" w:hAnsi="Times New Roman"/>
          <w:bCs/>
          <w:sz w:val="24"/>
        </w:rPr>
        <w:t>C</w:t>
      </w:r>
      <w:r>
        <w:rPr>
          <w:rFonts w:hint="default" w:ascii="Times New Roman" w:hAnsi="Times New Roman"/>
          <w:bCs/>
          <w:sz w:val="24"/>
        </w:rPr>
        <w:t>类</w:t>
      </w:r>
      <w:r>
        <w:rPr>
          <w:rFonts w:hint="eastAsia"/>
          <w:bCs/>
          <w:sz w:val="24"/>
        </w:rPr>
        <w:t>基金份额所计提的销售服务费，或者通过其他销售机构认购/申购的</w:t>
      </w:r>
      <w:r>
        <w:rPr>
          <w:rFonts w:ascii="Times New Roman" w:hAnsi="Times New Roman"/>
          <w:bCs/>
          <w:sz w:val="24"/>
        </w:rPr>
        <w:t>C</w:t>
      </w:r>
      <w:r>
        <w:rPr>
          <w:rFonts w:hint="default" w:ascii="Times New Roman" w:hAnsi="Times New Roman"/>
          <w:bCs/>
          <w:sz w:val="24"/>
        </w:rPr>
        <w:t>类</w:t>
      </w:r>
      <w:r>
        <w:rPr>
          <w:rFonts w:hint="eastAsia"/>
          <w:bCs/>
          <w:sz w:val="24"/>
        </w:rPr>
        <w:t>基金份额持续持有超过一年后所计提的销售服务费，将在基金合同终止时随剩余资产分配款项一并返还给投资人。</w:t>
      </w:r>
    </w:p>
    <w:p w14:paraId="144AD4A8">
      <w:pPr>
        <w:adjustRightInd w:val="0"/>
        <w:snapToGrid w:val="0"/>
        <w:spacing w:line="360" w:lineRule="auto"/>
        <w:ind w:firstLine="480" w:firstLineChars="200"/>
        <w:rPr>
          <w:bCs/>
          <w:sz w:val="24"/>
        </w:rPr>
      </w:pPr>
      <w:r>
        <w:rPr>
          <w:rFonts w:hint="eastAsia"/>
          <w:bCs/>
          <w:sz w:val="24"/>
        </w:rPr>
        <w:t>6</w:t>
      </w:r>
      <w:r>
        <w:rPr>
          <w:bCs/>
          <w:sz w:val="24"/>
        </w:rPr>
        <w:t>、基金财产清算的公告</w:t>
      </w:r>
    </w:p>
    <w:p w14:paraId="3F9D0478">
      <w:pPr>
        <w:adjustRightInd w:val="0"/>
        <w:snapToGrid w:val="0"/>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1010A08D">
      <w:pPr>
        <w:adjustRightInd w:val="0"/>
        <w:snapToGrid w:val="0"/>
        <w:spacing w:line="360" w:lineRule="auto"/>
        <w:ind w:firstLine="480" w:firstLineChars="200"/>
        <w:rPr>
          <w:bCs/>
          <w:sz w:val="24"/>
        </w:rPr>
      </w:pPr>
      <w:r>
        <w:rPr>
          <w:rFonts w:hint="eastAsia"/>
          <w:bCs/>
          <w:sz w:val="24"/>
        </w:rPr>
        <w:t>7</w:t>
      </w:r>
      <w:r>
        <w:rPr>
          <w:bCs/>
          <w:sz w:val="24"/>
        </w:rPr>
        <w:t>、基金财产清算账册及文件的保存</w:t>
      </w:r>
    </w:p>
    <w:p w14:paraId="52BD8DBC">
      <w:pPr>
        <w:widowControl/>
        <w:adjustRightInd w:val="0"/>
        <w:snapToGrid w:val="0"/>
        <w:spacing w:line="360" w:lineRule="auto"/>
        <w:ind w:firstLine="480" w:firstLineChars="200"/>
        <w:rPr>
          <w:bCs/>
          <w:sz w:val="24"/>
        </w:rPr>
      </w:pPr>
      <w:r>
        <w:rPr>
          <w:rFonts w:hint="eastAsia"/>
          <w:bCs/>
          <w:sz w:val="24"/>
        </w:rPr>
        <w:t>基金财产清算账册及有关文件由基金托管人保存不低于法律法规规定的最低期限。</w:t>
      </w:r>
    </w:p>
    <w:p w14:paraId="73460D75">
      <w:pPr>
        <w:adjustRightInd w:val="0"/>
        <w:snapToGrid w:val="0"/>
        <w:spacing w:line="360" w:lineRule="auto"/>
        <w:ind w:firstLine="482"/>
        <w:rPr>
          <w:b/>
          <w:bCs/>
          <w:sz w:val="24"/>
        </w:rPr>
      </w:pPr>
      <w:r>
        <w:rPr>
          <w:b/>
          <w:bCs/>
          <w:sz w:val="24"/>
        </w:rPr>
        <w:t>（四）争议</w:t>
      </w:r>
      <w:r>
        <w:rPr>
          <w:rFonts w:hint="eastAsia"/>
          <w:b/>
          <w:bCs/>
          <w:sz w:val="24"/>
        </w:rPr>
        <w:t>解决方式</w:t>
      </w:r>
    </w:p>
    <w:p w14:paraId="14467320">
      <w:pPr>
        <w:adjustRightInd w:val="0"/>
        <w:snapToGrid w:val="0"/>
        <w:spacing w:line="360" w:lineRule="auto"/>
        <w:ind w:firstLine="482"/>
        <w:rPr>
          <w:b/>
          <w:bCs/>
          <w:sz w:val="24"/>
        </w:rPr>
      </w:pPr>
      <w:r>
        <w:rPr>
          <w:rFonts w:hint="eastAsia"/>
          <w:b/>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16134B4B">
      <w:pPr>
        <w:adjustRightInd w:val="0"/>
        <w:snapToGrid w:val="0"/>
        <w:spacing w:line="360" w:lineRule="auto"/>
        <w:ind w:firstLine="482"/>
        <w:rPr>
          <w:bCs/>
          <w:sz w:val="24"/>
        </w:rPr>
      </w:pPr>
      <w:r>
        <w:rPr>
          <w:rFonts w:hint="eastAsia"/>
          <w:bCs/>
          <w:sz w:val="24"/>
        </w:rPr>
        <w:t>争议处理期间，基金合同当事人应恪守各自的职责，继续忠实、勤勉、尽责地履行基金合同规定的义务，维护基金份额持有人的合法权益。</w:t>
      </w:r>
    </w:p>
    <w:p w14:paraId="20BDCFEA">
      <w:pPr>
        <w:adjustRightInd w:val="0"/>
        <w:snapToGrid w:val="0"/>
        <w:spacing w:line="360" w:lineRule="auto"/>
        <w:ind w:firstLine="480" w:firstLineChars="200"/>
        <w:rPr>
          <w:bCs/>
          <w:sz w:val="24"/>
        </w:rPr>
      </w:pPr>
      <w:r>
        <w:rPr>
          <w:rFonts w:hint="eastAsia"/>
          <w:bCs/>
          <w:sz w:val="24"/>
        </w:rPr>
        <w:t>《基金合同》受中国法律（为本基金合同之目的，不含港澳台地区法律）管辖并从其解释。</w:t>
      </w:r>
    </w:p>
    <w:p w14:paraId="3E1EA458">
      <w:pPr>
        <w:adjustRightInd w:val="0"/>
        <w:snapToGrid w:val="0"/>
        <w:spacing w:line="360" w:lineRule="auto"/>
        <w:ind w:firstLine="482"/>
        <w:rPr>
          <w:b/>
          <w:bCs/>
          <w:sz w:val="24"/>
        </w:rPr>
      </w:pPr>
      <w:bookmarkStart w:id="122" w:name="_Toc523711688"/>
      <w:r>
        <w:rPr>
          <w:b/>
          <w:bCs/>
          <w:sz w:val="24"/>
        </w:rPr>
        <w:t>（五）基金合同存放地和投资者取得基金合同的方式</w:t>
      </w:r>
    </w:p>
    <w:bookmarkEnd w:id="122"/>
    <w:p w14:paraId="0FABD61A">
      <w:pPr>
        <w:adjustRightInd w:val="0"/>
        <w:snapToGrid w:val="0"/>
        <w:spacing w:line="360" w:lineRule="auto"/>
        <w:ind w:firstLine="480" w:firstLineChars="200"/>
        <w:rPr>
          <w:bCs/>
          <w:sz w:val="24"/>
        </w:rPr>
      </w:pPr>
      <w:r>
        <w:rPr>
          <w:rFonts w:hint="eastAsia"/>
          <w:bCs/>
          <w:sz w:val="24"/>
        </w:rPr>
        <w:t>《基金合同》正本一式三份，除上报有关监管机构一份外，基金管理人、基金托管人各持有一份，每份具有同等的法律效力。</w:t>
      </w:r>
    </w:p>
    <w:p w14:paraId="742C8DA2">
      <w:pPr>
        <w:adjustRightInd w:val="0"/>
        <w:snapToGrid w:val="0"/>
        <w:spacing w:line="360" w:lineRule="auto"/>
        <w:ind w:firstLine="480" w:firstLineChars="200"/>
        <w:rPr>
          <w:bCs/>
          <w:sz w:val="24"/>
        </w:rPr>
      </w:pPr>
      <w:r>
        <w:rPr>
          <w:rFonts w:hint="eastAsia"/>
          <w:bCs/>
          <w:sz w:val="24"/>
        </w:rPr>
        <w:t>《基金合同》可印制成册，供投资者在基金管理人、基金托管人、销售机构的办公场所和营业场所查阅，但应以《基金合同》正本为准。</w:t>
      </w:r>
      <w:bookmarkEnd w:id="120"/>
    </w:p>
    <w:p w14:paraId="0190D2CA">
      <w:pPr>
        <w:adjustRightInd w:val="0"/>
        <w:snapToGrid w:val="0"/>
        <w:spacing w:line="360" w:lineRule="auto"/>
        <w:ind w:firstLine="480" w:firstLineChars="200"/>
        <w:rPr>
          <w:rFonts w:ascii="宋体" w:hAnsi="宋体"/>
          <w:sz w:val="24"/>
        </w:rPr>
      </w:pPr>
    </w:p>
    <w:p w14:paraId="35C0302E">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118"/>
      <w:bookmarkEnd w:id="119"/>
      <w:bookmarkStart w:id="123" w:name="_Toc50983788"/>
      <w:bookmarkStart w:id="124" w:name="_Hlk199247489"/>
      <w:r>
        <w:rPr>
          <w:rFonts w:hint="eastAsia" w:ascii="宋体" w:hAnsi="宋体"/>
          <w:b/>
          <w:kern w:val="0"/>
          <w:sz w:val="30"/>
        </w:rPr>
        <w:t>二十、托管协议的内容摘要</w:t>
      </w:r>
      <w:bookmarkEnd w:id="123"/>
    </w:p>
    <w:p w14:paraId="3FC2D1A4">
      <w:pPr>
        <w:autoSpaceDE w:val="0"/>
        <w:autoSpaceDN w:val="0"/>
        <w:adjustRightInd w:val="0"/>
        <w:snapToGrid w:val="0"/>
        <w:spacing w:line="360" w:lineRule="auto"/>
        <w:ind w:firstLine="482" w:firstLineChars="200"/>
        <w:jc w:val="left"/>
        <w:rPr>
          <w:b/>
          <w:szCs w:val="24"/>
        </w:rPr>
      </w:pPr>
      <w:r>
        <w:rPr>
          <w:b/>
          <w:sz w:val="24"/>
        </w:rPr>
        <w:t>（一）托管协议当事人</w:t>
      </w:r>
    </w:p>
    <w:p w14:paraId="22D6C5D0">
      <w:pPr>
        <w:autoSpaceDE w:val="0"/>
        <w:autoSpaceDN w:val="0"/>
        <w:adjustRightInd w:val="0"/>
        <w:snapToGrid w:val="0"/>
        <w:spacing w:line="360" w:lineRule="auto"/>
        <w:ind w:firstLine="480" w:firstLineChars="200"/>
        <w:jc w:val="left"/>
        <w:rPr>
          <w:sz w:val="24"/>
        </w:rPr>
      </w:pPr>
      <w:r>
        <w:rPr>
          <w:rFonts w:hint="eastAsia"/>
          <w:sz w:val="24"/>
        </w:rPr>
        <w:t>1、基金管理人</w:t>
      </w:r>
    </w:p>
    <w:p w14:paraId="293F1190">
      <w:pPr>
        <w:autoSpaceDE w:val="0"/>
        <w:autoSpaceDN w:val="0"/>
        <w:adjustRightInd w:val="0"/>
        <w:snapToGrid w:val="0"/>
        <w:spacing w:line="360" w:lineRule="auto"/>
        <w:ind w:firstLine="480" w:firstLineChars="200"/>
        <w:jc w:val="left"/>
        <w:rPr>
          <w:sz w:val="24"/>
        </w:rPr>
      </w:pPr>
      <w:r>
        <w:rPr>
          <w:rFonts w:hint="eastAsia"/>
          <w:sz w:val="24"/>
        </w:rPr>
        <w:t>名称：交银施罗德基金管理有限公司</w:t>
      </w:r>
    </w:p>
    <w:p w14:paraId="74C60828">
      <w:pPr>
        <w:autoSpaceDE w:val="0"/>
        <w:autoSpaceDN w:val="0"/>
        <w:adjustRightInd w:val="0"/>
        <w:snapToGrid w:val="0"/>
        <w:spacing w:line="360" w:lineRule="auto"/>
        <w:ind w:firstLine="480" w:firstLineChars="200"/>
        <w:jc w:val="left"/>
        <w:rPr>
          <w:sz w:val="24"/>
        </w:rPr>
      </w:pPr>
      <w:r>
        <w:rPr>
          <w:rFonts w:hint="eastAsia"/>
          <w:sz w:val="24"/>
        </w:rPr>
        <w:t>注册地址：中国（上海）自由贸易试验区银城中路188号交通银行大楼二层（裙）</w:t>
      </w:r>
    </w:p>
    <w:p w14:paraId="1327710B">
      <w:pPr>
        <w:autoSpaceDE w:val="0"/>
        <w:autoSpaceDN w:val="0"/>
        <w:adjustRightInd w:val="0"/>
        <w:snapToGrid w:val="0"/>
        <w:spacing w:line="360" w:lineRule="auto"/>
        <w:ind w:firstLine="480" w:firstLineChars="200"/>
        <w:jc w:val="left"/>
        <w:rPr>
          <w:sz w:val="24"/>
        </w:rPr>
      </w:pPr>
      <w:r>
        <w:rPr>
          <w:rFonts w:hint="eastAsia"/>
          <w:sz w:val="24"/>
        </w:rPr>
        <w:t>办公地址：上海市浦东新区世纪大道8号国金中心二期21-22楼</w:t>
      </w:r>
    </w:p>
    <w:p w14:paraId="7BAB3936">
      <w:pPr>
        <w:autoSpaceDE w:val="0"/>
        <w:autoSpaceDN w:val="0"/>
        <w:adjustRightInd w:val="0"/>
        <w:snapToGrid w:val="0"/>
        <w:spacing w:line="360" w:lineRule="auto"/>
        <w:ind w:firstLine="480" w:firstLineChars="200"/>
        <w:jc w:val="left"/>
        <w:rPr>
          <w:sz w:val="24"/>
        </w:rPr>
      </w:pPr>
      <w:r>
        <w:rPr>
          <w:rFonts w:hint="eastAsia"/>
          <w:sz w:val="24"/>
        </w:rPr>
        <w:t>邮政编码：200120</w:t>
      </w:r>
    </w:p>
    <w:p w14:paraId="26E9FAB2">
      <w:pPr>
        <w:autoSpaceDE w:val="0"/>
        <w:autoSpaceDN w:val="0"/>
        <w:adjustRightInd w:val="0"/>
        <w:snapToGrid w:val="0"/>
        <w:spacing w:line="360" w:lineRule="auto"/>
        <w:ind w:firstLine="480" w:firstLineChars="200"/>
        <w:jc w:val="left"/>
        <w:rPr>
          <w:sz w:val="24"/>
        </w:rPr>
      </w:pPr>
      <w:r>
        <w:rPr>
          <w:rFonts w:hint="eastAsia"/>
          <w:sz w:val="24"/>
        </w:rPr>
        <w:t>法定代表人：</w:t>
      </w:r>
      <w:r>
        <w:rPr>
          <w:rFonts w:hint="eastAsia" w:hAnsi="宋体"/>
          <w:kern w:val="0"/>
          <w:sz w:val="24"/>
        </w:rPr>
        <w:t>袁庆伟（代任）</w:t>
      </w:r>
    </w:p>
    <w:p w14:paraId="447C0B13">
      <w:pPr>
        <w:autoSpaceDE w:val="0"/>
        <w:autoSpaceDN w:val="0"/>
        <w:adjustRightInd w:val="0"/>
        <w:snapToGrid w:val="0"/>
        <w:spacing w:line="360" w:lineRule="auto"/>
        <w:ind w:firstLine="480" w:firstLineChars="200"/>
        <w:jc w:val="left"/>
        <w:rPr>
          <w:sz w:val="24"/>
        </w:rPr>
      </w:pPr>
      <w:r>
        <w:rPr>
          <w:rFonts w:hint="eastAsia"/>
          <w:sz w:val="24"/>
        </w:rPr>
        <w:t>成立日期：2005年8月4日</w:t>
      </w:r>
    </w:p>
    <w:p w14:paraId="637A878D">
      <w:pPr>
        <w:autoSpaceDE w:val="0"/>
        <w:autoSpaceDN w:val="0"/>
        <w:adjustRightInd w:val="0"/>
        <w:snapToGrid w:val="0"/>
        <w:spacing w:line="360" w:lineRule="auto"/>
        <w:ind w:firstLine="480" w:firstLineChars="200"/>
        <w:jc w:val="left"/>
        <w:rPr>
          <w:sz w:val="24"/>
        </w:rPr>
      </w:pPr>
      <w:r>
        <w:rPr>
          <w:rFonts w:hint="eastAsia"/>
          <w:sz w:val="24"/>
        </w:rPr>
        <w:t>批准设立机关及批准设立文号：中国证监会证监基金字[2005]128号</w:t>
      </w:r>
    </w:p>
    <w:p w14:paraId="35974BF0">
      <w:pPr>
        <w:autoSpaceDE w:val="0"/>
        <w:autoSpaceDN w:val="0"/>
        <w:adjustRightInd w:val="0"/>
        <w:snapToGrid w:val="0"/>
        <w:spacing w:line="360" w:lineRule="auto"/>
        <w:ind w:firstLine="480" w:firstLineChars="200"/>
        <w:jc w:val="left"/>
        <w:rPr>
          <w:sz w:val="24"/>
        </w:rPr>
      </w:pPr>
      <w:r>
        <w:rPr>
          <w:rFonts w:hint="eastAsia"/>
          <w:sz w:val="24"/>
        </w:rPr>
        <w:t>组织形式：有限责任公司</w:t>
      </w:r>
    </w:p>
    <w:p w14:paraId="57AF4BC4">
      <w:pPr>
        <w:autoSpaceDE w:val="0"/>
        <w:autoSpaceDN w:val="0"/>
        <w:adjustRightInd w:val="0"/>
        <w:snapToGrid w:val="0"/>
        <w:spacing w:line="360" w:lineRule="auto"/>
        <w:ind w:firstLine="480" w:firstLineChars="200"/>
        <w:jc w:val="left"/>
        <w:rPr>
          <w:sz w:val="24"/>
        </w:rPr>
      </w:pPr>
      <w:r>
        <w:rPr>
          <w:rFonts w:hint="eastAsia"/>
          <w:sz w:val="24"/>
        </w:rPr>
        <w:t>注册资本：2亿元人民币</w:t>
      </w:r>
    </w:p>
    <w:p w14:paraId="44F864EA">
      <w:pPr>
        <w:autoSpaceDE w:val="0"/>
        <w:autoSpaceDN w:val="0"/>
        <w:adjustRightInd w:val="0"/>
        <w:snapToGrid w:val="0"/>
        <w:spacing w:line="360" w:lineRule="auto"/>
        <w:ind w:firstLine="480" w:firstLineChars="200"/>
        <w:jc w:val="left"/>
        <w:rPr>
          <w:sz w:val="24"/>
        </w:rPr>
      </w:pPr>
      <w:r>
        <w:rPr>
          <w:rFonts w:hint="eastAsia"/>
          <w:sz w:val="24"/>
        </w:rPr>
        <w:t>存续期间：持续经营</w:t>
      </w:r>
    </w:p>
    <w:p w14:paraId="3ED79411">
      <w:pPr>
        <w:autoSpaceDE w:val="0"/>
        <w:autoSpaceDN w:val="0"/>
        <w:adjustRightInd w:val="0"/>
        <w:snapToGrid w:val="0"/>
        <w:spacing w:line="360" w:lineRule="auto"/>
        <w:ind w:firstLine="480" w:firstLineChars="200"/>
        <w:jc w:val="left"/>
        <w:rPr>
          <w:sz w:val="24"/>
        </w:rPr>
      </w:pPr>
      <w:r>
        <w:rPr>
          <w:rFonts w:hint="eastAsia"/>
          <w:sz w:val="24"/>
        </w:rPr>
        <w:t>经营范围：基金募集、基金销售、资产管理和中国证监会许可的其他业务</w:t>
      </w:r>
    </w:p>
    <w:p w14:paraId="3A74F459">
      <w:pPr>
        <w:autoSpaceDE w:val="0"/>
        <w:autoSpaceDN w:val="0"/>
        <w:adjustRightInd w:val="0"/>
        <w:snapToGrid w:val="0"/>
        <w:spacing w:line="360" w:lineRule="auto"/>
        <w:ind w:firstLine="480" w:firstLineChars="200"/>
        <w:jc w:val="left"/>
        <w:rPr>
          <w:sz w:val="24"/>
        </w:rPr>
      </w:pPr>
      <w:r>
        <w:rPr>
          <w:rFonts w:hint="eastAsia"/>
          <w:sz w:val="24"/>
        </w:rPr>
        <w:t>2、基金托管人</w:t>
      </w:r>
    </w:p>
    <w:p w14:paraId="6A9BB36F">
      <w:pPr>
        <w:autoSpaceDE w:val="0"/>
        <w:autoSpaceDN w:val="0"/>
        <w:adjustRightInd w:val="0"/>
        <w:snapToGrid w:val="0"/>
        <w:spacing w:line="360" w:lineRule="auto"/>
        <w:ind w:firstLine="480" w:firstLineChars="200"/>
        <w:jc w:val="left"/>
        <w:rPr>
          <w:sz w:val="24"/>
        </w:rPr>
      </w:pPr>
      <w:r>
        <w:rPr>
          <w:rFonts w:hint="eastAsia"/>
          <w:sz w:val="24"/>
        </w:rPr>
        <w:t>名称：中信银行股份有限公司</w:t>
      </w:r>
    </w:p>
    <w:p w14:paraId="221EE595">
      <w:pPr>
        <w:autoSpaceDE w:val="0"/>
        <w:autoSpaceDN w:val="0"/>
        <w:adjustRightInd w:val="0"/>
        <w:snapToGrid w:val="0"/>
        <w:spacing w:line="360" w:lineRule="auto"/>
        <w:ind w:firstLine="480" w:firstLineChars="200"/>
        <w:jc w:val="left"/>
        <w:rPr>
          <w:sz w:val="24"/>
        </w:rPr>
      </w:pPr>
      <w:r>
        <w:rPr>
          <w:rFonts w:hint="eastAsia"/>
          <w:sz w:val="24"/>
        </w:rPr>
        <w:t>住所：北京市朝阳区光华路10号院1号楼6-30层、32-42层</w:t>
      </w:r>
    </w:p>
    <w:p w14:paraId="1AC660AD">
      <w:pPr>
        <w:autoSpaceDE w:val="0"/>
        <w:autoSpaceDN w:val="0"/>
        <w:adjustRightInd w:val="0"/>
        <w:snapToGrid w:val="0"/>
        <w:spacing w:line="360" w:lineRule="auto"/>
        <w:ind w:firstLine="480" w:firstLineChars="200"/>
        <w:jc w:val="left"/>
        <w:rPr>
          <w:sz w:val="24"/>
        </w:rPr>
      </w:pPr>
      <w:r>
        <w:rPr>
          <w:rFonts w:hint="eastAsia"/>
          <w:sz w:val="24"/>
        </w:rPr>
        <w:t>法定代表人：方合英</w:t>
      </w:r>
    </w:p>
    <w:p w14:paraId="1A2E5DCD">
      <w:pPr>
        <w:autoSpaceDE w:val="0"/>
        <w:autoSpaceDN w:val="0"/>
        <w:adjustRightInd w:val="0"/>
        <w:snapToGrid w:val="0"/>
        <w:spacing w:line="360" w:lineRule="auto"/>
        <w:ind w:firstLine="480" w:firstLineChars="200"/>
        <w:jc w:val="left"/>
        <w:rPr>
          <w:sz w:val="24"/>
        </w:rPr>
      </w:pPr>
      <w:r>
        <w:rPr>
          <w:rFonts w:hint="eastAsia"/>
          <w:sz w:val="24"/>
        </w:rPr>
        <w:t>成立时间：1987年4月20日</w:t>
      </w:r>
    </w:p>
    <w:p w14:paraId="513D7DFF">
      <w:pPr>
        <w:autoSpaceDE w:val="0"/>
        <w:autoSpaceDN w:val="0"/>
        <w:adjustRightInd w:val="0"/>
        <w:snapToGrid w:val="0"/>
        <w:spacing w:line="360" w:lineRule="auto"/>
        <w:ind w:firstLine="480" w:firstLineChars="200"/>
        <w:jc w:val="left"/>
        <w:rPr>
          <w:sz w:val="24"/>
        </w:rPr>
      </w:pPr>
      <w:r>
        <w:rPr>
          <w:rFonts w:hint="eastAsia"/>
          <w:sz w:val="24"/>
        </w:rPr>
        <w:t>批准设立机关及批准设立文号：中华人民共和国国务院办公厅国办函[1987]14号</w:t>
      </w:r>
    </w:p>
    <w:p w14:paraId="54F6FB2E">
      <w:pPr>
        <w:autoSpaceDE w:val="0"/>
        <w:autoSpaceDN w:val="0"/>
        <w:adjustRightInd w:val="0"/>
        <w:snapToGrid w:val="0"/>
        <w:spacing w:line="360" w:lineRule="auto"/>
        <w:ind w:firstLine="480" w:firstLineChars="200"/>
        <w:jc w:val="left"/>
        <w:rPr>
          <w:sz w:val="24"/>
        </w:rPr>
      </w:pPr>
      <w:r>
        <w:rPr>
          <w:rFonts w:hint="eastAsia"/>
          <w:sz w:val="24"/>
        </w:rPr>
        <w:t>基金托管业务批准文号：中国证监会证监基金字[2004]125号</w:t>
      </w:r>
    </w:p>
    <w:p w14:paraId="1DACA828">
      <w:pPr>
        <w:autoSpaceDE w:val="0"/>
        <w:autoSpaceDN w:val="0"/>
        <w:adjustRightInd w:val="0"/>
        <w:snapToGrid w:val="0"/>
        <w:spacing w:line="360" w:lineRule="auto"/>
        <w:ind w:firstLine="480" w:firstLineChars="200"/>
        <w:jc w:val="left"/>
        <w:rPr>
          <w:sz w:val="24"/>
        </w:rPr>
      </w:pPr>
      <w:r>
        <w:rPr>
          <w:rFonts w:hint="eastAsia"/>
          <w:sz w:val="24"/>
        </w:rPr>
        <w:t>组织形式：股份有限公司</w:t>
      </w:r>
    </w:p>
    <w:p w14:paraId="3A4748F9">
      <w:pPr>
        <w:autoSpaceDE w:val="0"/>
        <w:autoSpaceDN w:val="0"/>
        <w:adjustRightInd w:val="0"/>
        <w:snapToGrid w:val="0"/>
        <w:spacing w:line="360" w:lineRule="auto"/>
        <w:ind w:firstLine="480" w:firstLineChars="200"/>
        <w:jc w:val="left"/>
        <w:rPr>
          <w:sz w:val="24"/>
        </w:rPr>
      </w:pPr>
      <w:r>
        <w:rPr>
          <w:rFonts w:hint="eastAsia"/>
          <w:sz w:val="24"/>
        </w:rPr>
        <w:t>注册资本：489.35亿元人民币</w:t>
      </w:r>
    </w:p>
    <w:p w14:paraId="78398F04">
      <w:pPr>
        <w:autoSpaceDE w:val="0"/>
        <w:autoSpaceDN w:val="0"/>
        <w:adjustRightInd w:val="0"/>
        <w:snapToGrid w:val="0"/>
        <w:spacing w:line="360" w:lineRule="auto"/>
        <w:ind w:firstLine="480" w:firstLineChars="200"/>
        <w:jc w:val="left"/>
        <w:rPr>
          <w:sz w:val="24"/>
        </w:rPr>
      </w:pPr>
      <w:r>
        <w:rPr>
          <w:rFonts w:hint="eastAsia"/>
          <w:sz w:val="24"/>
        </w:rPr>
        <w:t>存续期间：持续经营</w:t>
      </w:r>
    </w:p>
    <w:p w14:paraId="112F1FFD">
      <w:pPr>
        <w:autoSpaceDE w:val="0"/>
        <w:autoSpaceDN w:val="0"/>
        <w:adjustRightInd w:val="0"/>
        <w:snapToGrid w:val="0"/>
        <w:spacing w:line="360" w:lineRule="auto"/>
        <w:ind w:firstLine="480" w:firstLineChars="200"/>
        <w:jc w:val="left"/>
        <w:rPr>
          <w:sz w:val="24"/>
        </w:rPr>
      </w:pPr>
      <w:r>
        <w:rPr>
          <w:rFonts w:hint="eastAsia" w:ascii="宋体" w:hAnsi="宋体"/>
          <w:color w:val="0D0D0D"/>
          <w:sz w:val="24"/>
          <w:szCs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市场主体依法自主选择经营项目，开展经营活动；依法须经批准的项目，经相关部门批准后依批准的内容开展经营活动；不得从事国家和本市产业政策禁止和限制类项目的经营活动。）</w:t>
      </w:r>
    </w:p>
    <w:p w14:paraId="114D5DA6">
      <w:pPr>
        <w:autoSpaceDE w:val="0"/>
        <w:autoSpaceDN w:val="0"/>
        <w:adjustRightInd w:val="0"/>
        <w:snapToGrid w:val="0"/>
        <w:spacing w:line="360" w:lineRule="auto"/>
        <w:ind w:firstLine="482" w:firstLineChars="200"/>
        <w:jc w:val="left"/>
        <w:rPr>
          <w:b/>
          <w:szCs w:val="24"/>
        </w:rPr>
      </w:pPr>
      <w:r>
        <w:rPr>
          <w:b/>
          <w:sz w:val="24"/>
        </w:rPr>
        <w:t>（二）基金托管人对基金管理人的业务监督和核查</w:t>
      </w:r>
    </w:p>
    <w:p w14:paraId="25386724">
      <w:pPr>
        <w:autoSpaceDE w:val="0"/>
        <w:autoSpaceDN w:val="0"/>
        <w:adjustRightInd w:val="0"/>
        <w:snapToGrid w:val="0"/>
        <w:spacing w:line="360" w:lineRule="auto"/>
        <w:ind w:firstLine="480" w:firstLineChars="200"/>
        <w:jc w:val="left"/>
        <w:rPr>
          <w:sz w:val="24"/>
        </w:rPr>
      </w:pPr>
      <w:r>
        <w:rPr>
          <w:rFonts w:hint="eastAsia"/>
          <w:sz w:val="24"/>
        </w:rPr>
        <w:t>1、基金托管人对基金管理人的投资行为行使监督权</w:t>
      </w:r>
    </w:p>
    <w:p w14:paraId="7D3D24D3">
      <w:pPr>
        <w:autoSpaceDE w:val="0"/>
        <w:autoSpaceDN w:val="0"/>
        <w:adjustRightInd w:val="0"/>
        <w:snapToGrid w:val="0"/>
        <w:spacing w:line="360" w:lineRule="auto"/>
        <w:ind w:firstLine="480" w:firstLineChars="200"/>
        <w:jc w:val="left"/>
        <w:rPr>
          <w:sz w:val="24"/>
        </w:rPr>
      </w:pPr>
      <w:r>
        <w:rPr>
          <w:rFonts w:hint="eastAsia"/>
          <w:sz w:val="24"/>
        </w:rPr>
        <w:t>（1）基金托管人根据有关法律法规的规定和基金合同的约定，对下述基金投资范围、投资对象进行监督。本基金将投资于以下金融工具：</w:t>
      </w:r>
    </w:p>
    <w:p w14:paraId="0241E712">
      <w:pPr>
        <w:autoSpaceDE w:val="0"/>
        <w:autoSpaceDN w:val="0"/>
        <w:adjustRightInd w:val="0"/>
        <w:snapToGrid w:val="0"/>
        <w:spacing w:line="360" w:lineRule="auto"/>
        <w:ind w:firstLine="480" w:firstLineChars="200"/>
        <w:jc w:val="left"/>
        <w:rPr>
          <w:sz w:val="24"/>
        </w:rPr>
      </w:pPr>
      <w:r>
        <w:rPr>
          <w:rFonts w:hint="eastAsia"/>
          <w:sz w:val="24"/>
        </w:rPr>
        <w:t>本基金的投资范围为具有良好流动性的金融工具，包括国内依法发行上市的股票（含主板、创业板、科创板及其他经中国证监会核准或注册上市的股票、存托凭证）、港股通标的股票、经中国证监会依法核准或注册的公开募集证券投资基金（仅包含全市场的股票型ETF</w:t>
      </w:r>
      <w:r>
        <w:rPr>
          <w:rFonts w:hint="eastAsia"/>
          <w:bCs/>
          <w:sz w:val="24"/>
          <w:lang w:eastAsia="zh-CN"/>
        </w:rPr>
        <w:t>（</w:t>
      </w:r>
      <w:r>
        <w:rPr>
          <w:rFonts w:hint="eastAsia"/>
          <w:bCs/>
          <w:sz w:val="24"/>
          <w:lang w:val="en-US" w:eastAsia="zh-CN"/>
        </w:rPr>
        <w:t>含可投资境外市场的ETF</w:t>
      </w:r>
      <w:r>
        <w:rPr>
          <w:rFonts w:hint="eastAsia"/>
          <w:bCs/>
          <w:sz w:val="24"/>
          <w:lang w:eastAsia="zh-CN"/>
        </w:rPr>
        <w:t>）、</w:t>
      </w:r>
      <w:r>
        <w:rPr>
          <w:rFonts w:hint="eastAsia"/>
          <w:bCs/>
          <w:sz w:val="24"/>
        </w:rPr>
        <w:t>公开募集不动产投资信托基金（以下简称“公募REITs”）</w:t>
      </w:r>
      <w:r>
        <w:rPr>
          <w:rFonts w:hint="eastAsia"/>
          <w:sz w:val="24"/>
        </w:rPr>
        <w:t>及本基金管理人管理的股票型基金、计入权益类资产的混合型基金，不含香港互认基金、QDII基金</w:t>
      </w:r>
      <w:r>
        <w:rPr>
          <w:rFonts w:hint="eastAsia"/>
          <w:bCs/>
          <w:sz w:val="24"/>
          <w:lang w:eastAsia="zh-CN"/>
        </w:rPr>
        <w:t>（</w:t>
      </w:r>
      <w:r>
        <w:rPr>
          <w:rFonts w:hint="eastAsia"/>
          <w:bCs/>
          <w:sz w:val="24"/>
          <w:lang w:val="en-US" w:eastAsia="zh-CN"/>
        </w:rPr>
        <w:t>可投资境外市场的股票型ETF除外</w:t>
      </w:r>
      <w:r>
        <w:rPr>
          <w:rFonts w:hint="eastAsia"/>
          <w:bCs/>
          <w:sz w:val="24"/>
          <w:lang w:eastAsia="zh-CN"/>
        </w:rPr>
        <w:t>）</w:t>
      </w:r>
      <w:r>
        <w:rPr>
          <w:rFonts w:hint="eastAsia"/>
          <w:sz w:val="24"/>
        </w:rPr>
        <w:t>、基金中基金</w:t>
      </w:r>
      <w:r>
        <w:rPr>
          <w:rFonts w:hint="eastAsia"/>
          <w:sz w:val="24"/>
          <w:lang w:val="en-US" w:eastAsia="zh-CN"/>
        </w:rPr>
        <w:t>和</w:t>
      </w:r>
      <w:r>
        <w:rPr>
          <w:rFonts w:hint="eastAsia"/>
          <w:sz w:val="24"/>
        </w:rPr>
        <w:t>其他投资范围包含基金的基金、货币市场基金）、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国债期货、信用衍生品以及法律法规或中国证监会允许基金投资的其他金融工具（但须符合中国证监会相关规定）。</w:t>
      </w:r>
    </w:p>
    <w:p w14:paraId="1E6237D8">
      <w:pPr>
        <w:autoSpaceDE w:val="0"/>
        <w:autoSpaceDN w:val="0"/>
        <w:adjustRightInd w:val="0"/>
        <w:snapToGrid w:val="0"/>
        <w:spacing w:line="360" w:lineRule="auto"/>
        <w:ind w:firstLine="480" w:firstLineChars="200"/>
        <w:jc w:val="left"/>
        <w:rPr>
          <w:sz w:val="24"/>
        </w:rPr>
      </w:pPr>
      <w:r>
        <w:rPr>
          <w:rFonts w:hint="eastAsia"/>
          <w:sz w:val="24"/>
        </w:rPr>
        <w:t>如法律法规或监管机构以后允许基金投资其他品种，基金管理人在履行适当程序后，可以将其纳入投资范围。</w:t>
      </w:r>
    </w:p>
    <w:p w14:paraId="2AD1792B">
      <w:pPr>
        <w:autoSpaceDE w:val="0"/>
        <w:autoSpaceDN w:val="0"/>
        <w:adjustRightInd w:val="0"/>
        <w:snapToGrid w:val="0"/>
        <w:spacing w:line="360" w:lineRule="auto"/>
        <w:ind w:firstLine="480" w:firstLineChars="200"/>
        <w:jc w:val="left"/>
        <w:rPr>
          <w:sz w:val="24"/>
        </w:rPr>
      </w:pPr>
      <w:r>
        <w:rPr>
          <w:rFonts w:hint="eastAsia"/>
          <w:sz w:val="24"/>
        </w:rPr>
        <w:t>基金的投资组合比例为：本基金投资于债券资产的比例不低于基金资产的80%；投资于股票（含存托凭证）、股票型基金、计入权益类资产的混合型基金、可转换债券（含可分离交易可转换债券）、可交换公司债券的比例占基金资产的</w:t>
      </w:r>
      <w:r>
        <w:rPr>
          <w:rFonts w:hint="eastAsia"/>
          <w:sz w:val="24"/>
          <w:lang w:val="en-US" w:eastAsia="zh-CN"/>
        </w:rPr>
        <w:t>5</w:t>
      </w:r>
      <w:r>
        <w:rPr>
          <w:rFonts w:hint="eastAsia"/>
          <w:sz w:val="24"/>
        </w:rPr>
        <w:t>%-20%（其中</w:t>
      </w:r>
      <w:r>
        <w:rPr>
          <w:rFonts w:hint="eastAsia"/>
          <w:bCs/>
          <w:sz w:val="24"/>
        </w:rPr>
        <w:t>，投资于境内股票资产（含</w:t>
      </w:r>
      <w:r>
        <w:rPr>
          <w:rFonts w:hint="eastAsia"/>
          <w:bCs/>
          <w:sz w:val="24"/>
          <w:lang w:val="en-US" w:eastAsia="zh-CN"/>
        </w:rPr>
        <w:t>A股</w:t>
      </w:r>
      <w:r>
        <w:rPr>
          <w:rFonts w:hint="eastAsia"/>
          <w:bCs/>
          <w:sz w:val="24"/>
        </w:rPr>
        <w:t>ETF）的比例不低于基金资产的5%，</w:t>
      </w:r>
      <w:r>
        <w:rPr>
          <w:rFonts w:hint="eastAsia"/>
          <w:sz w:val="24"/>
        </w:rPr>
        <w:t>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7EC0BF17">
      <w:pPr>
        <w:autoSpaceDE w:val="0"/>
        <w:autoSpaceDN w:val="0"/>
        <w:adjustRightInd w:val="0"/>
        <w:snapToGrid w:val="0"/>
        <w:spacing w:line="360" w:lineRule="auto"/>
        <w:ind w:firstLine="480" w:firstLineChars="200"/>
        <w:jc w:val="left"/>
        <w:rPr>
          <w:sz w:val="24"/>
        </w:rPr>
      </w:pPr>
      <w:r>
        <w:rPr>
          <w:rFonts w:hint="eastAsia"/>
          <w:sz w:val="24"/>
        </w:rPr>
        <w:t>如果法律法规或中国证监会变更投资品种的投资比例限制，基金管理人在履行适当程序后，可以调整上述投资品种的投资比例。</w:t>
      </w:r>
    </w:p>
    <w:p w14:paraId="09FD2A37">
      <w:pPr>
        <w:autoSpaceDE w:val="0"/>
        <w:autoSpaceDN w:val="0"/>
        <w:adjustRightInd w:val="0"/>
        <w:snapToGrid w:val="0"/>
        <w:spacing w:line="360" w:lineRule="auto"/>
        <w:ind w:firstLine="480" w:firstLineChars="200"/>
        <w:jc w:val="left"/>
        <w:rPr>
          <w:sz w:val="24"/>
        </w:rPr>
      </w:pPr>
      <w:r>
        <w:rPr>
          <w:rFonts w:hint="eastAsia"/>
          <w:sz w:val="24"/>
        </w:rPr>
        <w:t>（2）基金托管人根据有关法律法规的规定及基金合同的约定对下述基金投融资比例进行监督：</w:t>
      </w:r>
    </w:p>
    <w:p w14:paraId="52D2129A">
      <w:pPr>
        <w:autoSpaceDE w:val="0"/>
        <w:autoSpaceDN w:val="0"/>
        <w:adjustRightInd w:val="0"/>
        <w:snapToGrid w:val="0"/>
        <w:spacing w:line="360" w:lineRule="auto"/>
        <w:ind w:firstLine="480" w:firstLineChars="200"/>
        <w:jc w:val="left"/>
        <w:rPr>
          <w:sz w:val="24"/>
        </w:rPr>
      </w:pPr>
      <w:r>
        <w:rPr>
          <w:rFonts w:hint="eastAsia"/>
          <w:sz w:val="24"/>
        </w:rPr>
        <w:t>1）本基金投资于债券资产的比例不低于基金资产的80%；投资于股票（含存托凭证）、股票型基金、计入权益类资产的混合型基金、可转换债券（含可分离交易可转换债券）、可交换公司债券的比例占基金资产的</w:t>
      </w:r>
      <w:r>
        <w:rPr>
          <w:rFonts w:hint="eastAsia"/>
          <w:sz w:val="24"/>
          <w:lang w:val="en-US" w:eastAsia="zh-CN"/>
        </w:rPr>
        <w:t>5</w:t>
      </w:r>
      <w:r>
        <w:rPr>
          <w:rFonts w:hint="eastAsia"/>
          <w:sz w:val="24"/>
        </w:rPr>
        <w:t>%-20%（其中</w:t>
      </w:r>
      <w:r>
        <w:rPr>
          <w:rFonts w:hint="eastAsia"/>
          <w:bCs/>
          <w:sz w:val="24"/>
        </w:rPr>
        <w:t>，投资于境内股票资产（含</w:t>
      </w:r>
      <w:r>
        <w:rPr>
          <w:rFonts w:hint="eastAsia"/>
          <w:bCs/>
          <w:sz w:val="24"/>
          <w:lang w:val="en-US" w:eastAsia="zh-CN"/>
        </w:rPr>
        <w:t>A股</w:t>
      </w:r>
      <w:r>
        <w:rPr>
          <w:rFonts w:hint="eastAsia"/>
          <w:bCs/>
          <w:sz w:val="24"/>
        </w:rPr>
        <w:t>ETF）的比例不低于基金资产的5%，</w:t>
      </w:r>
      <w:r>
        <w:rPr>
          <w:rFonts w:hint="eastAsia"/>
          <w:sz w:val="24"/>
        </w:rPr>
        <w:t>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w:t>
      </w:r>
    </w:p>
    <w:p w14:paraId="5CAA25CB">
      <w:pPr>
        <w:autoSpaceDE w:val="0"/>
        <w:autoSpaceDN w:val="0"/>
        <w:adjustRightInd w:val="0"/>
        <w:snapToGrid w:val="0"/>
        <w:spacing w:line="360" w:lineRule="auto"/>
        <w:ind w:firstLine="480" w:firstLineChars="200"/>
        <w:jc w:val="left"/>
        <w:rPr>
          <w:sz w:val="24"/>
        </w:rPr>
      </w:pPr>
      <w:r>
        <w:rPr>
          <w:rFonts w:hint="eastAsia"/>
          <w:sz w:val="24"/>
        </w:rPr>
        <w:t>2）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14B1B0E1">
      <w:pPr>
        <w:autoSpaceDE w:val="0"/>
        <w:autoSpaceDN w:val="0"/>
        <w:adjustRightInd w:val="0"/>
        <w:snapToGrid w:val="0"/>
        <w:spacing w:line="360" w:lineRule="auto"/>
        <w:ind w:firstLine="480" w:firstLineChars="200"/>
        <w:jc w:val="left"/>
        <w:rPr>
          <w:sz w:val="24"/>
        </w:rPr>
      </w:pPr>
      <w:r>
        <w:rPr>
          <w:rFonts w:hint="eastAsia"/>
          <w:sz w:val="24"/>
        </w:rPr>
        <w:t>3）本基金持有一家公司发行的证券（不含本基金所投资的基金份额，同一家公司在内地和香港同时上市的A+H 股合计计算），其市值不超过基金资产净值的10％；</w:t>
      </w:r>
    </w:p>
    <w:p w14:paraId="744E09FF">
      <w:pPr>
        <w:autoSpaceDE w:val="0"/>
        <w:autoSpaceDN w:val="0"/>
        <w:adjustRightInd w:val="0"/>
        <w:snapToGrid w:val="0"/>
        <w:spacing w:line="360" w:lineRule="auto"/>
        <w:ind w:firstLine="480" w:firstLineChars="200"/>
        <w:jc w:val="left"/>
        <w:rPr>
          <w:sz w:val="24"/>
        </w:rPr>
      </w:pPr>
      <w:r>
        <w:rPr>
          <w:rFonts w:hint="eastAsia"/>
          <w:sz w:val="24"/>
        </w:rPr>
        <w:t>4）本基金管理人管理的全部基金持有一家公司发行的证券（不含本基金所投资的基金份额，同一家公司在内地和香港同时上市的A+H 股合计计算），不超过该证券的10％，完全按照有关指数的构成比例进行证券投资的基金品种可以不受此条款规定的比例限制；</w:t>
      </w:r>
    </w:p>
    <w:p w14:paraId="5B91CFD0">
      <w:pPr>
        <w:autoSpaceDE w:val="0"/>
        <w:autoSpaceDN w:val="0"/>
        <w:adjustRightInd w:val="0"/>
        <w:snapToGrid w:val="0"/>
        <w:spacing w:line="360" w:lineRule="auto"/>
        <w:ind w:firstLine="480" w:firstLineChars="200"/>
        <w:jc w:val="left"/>
        <w:rPr>
          <w:sz w:val="24"/>
        </w:rPr>
      </w:pPr>
      <w:r>
        <w:rPr>
          <w:rFonts w:hint="eastAsia"/>
          <w:sz w:val="24"/>
        </w:rPr>
        <w:t>5）本基金投资于同一原始权益人的各类资产支持证券的比例，不得超过基金资产净值的10％；</w:t>
      </w:r>
    </w:p>
    <w:p w14:paraId="65D8502C">
      <w:pPr>
        <w:autoSpaceDE w:val="0"/>
        <w:autoSpaceDN w:val="0"/>
        <w:adjustRightInd w:val="0"/>
        <w:snapToGrid w:val="0"/>
        <w:spacing w:line="360" w:lineRule="auto"/>
        <w:ind w:firstLine="480" w:firstLineChars="200"/>
        <w:jc w:val="left"/>
        <w:rPr>
          <w:sz w:val="24"/>
        </w:rPr>
      </w:pPr>
      <w:r>
        <w:rPr>
          <w:rFonts w:hint="eastAsia"/>
          <w:sz w:val="24"/>
        </w:rPr>
        <w:t>6）本基金持有的全部资产支持证券，其市值不得超过基金资产净值的20％；</w:t>
      </w:r>
    </w:p>
    <w:p w14:paraId="4CE575FE">
      <w:pPr>
        <w:autoSpaceDE w:val="0"/>
        <w:autoSpaceDN w:val="0"/>
        <w:adjustRightInd w:val="0"/>
        <w:snapToGrid w:val="0"/>
        <w:spacing w:line="360" w:lineRule="auto"/>
        <w:ind w:firstLine="480" w:firstLineChars="200"/>
        <w:jc w:val="left"/>
        <w:rPr>
          <w:sz w:val="24"/>
        </w:rPr>
      </w:pPr>
      <w:r>
        <w:rPr>
          <w:rFonts w:hint="eastAsia"/>
          <w:sz w:val="24"/>
        </w:rPr>
        <w:t>7）本基金持有的同一（指同一信用级别）资产支持证券的比例，不得超过该资产支持证券规模的10％；</w:t>
      </w:r>
    </w:p>
    <w:p w14:paraId="74F01F74">
      <w:pPr>
        <w:autoSpaceDE w:val="0"/>
        <w:autoSpaceDN w:val="0"/>
        <w:adjustRightInd w:val="0"/>
        <w:snapToGrid w:val="0"/>
        <w:spacing w:line="360" w:lineRule="auto"/>
        <w:ind w:firstLine="480" w:firstLineChars="200"/>
        <w:jc w:val="left"/>
        <w:rPr>
          <w:sz w:val="24"/>
        </w:rPr>
      </w:pPr>
      <w:r>
        <w:rPr>
          <w:rFonts w:hint="eastAsia"/>
          <w:sz w:val="24"/>
        </w:rPr>
        <w:t>8）本基金管理人管理的全部基金投资于同一原始权益人的各类资产支持证券，不得超过其各类资产支持证券合计规模的10％；</w:t>
      </w:r>
    </w:p>
    <w:p w14:paraId="2B4B9AC6">
      <w:pPr>
        <w:autoSpaceDE w:val="0"/>
        <w:autoSpaceDN w:val="0"/>
        <w:adjustRightInd w:val="0"/>
        <w:snapToGrid w:val="0"/>
        <w:spacing w:line="360" w:lineRule="auto"/>
        <w:ind w:firstLine="480" w:firstLineChars="200"/>
        <w:jc w:val="left"/>
        <w:rPr>
          <w:sz w:val="24"/>
        </w:rPr>
      </w:pPr>
      <w:r>
        <w:rPr>
          <w:rFonts w:hint="eastAsia"/>
          <w:sz w:val="24"/>
        </w:rPr>
        <w:t>9）基金财产参与股票发行申购，本基金所申报的金额不超过本基金的总资产，本基金所申报的股票数量不超过拟发行股票公司本次发行股票的总量；</w:t>
      </w:r>
    </w:p>
    <w:p w14:paraId="06083A2A">
      <w:pPr>
        <w:autoSpaceDE w:val="0"/>
        <w:autoSpaceDN w:val="0"/>
        <w:adjustRightInd w:val="0"/>
        <w:snapToGrid w:val="0"/>
        <w:spacing w:line="360" w:lineRule="auto"/>
        <w:ind w:firstLine="480" w:firstLineChars="200"/>
        <w:jc w:val="left"/>
        <w:rPr>
          <w:sz w:val="24"/>
        </w:rPr>
      </w:pPr>
      <w:r>
        <w:rPr>
          <w:rFonts w:hint="eastAsia"/>
          <w:sz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46245CA">
      <w:pPr>
        <w:autoSpaceDE w:val="0"/>
        <w:autoSpaceDN w:val="0"/>
        <w:adjustRightInd w:val="0"/>
        <w:snapToGrid w:val="0"/>
        <w:spacing w:line="360" w:lineRule="auto"/>
        <w:ind w:firstLine="480" w:firstLineChars="200"/>
        <w:jc w:val="left"/>
        <w:rPr>
          <w:sz w:val="24"/>
        </w:rPr>
      </w:pPr>
      <w:r>
        <w:rPr>
          <w:rFonts w:hint="eastAsia"/>
          <w:sz w:val="24"/>
        </w:rPr>
        <w:t>11）本基金主动投资于流动性受限资产（含封闭运作基金、定期开放基金等流通受限基金）的市值合计不得超过基金资产净值的15%；因证券市场波动、上市公司股票停牌、基金规模变动等基金管理人之外的因素致使基金不符合该比例限制的，基金管理人不得主动新增流动性受限资产的投资；</w:t>
      </w:r>
    </w:p>
    <w:p w14:paraId="335C957F">
      <w:pPr>
        <w:autoSpaceDE w:val="0"/>
        <w:autoSpaceDN w:val="0"/>
        <w:adjustRightInd w:val="0"/>
        <w:snapToGrid w:val="0"/>
        <w:spacing w:line="360" w:lineRule="auto"/>
        <w:ind w:firstLine="480" w:firstLineChars="200"/>
        <w:jc w:val="left"/>
        <w:rPr>
          <w:sz w:val="24"/>
        </w:rPr>
      </w:pPr>
      <w:r>
        <w:rPr>
          <w:rFonts w:hint="eastAsia"/>
          <w:sz w:val="24"/>
        </w:rPr>
        <w:t>12）本基金与私募类证券资管产品及中国证监会认定的其他主体为交易对手开展逆回购交易的，可接受质押品的资质要求应当与基金合同约定的投资范围保持一致；</w:t>
      </w:r>
    </w:p>
    <w:p w14:paraId="40680ACD">
      <w:pPr>
        <w:autoSpaceDE w:val="0"/>
        <w:autoSpaceDN w:val="0"/>
        <w:adjustRightInd w:val="0"/>
        <w:snapToGrid w:val="0"/>
        <w:spacing w:line="360" w:lineRule="auto"/>
        <w:ind w:firstLine="480" w:firstLineChars="200"/>
        <w:jc w:val="left"/>
        <w:rPr>
          <w:sz w:val="24"/>
        </w:rPr>
      </w:pPr>
      <w:r>
        <w:rPr>
          <w:rFonts w:hint="eastAsia"/>
          <w:sz w:val="24"/>
        </w:rPr>
        <w:t>13）本基金不持有具有信用保护卖方属性的信用衍生品，不持有合约类信用衍生品；本基金投资的信用衍生品名义本金不得超过本基金中对应受保护债券面值的100%；本基金投资于同一信用保护卖方的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14:paraId="655BF125">
      <w:pPr>
        <w:autoSpaceDE w:val="0"/>
        <w:autoSpaceDN w:val="0"/>
        <w:adjustRightInd w:val="0"/>
        <w:snapToGrid w:val="0"/>
        <w:spacing w:line="360" w:lineRule="auto"/>
        <w:ind w:firstLine="480" w:firstLineChars="200"/>
        <w:jc w:val="left"/>
        <w:rPr>
          <w:sz w:val="24"/>
        </w:rPr>
      </w:pPr>
      <w:r>
        <w:rPr>
          <w:rFonts w:hint="eastAsia"/>
          <w:sz w:val="24"/>
        </w:rPr>
        <w:t>14）本基金参与国债期货交易，需遵守下列投资比例限制：</w:t>
      </w:r>
    </w:p>
    <w:p w14:paraId="34704A81">
      <w:pPr>
        <w:autoSpaceDE w:val="0"/>
        <w:autoSpaceDN w:val="0"/>
        <w:adjustRightInd w:val="0"/>
        <w:snapToGrid w:val="0"/>
        <w:spacing w:line="360" w:lineRule="auto"/>
        <w:ind w:firstLine="480" w:firstLineChars="200"/>
        <w:jc w:val="left"/>
        <w:rPr>
          <w:sz w:val="24"/>
        </w:rPr>
      </w:pPr>
      <w:r>
        <w:rPr>
          <w:rFonts w:hint="eastAsia"/>
          <w:sz w:val="24"/>
        </w:rPr>
        <w:t>a）在任何交易日日终，持有的买入国债期货合约价值，不得超过基金资产净值的15%；</w:t>
      </w:r>
    </w:p>
    <w:p w14:paraId="337CFC75">
      <w:pPr>
        <w:autoSpaceDE w:val="0"/>
        <w:autoSpaceDN w:val="0"/>
        <w:adjustRightInd w:val="0"/>
        <w:snapToGrid w:val="0"/>
        <w:spacing w:line="360" w:lineRule="auto"/>
        <w:ind w:firstLine="480" w:firstLineChars="200"/>
        <w:jc w:val="left"/>
        <w:rPr>
          <w:sz w:val="24"/>
        </w:rPr>
      </w:pPr>
      <w:r>
        <w:rPr>
          <w:rFonts w:hint="eastAsia"/>
          <w:sz w:val="24"/>
        </w:rPr>
        <w:t>b）在任何交易日日终，持有的卖出国债期货合约价值不得超过基金持有的债券总市值的30%；</w:t>
      </w:r>
    </w:p>
    <w:p w14:paraId="71BEC92A">
      <w:pPr>
        <w:autoSpaceDE w:val="0"/>
        <w:autoSpaceDN w:val="0"/>
        <w:adjustRightInd w:val="0"/>
        <w:snapToGrid w:val="0"/>
        <w:spacing w:line="360" w:lineRule="auto"/>
        <w:ind w:firstLine="480" w:firstLineChars="200"/>
        <w:jc w:val="left"/>
        <w:rPr>
          <w:sz w:val="24"/>
        </w:rPr>
      </w:pPr>
      <w:r>
        <w:rPr>
          <w:rFonts w:hint="eastAsia"/>
          <w:sz w:val="24"/>
        </w:rPr>
        <w:t>c）基金在任何交易日内交易（不包括平仓）的国债期货合约的成交金额不得超过上一交易日基金资产净值的30%；</w:t>
      </w:r>
    </w:p>
    <w:p w14:paraId="31FBA89E">
      <w:pPr>
        <w:autoSpaceDE w:val="0"/>
        <w:autoSpaceDN w:val="0"/>
        <w:adjustRightInd w:val="0"/>
        <w:snapToGrid w:val="0"/>
        <w:spacing w:line="360" w:lineRule="auto"/>
        <w:ind w:firstLine="480" w:firstLineChars="200"/>
        <w:jc w:val="left"/>
        <w:rPr>
          <w:sz w:val="24"/>
        </w:rPr>
      </w:pPr>
      <w:r>
        <w:rPr>
          <w:rFonts w:hint="eastAsia"/>
          <w:sz w:val="24"/>
        </w:rPr>
        <w:t>d）本基金所持有的债券（不含到期日在一年以内的政府债券）市值和买入、卖出国债期货合约价值，合计（轧差计算）应当符合基金合同关于债券投资比例的有关约定；</w:t>
      </w:r>
    </w:p>
    <w:p w14:paraId="648C140F">
      <w:pPr>
        <w:autoSpaceDE w:val="0"/>
        <w:autoSpaceDN w:val="0"/>
        <w:adjustRightInd w:val="0"/>
        <w:snapToGrid w:val="0"/>
        <w:spacing w:line="360" w:lineRule="auto"/>
        <w:ind w:firstLine="480" w:firstLineChars="200"/>
        <w:jc w:val="left"/>
        <w:rPr>
          <w:sz w:val="24"/>
        </w:rPr>
      </w:pPr>
      <w:r>
        <w:rPr>
          <w:rFonts w:hint="eastAsia"/>
          <w:sz w:val="24"/>
        </w:rPr>
        <w:t>15）本基金资产总值不超过基金资产净值的140%；</w:t>
      </w:r>
    </w:p>
    <w:p w14:paraId="4E6D6637">
      <w:pPr>
        <w:autoSpaceDE w:val="0"/>
        <w:autoSpaceDN w:val="0"/>
        <w:adjustRightInd w:val="0"/>
        <w:snapToGrid w:val="0"/>
        <w:spacing w:line="360" w:lineRule="auto"/>
        <w:ind w:firstLine="480" w:firstLineChars="200"/>
        <w:jc w:val="left"/>
        <w:rPr>
          <w:sz w:val="24"/>
        </w:rPr>
      </w:pPr>
      <w:r>
        <w:rPr>
          <w:rFonts w:hint="eastAsia"/>
          <w:sz w:val="24"/>
        </w:rPr>
        <w:t>16）本基金投资存托凭证的比例限制依照境内上市交易的股票执行；</w:t>
      </w:r>
    </w:p>
    <w:p w14:paraId="74642768">
      <w:pPr>
        <w:autoSpaceDE w:val="0"/>
        <w:autoSpaceDN w:val="0"/>
        <w:adjustRightInd w:val="0"/>
        <w:snapToGrid w:val="0"/>
        <w:spacing w:line="360" w:lineRule="auto"/>
        <w:ind w:firstLine="480" w:firstLineChars="200"/>
        <w:jc w:val="left"/>
        <w:rPr>
          <w:sz w:val="24"/>
        </w:rPr>
      </w:pPr>
      <w:r>
        <w:rPr>
          <w:rFonts w:hint="eastAsia"/>
          <w:sz w:val="24"/>
        </w:rPr>
        <w:t>17）本基金投资其他基金时，被投资基金的运作期限不少于1年、最近定期报告披露的基金净资产应当不低于1亿元；</w:t>
      </w:r>
    </w:p>
    <w:p w14:paraId="4D8F7EC7">
      <w:pPr>
        <w:autoSpaceDE w:val="0"/>
        <w:autoSpaceDN w:val="0"/>
        <w:adjustRightInd w:val="0"/>
        <w:snapToGrid w:val="0"/>
        <w:spacing w:line="360" w:lineRule="auto"/>
        <w:ind w:firstLine="480" w:firstLineChars="200"/>
        <w:jc w:val="left"/>
        <w:rPr>
          <w:sz w:val="24"/>
        </w:rPr>
      </w:pPr>
      <w:r>
        <w:rPr>
          <w:rFonts w:hint="eastAsia"/>
          <w:sz w:val="24"/>
        </w:rPr>
        <w:t>18）本基金管理人管理的全部基金（除ETF联接基金外）持有单只基金不得超过被投资基金净资产的20%，被投资基金净资产规模以最近定期报告披露的规模为准；</w:t>
      </w:r>
    </w:p>
    <w:p w14:paraId="1D25AE43">
      <w:pPr>
        <w:autoSpaceDE w:val="0"/>
        <w:autoSpaceDN w:val="0"/>
        <w:adjustRightInd w:val="0"/>
        <w:snapToGrid w:val="0"/>
        <w:spacing w:line="360" w:lineRule="auto"/>
        <w:ind w:firstLine="480" w:firstLineChars="200"/>
        <w:jc w:val="left"/>
        <w:rPr>
          <w:sz w:val="24"/>
        </w:rPr>
      </w:pPr>
      <w:r>
        <w:rPr>
          <w:rFonts w:hint="eastAsia"/>
          <w:sz w:val="24"/>
        </w:rPr>
        <w:t>19）本基金不得持有具有复杂、衍生品性质的基金份额，包括分级基金和中国证监会认定的其他基金份额；</w:t>
      </w:r>
    </w:p>
    <w:p w14:paraId="2AD0CF94">
      <w:pPr>
        <w:autoSpaceDE w:val="0"/>
        <w:autoSpaceDN w:val="0"/>
        <w:adjustRightInd w:val="0"/>
        <w:snapToGrid w:val="0"/>
        <w:spacing w:line="360" w:lineRule="auto"/>
        <w:ind w:firstLine="480" w:firstLineChars="200"/>
        <w:jc w:val="left"/>
        <w:rPr>
          <w:sz w:val="24"/>
        </w:rPr>
      </w:pPr>
      <w:r>
        <w:rPr>
          <w:rFonts w:hint="eastAsia"/>
          <w:sz w:val="24"/>
        </w:rPr>
        <w:t>20）法律法规及中国证监会规定的和《基金合同》约定的其他投资限制。</w:t>
      </w:r>
    </w:p>
    <w:p w14:paraId="28EE5B73">
      <w:pPr>
        <w:autoSpaceDE w:val="0"/>
        <w:autoSpaceDN w:val="0"/>
        <w:adjustRightInd w:val="0"/>
        <w:snapToGrid w:val="0"/>
        <w:spacing w:line="360" w:lineRule="auto"/>
        <w:ind w:firstLine="480" w:firstLineChars="200"/>
        <w:jc w:val="left"/>
        <w:rPr>
          <w:sz w:val="24"/>
        </w:rPr>
      </w:pPr>
      <w:r>
        <w:rPr>
          <w:rFonts w:hint="eastAsia"/>
          <w:sz w:val="24"/>
        </w:rPr>
        <w:t>因证券/期货市场波动、基金规模变动、本基金所投资的基金发生流动性限制、暂停申购、赎回或二级市场交易停牌等基金管理人之外的因素致使本基金投资比例不符合上述第18）项规定的，基金管理人应当在20个交易日内进行调整；除上述2）、11）、12）、13）、18）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B3523FE">
      <w:pPr>
        <w:autoSpaceDE w:val="0"/>
        <w:autoSpaceDN w:val="0"/>
        <w:adjustRightInd w:val="0"/>
        <w:snapToGrid w:val="0"/>
        <w:spacing w:line="360" w:lineRule="auto"/>
        <w:ind w:firstLine="480" w:firstLineChars="200"/>
        <w:jc w:val="left"/>
        <w:rPr>
          <w:sz w:val="24"/>
        </w:rPr>
      </w:pPr>
      <w:r>
        <w:rPr>
          <w:rFonts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79B0834">
      <w:pPr>
        <w:autoSpaceDE w:val="0"/>
        <w:autoSpaceDN w:val="0"/>
        <w:adjustRightInd w:val="0"/>
        <w:snapToGrid w:val="0"/>
        <w:spacing w:line="360" w:lineRule="auto"/>
        <w:ind w:firstLine="480" w:firstLineChars="200"/>
        <w:jc w:val="left"/>
        <w:rPr>
          <w:sz w:val="24"/>
        </w:rPr>
      </w:pPr>
      <w:r>
        <w:rPr>
          <w:rFonts w:hint="eastAsia"/>
          <w:sz w:val="24"/>
        </w:rPr>
        <w:t>法律法规或监管部门取消或变更上述限制，如适用于本基金，基金管理人在履行适当程序后，则本基金投资不再受相关限制或以变更后的规定为准。</w:t>
      </w:r>
    </w:p>
    <w:p w14:paraId="113BFA59">
      <w:pPr>
        <w:autoSpaceDE w:val="0"/>
        <w:autoSpaceDN w:val="0"/>
        <w:adjustRightInd w:val="0"/>
        <w:snapToGrid w:val="0"/>
        <w:spacing w:line="360" w:lineRule="auto"/>
        <w:ind w:firstLine="480" w:firstLineChars="200"/>
        <w:jc w:val="left"/>
        <w:rPr>
          <w:sz w:val="24"/>
        </w:rPr>
      </w:pPr>
      <w:r>
        <w:rPr>
          <w:rFonts w:hint="eastAsia"/>
          <w:sz w:val="24"/>
        </w:rPr>
        <w:t>（3）基金托管人根据有关法律法规的规定及基金合同的约定对下述基金投资禁止行为进行监督：</w:t>
      </w:r>
    </w:p>
    <w:p w14:paraId="1D62863C">
      <w:pPr>
        <w:autoSpaceDE w:val="0"/>
        <w:autoSpaceDN w:val="0"/>
        <w:adjustRightInd w:val="0"/>
        <w:snapToGrid w:val="0"/>
        <w:spacing w:line="360" w:lineRule="auto"/>
        <w:ind w:firstLine="480" w:firstLineChars="200"/>
        <w:jc w:val="left"/>
        <w:rPr>
          <w:sz w:val="24"/>
        </w:rPr>
      </w:pPr>
      <w:r>
        <w:rPr>
          <w:rFonts w:hint="eastAsia"/>
          <w:sz w:val="24"/>
        </w:rPr>
        <w:t>为维护基金份额持有人的合法权益，基金财产不得用于下列投资或者活动：</w:t>
      </w:r>
    </w:p>
    <w:p w14:paraId="6401FDF2">
      <w:pPr>
        <w:autoSpaceDE w:val="0"/>
        <w:autoSpaceDN w:val="0"/>
        <w:adjustRightInd w:val="0"/>
        <w:snapToGrid w:val="0"/>
        <w:spacing w:line="360" w:lineRule="auto"/>
        <w:ind w:firstLine="480" w:firstLineChars="200"/>
        <w:jc w:val="left"/>
        <w:rPr>
          <w:sz w:val="24"/>
        </w:rPr>
      </w:pPr>
      <w:r>
        <w:rPr>
          <w:rFonts w:hint="eastAsia"/>
          <w:sz w:val="24"/>
        </w:rPr>
        <w:t>1）承销证券；</w:t>
      </w:r>
    </w:p>
    <w:p w14:paraId="51ABB924">
      <w:pPr>
        <w:autoSpaceDE w:val="0"/>
        <w:autoSpaceDN w:val="0"/>
        <w:adjustRightInd w:val="0"/>
        <w:snapToGrid w:val="0"/>
        <w:spacing w:line="360" w:lineRule="auto"/>
        <w:ind w:firstLine="480" w:firstLineChars="200"/>
        <w:jc w:val="left"/>
        <w:rPr>
          <w:sz w:val="24"/>
        </w:rPr>
      </w:pPr>
      <w:r>
        <w:rPr>
          <w:rFonts w:hint="eastAsia"/>
          <w:sz w:val="24"/>
        </w:rPr>
        <w:t>2）违反规定向他人贷款或者提供担保；</w:t>
      </w:r>
    </w:p>
    <w:p w14:paraId="69ED0E3A">
      <w:pPr>
        <w:autoSpaceDE w:val="0"/>
        <w:autoSpaceDN w:val="0"/>
        <w:adjustRightInd w:val="0"/>
        <w:snapToGrid w:val="0"/>
        <w:spacing w:line="360" w:lineRule="auto"/>
        <w:ind w:firstLine="480" w:firstLineChars="200"/>
        <w:jc w:val="left"/>
        <w:rPr>
          <w:sz w:val="24"/>
        </w:rPr>
      </w:pPr>
      <w:r>
        <w:rPr>
          <w:rFonts w:hint="eastAsia"/>
          <w:sz w:val="24"/>
        </w:rPr>
        <w:t>3）从事承担无限责任的投资；</w:t>
      </w:r>
    </w:p>
    <w:p w14:paraId="03182F86">
      <w:pPr>
        <w:autoSpaceDE w:val="0"/>
        <w:autoSpaceDN w:val="0"/>
        <w:adjustRightInd w:val="0"/>
        <w:snapToGrid w:val="0"/>
        <w:spacing w:line="360" w:lineRule="auto"/>
        <w:ind w:firstLine="480" w:firstLineChars="200"/>
        <w:jc w:val="left"/>
        <w:rPr>
          <w:sz w:val="24"/>
        </w:rPr>
      </w:pPr>
      <w:r>
        <w:rPr>
          <w:rFonts w:hint="eastAsia"/>
          <w:sz w:val="24"/>
        </w:rPr>
        <w:t>4）向其基金管理人、基金托管人出资；</w:t>
      </w:r>
    </w:p>
    <w:p w14:paraId="35413DA6">
      <w:pPr>
        <w:autoSpaceDE w:val="0"/>
        <w:autoSpaceDN w:val="0"/>
        <w:adjustRightInd w:val="0"/>
        <w:snapToGrid w:val="0"/>
        <w:spacing w:line="360" w:lineRule="auto"/>
        <w:ind w:firstLine="480" w:firstLineChars="200"/>
        <w:jc w:val="left"/>
        <w:rPr>
          <w:sz w:val="24"/>
        </w:rPr>
      </w:pPr>
      <w:r>
        <w:rPr>
          <w:rFonts w:hint="eastAsia"/>
          <w:sz w:val="24"/>
        </w:rPr>
        <w:t>5）从事内幕交易、操纵证券交易价格及其他不正当的证券交易活动；</w:t>
      </w:r>
    </w:p>
    <w:p w14:paraId="0377DBAF">
      <w:pPr>
        <w:autoSpaceDE w:val="0"/>
        <w:autoSpaceDN w:val="0"/>
        <w:adjustRightInd w:val="0"/>
        <w:snapToGrid w:val="0"/>
        <w:spacing w:line="360" w:lineRule="auto"/>
        <w:ind w:firstLine="480" w:firstLineChars="200"/>
        <w:jc w:val="left"/>
        <w:rPr>
          <w:sz w:val="24"/>
        </w:rPr>
      </w:pPr>
      <w:r>
        <w:rPr>
          <w:rFonts w:hint="eastAsia"/>
          <w:sz w:val="24"/>
        </w:rPr>
        <w:t>6）法律、行政法规和中国证监会规定禁止的其他活动。</w:t>
      </w:r>
    </w:p>
    <w:p w14:paraId="2C3362D6">
      <w:pPr>
        <w:autoSpaceDE w:val="0"/>
        <w:autoSpaceDN w:val="0"/>
        <w:adjustRightInd w:val="0"/>
        <w:snapToGrid w:val="0"/>
        <w:spacing w:line="360" w:lineRule="auto"/>
        <w:ind w:firstLine="480" w:firstLineChars="200"/>
        <w:jc w:val="left"/>
        <w:rPr>
          <w:sz w:val="24"/>
        </w:rPr>
      </w:pPr>
      <w:r>
        <w:rPr>
          <w:rFonts w:hint="eastAsia"/>
          <w:sz w:val="24"/>
        </w:rPr>
        <w:t>如法律、行政法规或监管部门取消或变更上述规定，如适用于本基金，基金管理人在履行适当程序后，本基金可不受上述规定的限制或以变更后的规定为准。</w:t>
      </w:r>
    </w:p>
    <w:p w14:paraId="38E3D89F">
      <w:pPr>
        <w:autoSpaceDE w:val="0"/>
        <w:autoSpaceDN w:val="0"/>
        <w:adjustRightInd w:val="0"/>
        <w:snapToGrid w:val="0"/>
        <w:spacing w:line="360" w:lineRule="auto"/>
        <w:ind w:firstLine="480" w:firstLineChars="200"/>
        <w:jc w:val="left"/>
        <w:rPr>
          <w:sz w:val="24"/>
        </w:rPr>
      </w:pPr>
      <w:r>
        <w:rPr>
          <w:rFonts w:hint="eastAsia"/>
          <w:sz w:val="24"/>
        </w:rPr>
        <w:t>（4）基金托管人依据有关法律法规的规定和基金合同的约定对于基金关联投资进行监督。</w:t>
      </w:r>
    </w:p>
    <w:p w14:paraId="6AA51E1E">
      <w:pPr>
        <w:autoSpaceDE w:val="0"/>
        <w:autoSpaceDN w:val="0"/>
        <w:adjustRightInd w:val="0"/>
        <w:snapToGrid w:val="0"/>
        <w:spacing w:line="360" w:lineRule="auto"/>
        <w:ind w:firstLine="480" w:firstLineChars="200"/>
        <w:jc w:val="left"/>
        <w:rPr>
          <w:sz w:val="24"/>
        </w:rPr>
      </w:pPr>
      <w:r>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2B099B0">
      <w:pPr>
        <w:autoSpaceDE w:val="0"/>
        <w:autoSpaceDN w:val="0"/>
        <w:adjustRightInd w:val="0"/>
        <w:snapToGrid w:val="0"/>
        <w:spacing w:line="360" w:lineRule="auto"/>
        <w:ind w:firstLine="480" w:firstLineChars="200"/>
        <w:jc w:val="left"/>
        <w:rPr>
          <w:sz w:val="24"/>
        </w:rPr>
      </w:pPr>
      <w:r>
        <w:rPr>
          <w:rFonts w:hint="eastAsia"/>
          <w:sz w:val="24"/>
        </w:rPr>
        <w:t>如法律、行政法规或监管部门取消或变更上述规定，如适用于本基金，基金管理人在履行适当程序后，本基金可不受上述规定的限制或以变更后的规定为准。</w:t>
      </w:r>
    </w:p>
    <w:p w14:paraId="0A0D90C3">
      <w:pPr>
        <w:autoSpaceDE w:val="0"/>
        <w:autoSpaceDN w:val="0"/>
        <w:adjustRightInd w:val="0"/>
        <w:snapToGrid w:val="0"/>
        <w:spacing w:line="360" w:lineRule="auto"/>
        <w:ind w:firstLine="480" w:firstLineChars="200"/>
        <w:jc w:val="left"/>
        <w:rPr>
          <w:sz w:val="24"/>
        </w:rPr>
      </w:pPr>
      <w:r>
        <w:rPr>
          <w:rFonts w:hint="eastAsia"/>
          <w:sz w:val="24"/>
        </w:rPr>
        <w:t>根据法律法规有关基金从事的关联交易的规定，基金管理人和基金托管人应事先相互提供与本机构有控股关系的股东或与本机构有其他重大利害关系的公司名单及有关关联方发行的证券名单，并确保所提供名单的真实性、完整性、全面性，并负责及时更新该名单。如果基金托管人在运作中严格遵循了监督流程，基金管理人仍违规进行交易，并造成基金资产损失的，由基金管理人承担责任，基金托管人不承担相应损失和责任。</w:t>
      </w:r>
    </w:p>
    <w:p w14:paraId="04B79988">
      <w:pPr>
        <w:autoSpaceDE w:val="0"/>
        <w:autoSpaceDN w:val="0"/>
        <w:adjustRightInd w:val="0"/>
        <w:snapToGrid w:val="0"/>
        <w:spacing w:line="360" w:lineRule="auto"/>
        <w:ind w:firstLine="480" w:firstLineChars="200"/>
        <w:jc w:val="left"/>
        <w:rPr>
          <w:sz w:val="24"/>
        </w:rPr>
      </w:pPr>
      <w:r>
        <w:rPr>
          <w:rFonts w:hint="eastAsia"/>
          <w:sz w:val="24"/>
        </w:rPr>
        <w:t>若基金托管人发现基金管理人与关联方进行违反法律法规规定的关联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6BBA9273">
      <w:pPr>
        <w:autoSpaceDE w:val="0"/>
        <w:autoSpaceDN w:val="0"/>
        <w:adjustRightInd w:val="0"/>
        <w:snapToGrid w:val="0"/>
        <w:spacing w:line="360" w:lineRule="auto"/>
        <w:ind w:firstLine="480" w:firstLineChars="200"/>
        <w:jc w:val="left"/>
        <w:rPr>
          <w:sz w:val="24"/>
        </w:rPr>
      </w:pPr>
      <w:r>
        <w:rPr>
          <w:rFonts w:hint="eastAsia"/>
          <w:sz w:val="24"/>
        </w:rPr>
        <w:t>（5）基金托管人依据有关法律法规的规定和基金合同的约定对基金管理人参与银行间债券市场进行监督。</w:t>
      </w:r>
    </w:p>
    <w:p w14:paraId="2E8258BD">
      <w:pPr>
        <w:autoSpaceDE w:val="0"/>
        <w:autoSpaceDN w:val="0"/>
        <w:adjustRightInd w:val="0"/>
        <w:snapToGrid w:val="0"/>
        <w:spacing w:line="360" w:lineRule="auto"/>
        <w:ind w:firstLine="480" w:firstLineChars="200"/>
        <w:jc w:val="left"/>
        <w:rPr>
          <w:sz w:val="24"/>
        </w:rPr>
      </w:pPr>
      <w:r>
        <w:rPr>
          <w:rFonts w:hint="eastAsia"/>
          <w:sz w:val="24"/>
        </w:rPr>
        <w:t>1）基金托管人依据有关法律法规的规定和基金合同的约定对于基金管理人参与银行间债券市场交易时面临的交易对手资信风险进行监督。</w:t>
      </w:r>
    </w:p>
    <w:p w14:paraId="5D6CE0DB">
      <w:pPr>
        <w:autoSpaceDE w:val="0"/>
        <w:autoSpaceDN w:val="0"/>
        <w:adjustRightInd w:val="0"/>
        <w:snapToGrid w:val="0"/>
        <w:spacing w:line="360" w:lineRule="auto"/>
        <w:ind w:firstLine="480" w:firstLineChars="200"/>
        <w:jc w:val="left"/>
        <w:rPr>
          <w:sz w:val="24"/>
        </w:rPr>
      </w:pPr>
      <w:r>
        <w:rPr>
          <w:rFonts w:hint="eastAsia"/>
          <w:sz w:val="24"/>
        </w:rPr>
        <w:t>基金管理人应在基金投资运作之前向基金托管人提供符合法律法规及行业标准的银行间债券市场交易对手的名单。基金托管人在收到名单后2个工作日内回函确认收到该名单。基金管理人收到基金托管人书面确认后，名单开始生效。基金管理人应定期或不定期对银行间债券市场现券及回购交易对手的名单进行更新，如基金管理人根据市场情况需要临时调整银行间债券市场交易对手名单，应向基金托管人说明理由。新名单生效前已与本次剔除的交易对手所进行但尚未结算的交易，仍应按照双方原定协议进行结算。如基金管理人在基金投资运作之前未向基金托管人提供银行间债券市场交易对手名单的，视为基金管理人认可全市场交易对手。</w:t>
      </w:r>
    </w:p>
    <w:p w14:paraId="6AD05B51">
      <w:pPr>
        <w:autoSpaceDE w:val="0"/>
        <w:autoSpaceDN w:val="0"/>
        <w:adjustRightInd w:val="0"/>
        <w:snapToGrid w:val="0"/>
        <w:spacing w:line="360" w:lineRule="auto"/>
        <w:ind w:firstLine="480" w:firstLineChars="200"/>
        <w:jc w:val="left"/>
        <w:rPr>
          <w:sz w:val="24"/>
        </w:rPr>
      </w:pPr>
      <w:r>
        <w:rPr>
          <w:rFonts w:hint="eastAsia"/>
          <w:sz w:val="24"/>
        </w:rPr>
        <w:t>如果基金托管人发现基金管理人与不在名单内的银行间债券市场交易对手进行交易，应及时提醒基金管理人撤销交易，经提醒后基金管理人仍执行交易并造成基金资产损失的，基金托管人不承担相应责任。</w:t>
      </w:r>
    </w:p>
    <w:p w14:paraId="69719614">
      <w:pPr>
        <w:autoSpaceDE w:val="0"/>
        <w:autoSpaceDN w:val="0"/>
        <w:adjustRightInd w:val="0"/>
        <w:snapToGrid w:val="0"/>
        <w:spacing w:line="360" w:lineRule="auto"/>
        <w:ind w:firstLine="480" w:firstLineChars="200"/>
        <w:jc w:val="left"/>
        <w:rPr>
          <w:sz w:val="24"/>
        </w:rPr>
      </w:pPr>
      <w:r>
        <w:rPr>
          <w:rFonts w:hint="eastAsia"/>
          <w:sz w:val="24"/>
        </w:rPr>
        <w:t>2）基金管理人有责任控制交易对手的资信风险，按银行间债券市场的交易规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14:paraId="7BCD5F46">
      <w:pPr>
        <w:autoSpaceDE w:val="0"/>
        <w:autoSpaceDN w:val="0"/>
        <w:adjustRightInd w:val="0"/>
        <w:snapToGrid w:val="0"/>
        <w:spacing w:line="360" w:lineRule="auto"/>
        <w:ind w:firstLine="480" w:firstLineChars="200"/>
        <w:jc w:val="left"/>
        <w:rPr>
          <w:sz w:val="24"/>
        </w:rPr>
      </w:pPr>
      <w:r>
        <w:rPr>
          <w:rFonts w:hint="eastAsia"/>
          <w:sz w:val="24"/>
        </w:rPr>
        <w:t>（6）基金托管人对基金投资流通受限证券的监督</w:t>
      </w:r>
    </w:p>
    <w:p w14:paraId="48E3EFF9">
      <w:pPr>
        <w:autoSpaceDE w:val="0"/>
        <w:autoSpaceDN w:val="0"/>
        <w:adjustRightInd w:val="0"/>
        <w:snapToGrid w:val="0"/>
        <w:spacing w:line="360" w:lineRule="auto"/>
        <w:ind w:firstLine="480" w:firstLineChars="200"/>
        <w:jc w:val="left"/>
        <w:rPr>
          <w:sz w:val="24"/>
        </w:rPr>
      </w:pPr>
      <w:r>
        <w:rPr>
          <w:rFonts w:hint="eastAsia"/>
          <w:sz w:val="24"/>
        </w:rPr>
        <w:t>1）基金投资流通受限证券，应遵守有关法律法规规定。流通受限证券包括由相关法律法规规范的在发行时明确一定期限锁定期的可交易证券，不包括由于发布重大消息或其他原因而临时停牌的证券、已发行未上市证券、回购交易中的质押券等流通受限证券。</w:t>
      </w:r>
    </w:p>
    <w:p w14:paraId="06E0569B">
      <w:pPr>
        <w:autoSpaceDE w:val="0"/>
        <w:autoSpaceDN w:val="0"/>
        <w:adjustRightInd w:val="0"/>
        <w:snapToGrid w:val="0"/>
        <w:spacing w:line="360" w:lineRule="auto"/>
        <w:ind w:firstLine="480" w:firstLineChars="200"/>
        <w:jc w:val="left"/>
        <w:rPr>
          <w:sz w:val="24"/>
        </w:rPr>
      </w:pPr>
      <w:r>
        <w:rPr>
          <w:rFonts w:hint="eastAsia"/>
          <w:sz w:val="24"/>
        </w:rPr>
        <w:t>2）基金管理人应在基金首次投资流通受限证券前，向基金托管人提供经基金管理人董事会批准的有关基金投资流通受限证券的投资决策流程、风险控制制度。上述资料应包括但不限于基金投资流通受限证券的投资额度和投资比例控制情况。</w:t>
      </w:r>
    </w:p>
    <w:p w14:paraId="0F085514">
      <w:pPr>
        <w:autoSpaceDE w:val="0"/>
        <w:autoSpaceDN w:val="0"/>
        <w:adjustRightInd w:val="0"/>
        <w:snapToGrid w:val="0"/>
        <w:spacing w:line="360" w:lineRule="auto"/>
        <w:ind w:firstLine="480" w:firstLineChars="200"/>
        <w:jc w:val="left"/>
        <w:rPr>
          <w:sz w:val="24"/>
        </w:rPr>
      </w:pPr>
      <w:r>
        <w:rPr>
          <w:rFonts w:hint="eastAsia"/>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02CE82C9">
      <w:pPr>
        <w:autoSpaceDE w:val="0"/>
        <w:autoSpaceDN w:val="0"/>
        <w:adjustRightInd w:val="0"/>
        <w:snapToGrid w:val="0"/>
        <w:spacing w:line="360" w:lineRule="auto"/>
        <w:ind w:firstLine="480" w:firstLineChars="200"/>
        <w:jc w:val="left"/>
        <w:rPr>
          <w:sz w:val="24"/>
        </w:rPr>
      </w:pPr>
      <w:r>
        <w:rPr>
          <w:rFonts w:hint="eastAsia"/>
          <w:sz w:val="24"/>
        </w:rPr>
        <w:t>3）基金投资非公开发行股票前，基金管理人应向基金托管人提供符合法律法规要求的有关必要书面信息。基金管理人应保证上述信息的真实、完整，并应至少于拟执行投资指令前将上述信息书面发至基金托管人。</w:t>
      </w:r>
    </w:p>
    <w:p w14:paraId="5847E9FE">
      <w:pPr>
        <w:autoSpaceDE w:val="0"/>
        <w:autoSpaceDN w:val="0"/>
        <w:adjustRightInd w:val="0"/>
        <w:snapToGrid w:val="0"/>
        <w:spacing w:line="360" w:lineRule="auto"/>
        <w:ind w:firstLine="480" w:firstLineChars="200"/>
        <w:jc w:val="left"/>
        <w:rPr>
          <w:sz w:val="24"/>
        </w:rPr>
      </w:pPr>
      <w:r>
        <w:rPr>
          <w:rFonts w:hint="eastAsia"/>
          <w:sz w:val="24"/>
        </w:rPr>
        <w:t>4）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并报告中国证监会。因拒绝执行该指令造成基金财产损失的，基金托管人不承担相应责任，但基金托管人未经提前告知基金管理人于合理时间内提供说明的除外。</w:t>
      </w:r>
    </w:p>
    <w:p w14:paraId="0E82150E">
      <w:pPr>
        <w:autoSpaceDE w:val="0"/>
        <w:autoSpaceDN w:val="0"/>
        <w:adjustRightInd w:val="0"/>
        <w:snapToGrid w:val="0"/>
        <w:spacing w:line="360" w:lineRule="auto"/>
        <w:ind w:firstLine="480" w:firstLineChars="200"/>
        <w:jc w:val="left"/>
        <w:rPr>
          <w:sz w:val="24"/>
        </w:rPr>
      </w:pPr>
      <w:r>
        <w:rPr>
          <w:rFonts w:hint="eastAsia"/>
          <w:sz w:val="24"/>
        </w:rPr>
        <w:t>如基金管理人和基金托管人无法达成一致，应及时上报中国证监会请求解决。</w:t>
      </w:r>
    </w:p>
    <w:p w14:paraId="76BCE8DA">
      <w:pPr>
        <w:autoSpaceDE w:val="0"/>
        <w:autoSpaceDN w:val="0"/>
        <w:adjustRightInd w:val="0"/>
        <w:snapToGrid w:val="0"/>
        <w:spacing w:line="360" w:lineRule="auto"/>
        <w:ind w:firstLine="480" w:firstLineChars="200"/>
        <w:jc w:val="left"/>
        <w:rPr>
          <w:sz w:val="24"/>
        </w:rPr>
      </w:pPr>
      <w:r>
        <w:rPr>
          <w:rFonts w:hint="eastAsia"/>
          <w:sz w:val="24"/>
        </w:rPr>
        <w:t>（7）基金托管人根据有关法律法规的规定及基金合同的约定，对基金管理人选择存款银行进行监督。</w:t>
      </w:r>
    </w:p>
    <w:p w14:paraId="4AAB029E">
      <w:pPr>
        <w:autoSpaceDE w:val="0"/>
        <w:autoSpaceDN w:val="0"/>
        <w:adjustRightInd w:val="0"/>
        <w:snapToGrid w:val="0"/>
        <w:spacing w:line="360" w:lineRule="auto"/>
        <w:ind w:firstLine="480" w:firstLineChars="200"/>
        <w:jc w:val="left"/>
        <w:rPr>
          <w:sz w:val="24"/>
        </w:rPr>
      </w:pPr>
      <w:r>
        <w:rPr>
          <w:rFonts w:hint="eastAsia"/>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4A974507">
      <w:pPr>
        <w:autoSpaceDE w:val="0"/>
        <w:autoSpaceDN w:val="0"/>
        <w:adjustRightInd w:val="0"/>
        <w:snapToGrid w:val="0"/>
        <w:spacing w:line="360" w:lineRule="auto"/>
        <w:ind w:firstLine="480" w:firstLineChars="200"/>
        <w:jc w:val="left"/>
        <w:rPr>
          <w:sz w:val="24"/>
        </w:rPr>
      </w:pPr>
      <w:r>
        <w:rPr>
          <w:rFonts w:hint="eastAsia"/>
          <w:sz w:val="24"/>
        </w:rPr>
        <w:t>本基金投资银行存款应符合如下规定：</w:t>
      </w:r>
    </w:p>
    <w:p w14:paraId="746442A7">
      <w:pPr>
        <w:autoSpaceDE w:val="0"/>
        <w:autoSpaceDN w:val="0"/>
        <w:adjustRightInd w:val="0"/>
        <w:snapToGrid w:val="0"/>
        <w:spacing w:line="360" w:lineRule="auto"/>
        <w:ind w:firstLine="480" w:firstLineChars="200"/>
        <w:jc w:val="left"/>
        <w:rPr>
          <w:sz w:val="24"/>
        </w:rPr>
      </w:pPr>
      <w:r>
        <w:rPr>
          <w:rFonts w:hint="eastAsia"/>
          <w:sz w:val="24"/>
        </w:rPr>
        <w:t>1）基金管理人、基金托管人应当与存款银行建立定期对账机制，确保基金银行存款业务账目及核算的真实、准确。</w:t>
      </w:r>
    </w:p>
    <w:p w14:paraId="06280796">
      <w:pPr>
        <w:autoSpaceDE w:val="0"/>
        <w:autoSpaceDN w:val="0"/>
        <w:adjustRightInd w:val="0"/>
        <w:snapToGrid w:val="0"/>
        <w:spacing w:line="360" w:lineRule="auto"/>
        <w:ind w:firstLine="480" w:firstLineChars="200"/>
        <w:jc w:val="left"/>
        <w:rPr>
          <w:sz w:val="24"/>
        </w:rPr>
      </w:pPr>
      <w:r>
        <w:rPr>
          <w:rFonts w:hint="eastAsia"/>
          <w:sz w:val="24"/>
        </w:rPr>
        <w:t>2）基金托管人应加强对基金银行存款业务的监督与核查，严格审查、复核相关协议、账户资料、投资指令、存款证实书等有关文件，切实履行托管职责。</w:t>
      </w:r>
    </w:p>
    <w:p w14:paraId="5DB0890B">
      <w:pPr>
        <w:autoSpaceDE w:val="0"/>
        <w:autoSpaceDN w:val="0"/>
        <w:adjustRightInd w:val="0"/>
        <w:snapToGrid w:val="0"/>
        <w:spacing w:line="360" w:lineRule="auto"/>
        <w:ind w:firstLine="480" w:firstLineChars="200"/>
        <w:jc w:val="left"/>
        <w:rPr>
          <w:sz w:val="24"/>
        </w:rPr>
      </w:pPr>
      <w:r>
        <w:rPr>
          <w:rFonts w:hint="eastAsia"/>
          <w:sz w:val="24"/>
        </w:rPr>
        <w:t>3）基金管理人与基金托管人在开展基金存款业务时，应严格遵守《基金法》、《运作办法》等有关法律法规，以及国家有关账户管理、利率管理、支付结算等的各项规定。</w:t>
      </w:r>
    </w:p>
    <w:p w14:paraId="5DDB04C9">
      <w:pPr>
        <w:autoSpaceDE w:val="0"/>
        <w:autoSpaceDN w:val="0"/>
        <w:adjustRightInd w:val="0"/>
        <w:snapToGrid w:val="0"/>
        <w:spacing w:line="360" w:lineRule="auto"/>
        <w:ind w:firstLine="480" w:firstLineChars="200"/>
        <w:jc w:val="left"/>
        <w:rPr>
          <w:sz w:val="24"/>
        </w:rPr>
      </w:pPr>
      <w:r>
        <w:rPr>
          <w:rFonts w:hint="eastAsia"/>
          <w:sz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及时将新名单发送给基金托管人。</w:t>
      </w:r>
    </w:p>
    <w:p w14:paraId="5B6CDD30">
      <w:pPr>
        <w:autoSpaceDE w:val="0"/>
        <w:autoSpaceDN w:val="0"/>
        <w:adjustRightInd w:val="0"/>
        <w:snapToGrid w:val="0"/>
        <w:spacing w:line="360" w:lineRule="auto"/>
        <w:ind w:firstLine="480" w:firstLineChars="200"/>
        <w:jc w:val="left"/>
        <w:rPr>
          <w:sz w:val="24"/>
        </w:rPr>
      </w:pPr>
      <w:r>
        <w:rPr>
          <w:rFonts w:hint="eastAsia"/>
          <w:sz w:val="24"/>
        </w:rPr>
        <w:t>（8）基金托管人应当依照法律法规和基金合同约定，加强对侧袋机制启用、特定资产处置和信息披露等方面的复核和监督。</w:t>
      </w:r>
    </w:p>
    <w:p w14:paraId="0F0EE6E1">
      <w:pPr>
        <w:autoSpaceDE w:val="0"/>
        <w:autoSpaceDN w:val="0"/>
        <w:adjustRightInd w:val="0"/>
        <w:snapToGrid w:val="0"/>
        <w:spacing w:line="360" w:lineRule="auto"/>
        <w:ind w:firstLine="480" w:firstLineChars="200"/>
        <w:jc w:val="left"/>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28A706A">
      <w:pPr>
        <w:autoSpaceDE w:val="0"/>
        <w:autoSpaceDN w:val="0"/>
        <w:adjustRightInd w:val="0"/>
        <w:snapToGrid w:val="0"/>
        <w:spacing w:line="360" w:lineRule="auto"/>
        <w:ind w:firstLine="480" w:firstLineChars="200"/>
        <w:jc w:val="left"/>
        <w:rPr>
          <w:sz w:val="24"/>
        </w:rPr>
      </w:pPr>
      <w:r>
        <w:rPr>
          <w:rFonts w:hint="eastAsia"/>
          <w:sz w:val="24"/>
        </w:rPr>
        <w:t>2、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7BA09A7A">
      <w:pPr>
        <w:autoSpaceDE w:val="0"/>
        <w:autoSpaceDN w:val="0"/>
        <w:adjustRightInd w:val="0"/>
        <w:snapToGrid w:val="0"/>
        <w:spacing w:line="360" w:lineRule="auto"/>
        <w:ind w:firstLine="480" w:firstLineChars="200"/>
        <w:jc w:val="left"/>
        <w:rPr>
          <w:sz w:val="24"/>
        </w:rPr>
      </w:pPr>
      <w:r>
        <w:rPr>
          <w:rFonts w:hint="eastAsia"/>
          <w:sz w:val="24"/>
        </w:rPr>
        <w:t>3、基金托管人发现基金管理人的投资运作及其他运作违反《基金法》、基金合同、本托管协议及其他有关规定时，应及时以书面形式通知基金管理人限期纠正，基金管理人收到通知后应及时核对，并以书面形式向基金托管人发出回函，进行解释或举证。</w:t>
      </w:r>
    </w:p>
    <w:p w14:paraId="2F85F992">
      <w:pPr>
        <w:autoSpaceDE w:val="0"/>
        <w:autoSpaceDN w:val="0"/>
        <w:adjustRightInd w:val="0"/>
        <w:snapToGrid w:val="0"/>
        <w:spacing w:line="360" w:lineRule="auto"/>
        <w:ind w:firstLine="480" w:firstLineChars="200"/>
        <w:jc w:val="left"/>
        <w:rPr>
          <w:sz w:val="24"/>
        </w:rPr>
      </w:pPr>
      <w:r>
        <w:rPr>
          <w:rFonts w:hint="eastAsia"/>
          <w:sz w:val="24"/>
        </w:rPr>
        <w:t>在限期内，基金托管人有权随时对通知事项进行复查，督促基金管理人改正。基金管理人对基金托管人通知的违规事项未能在限期内纠正的，基金托管人应报告中国证监会。</w:t>
      </w:r>
    </w:p>
    <w:p w14:paraId="6EBD03F6">
      <w:pPr>
        <w:autoSpaceDE w:val="0"/>
        <w:autoSpaceDN w:val="0"/>
        <w:adjustRightInd w:val="0"/>
        <w:snapToGrid w:val="0"/>
        <w:spacing w:line="360" w:lineRule="auto"/>
        <w:ind w:firstLine="480" w:firstLineChars="200"/>
        <w:jc w:val="left"/>
        <w:rPr>
          <w:sz w:val="24"/>
        </w:rPr>
      </w:pPr>
      <w:r>
        <w:rPr>
          <w:rFonts w:hint="eastAsia"/>
          <w:sz w:val="24"/>
        </w:rPr>
        <w:t>基金托管人发现基金管理人的投资指令违反有关法律法规规定或者违反基金合同约定的，应当拒绝执行，立即通知基金管理人。</w:t>
      </w:r>
    </w:p>
    <w:p w14:paraId="19AB3D5E">
      <w:pPr>
        <w:autoSpaceDE w:val="0"/>
        <w:autoSpaceDN w:val="0"/>
        <w:adjustRightInd w:val="0"/>
        <w:snapToGrid w:val="0"/>
        <w:spacing w:line="360" w:lineRule="auto"/>
        <w:ind w:firstLine="480" w:firstLineChars="200"/>
        <w:jc w:val="left"/>
        <w:rPr>
          <w:sz w:val="24"/>
        </w:rPr>
      </w:pPr>
      <w:r>
        <w:rPr>
          <w:rFonts w:hint="eastAsia"/>
          <w:sz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79B087CD">
      <w:pPr>
        <w:autoSpaceDE w:val="0"/>
        <w:autoSpaceDN w:val="0"/>
        <w:adjustRightInd w:val="0"/>
        <w:snapToGrid w:val="0"/>
        <w:spacing w:line="360" w:lineRule="auto"/>
        <w:ind w:firstLine="480" w:firstLineChars="200"/>
        <w:jc w:val="left"/>
        <w:rPr>
          <w:sz w:val="24"/>
        </w:rPr>
      </w:pPr>
      <w:r>
        <w:rPr>
          <w:rFonts w:hint="eastAsia"/>
          <w:sz w:val="24"/>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1BDB4077">
      <w:pPr>
        <w:autoSpaceDE w:val="0"/>
        <w:autoSpaceDN w:val="0"/>
        <w:adjustRightInd w:val="0"/>
        <w:snapToGrid w:val="0"/>
        <w:spacing w:line="360" w:lineRule="auto"/>
        <w:ind w:firstLine="480" w:firstLineChars="200"/>
        <w:jc w:val="left"/>
        <w:rPr>
          <w:sz w:val="24"/>
        </w:rPr>
      </w:pPr>
      <w:r>
        <w:rPr>
          <w:rFonts w:hint="eastAsia"/>
          <w:sz w:val="24"/>
        </w:rPr>
        <w:t>基金托管人发现基金管理人有重大违规行为，应立即报告中国证监会，同时通知基金管理人限期纠正。</w:t>
      </w:r>
    </w:p>
    <w:p w14:paraId="165EBB77">
      <w:pPr>
        <w:autoSpaceDE w:val="0"/>
        <w:autoSpaceDN w:val="0"/>
        <w:adjustRightInd w:val="0"/>
        <w:snapToGrid w:val="0"/>
        <w:spacing w:line="360" w:lineRule="auto"/>
        <w:ind w:firstLine="480" w:firstLineChars="200"/>
        <w:jc w:val="left"/>
        <w:rPr>
          <w:sz w:val="24"/>
        </w:rPr>
      </w:pPr>
      <w:r>
        <w:rPr>
          <w:rFonts w:hint="eastAsia"/>
          <w:sz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4C3FE495">
      <w:pPr>
        <w:autoSpaceDE w:val="0"/>
        <w:autoSpaceDN w:val="0"/>
        <w:adjustRightInd w:val="0"/>
        <w:snapToGrid w:val="0"/>
        <w:spacing w:line="360" w:lineRule="auto"/>
        <w:ind w:firstLine="480" w:firstLineChars="200"/>
        <w:jc w:val="left"/>
        <w:rPr>
          <w:sz w:val="24"/>
        </w:rPr>
      </w:pPr>
      <w:r>
        <w:rPr>
          <w:rFonts w:hint="eastAsia"/>
          <w:sz w:val="24"/>
        </w:rPr>
        <w:t>基金管理人应遵守中华人民共和国反洗钱法律法规，不参与涉嫌洗钱、恐怖融资、扩散融资等违法犯罪活动；基金管理人在法律法规规定的范围内，主动配合基金托管人客户身份识别与尽职调查，提供真实、准确、完整客户资料，遵守反洗钱与反恐怖融资相关管理规定。对具备合理理由怀疑涉嫌洗钱、恐怖融资的客户，基金托管人将按照中国人民银行反洗钱监管规定采取必要管控措施。</w:t>
      </w:r>
    </w:p>
    <w:p w14:paraId="09BAF00F">
      <w:pPr>
        <w:autoSpaceDE w:val="0"/>
        <w:autoSpaceDN w:val="0"/>
        <w:adjustRightInd w:val="0"/>
        <w:snapToGrid w:val="0"/>
        <w:spacing w:line="360" w:lineRule="auto"/>
        <w:ind w:firstLine="482" w:firstLineChars="200"/>
        <w:jc w:val="left"/>
        <w:rPr>
          <w:b/>
          <w:szCs w:val="24"/>
        </w:rPr>
      </w:pPr>
      <w:r>
        <w:rPr>
          <w:b/>
          <w:sz w:val="24"/>
        </w:rPr>
        <w:t>（三）基金管理人对基金托管人的业务核查</w:t>
      </w:r>
    </w:p>
    <w:p w14:paraId="6943E14D">
      <w:pPr>
        <w:autoSpaceDE w:val="0"/>
        <w:autoSpaceDN w:val="0"/>
        <w:adjustRightInd w:val="0"/>
        <w:snapToGrid w:val="0"/>
        <w:spacing w:line="360" w:lineRule="auto"/>
        <w:ind w:firstLine="480" w:firstLineChars="200"/>
        <w:jc w:val="left"/>
        <w:rPr>
          <w:sz w:val="24"/>
        </w:rPr>
      </w:pPr>
      <w:r>
        <w:rPr>
          <w:rFonts w:hint="eastAsia"/>
          <w:sz w:val="24"/>
        </w:rPr>
        <w:t>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760ABA1B">
      <w:pPr>
        <w:autoSpaceDE w:val="0"/>
        <w:autoSpaceDN w:val="0"/>
        <w:adjustRightInd w:val="0"/>
        <w:snapToGrid w:val="0"/>
        <w:spacing w:line="360" w:lineRule="auto"/>
        <w:ind w:firstLine="480" w:firstLineChars="200"/>
        <w:jc w:val="left"/>
        <w:rPr>
          <w:sz w:val="24"/>
        </w:rPr>
      </w:pPr>
      <w:r>
        <w:rPr>
          <w:rFonts w:hint="eastAsia"/>
          <w:sz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本基金、基金管理人因此所遭受的损失。</w:t>
      </w:r>
    </w:p>
    <w:p w14:paraId="69831B15">
      <w:pPr>
        <w:autoSpaceDE w:val="0"/>
        <w:autoSpaceDN w:val="0"/>
        <w:adjustRightInd w:val="0"/>
        <w:snapToGrid w:val="0"/>
        <w:spacing w:line="360" w:lineRule="auto"/>
        <w:ind w:firstLine="480" w:firstLineChars="200"/>
        <w:jc w:val="left"/>
        <w:rPr>
          <w:sz w:val="24"/>
        </w:rPr>
      </w:pPr>
      <w:r>
        <w:rPr>
          <w:rFonts w:hint="eastAsia"/>
          <w:sz w:val="24"/>
        </w:rPr>
        <w:t>基金管理人发现基金托管人有重大违规行为，应立即报告中国证监会和银行业监督管理机构，同时通知基金托管人限期纠正。</w:t>
      </w:r>
    </w:p>
    <w:p w14:paraId="5D49AEBC">
      <w:pPr>
        <w:autoSpaceDE w:val="0"/>
        <w:autoSpaceDN w:val="0"/>
        <w:adjustRightInd w:val="0"/>
        <w:snapToGrid w:val="0"/>
        <w:spacing w:line="360" w:lineRule="auto"/>
        <w:ind w:firstLine="480" w:firstLineChars="200"/>
        <w:jc w:val="left"/>
        <w:rPr>
          <w:sz w:val="24"/>
        </w:rPr>
      </w:pPr>
      <w:r>
        <w:rPr>
          <w:rFonts w:hint="eastAsia"/>
          <w:sz w:val="24"/>
        </w:rPr>
        <w:t>基金托管人应积极配合基金管理人的核查行为，包括但不限于：提交相关资料以供基金管理人核查基金财产的完整性和真实性，在规定时间内答复基金管理人并改正。</w:t>
      </w:r>
    </w:p>
    <w:p w14:paraId="056EC04F">
      <w:pPr>
        <w:autoSpaceDE w:val="0"/>
        <w:autoSpaceDN w:val="0"/>
        <w:adjustRightInd w:val="0"/>
        <w:snapToGrid w:val="0"/>
        <w:spacing w:line="360" w:lineRule="auto"/>
        <w:ind w:firstLine="480" w:firstLineChars="200"/>
        <w:jc w:val="left"/>
        <w:rPr>
          <w:sz w:val="24"/>
        </w:rPr>
      </w:pPr>
      <w:r>
        <w:rPr>
          <w:rFonts w:hint="eastAsia"/>
          <w:sz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4904131D">
      <w:pPr>
        <w:autoSpaceDE w:val="0"/>
        <w:autoSpaceDN w:val="0"/>
        <w:adjustRightInd w:val="0"/>
        <w:snapToGrid w:val="0"/>
        <w:spacing w:line="360" w:lineRule="auto"/>
        <w:ind w:firstLine="482" w:firstLineChars="200"/>
        <w:jc w:val="left"/>
        <w:rPr>
          <w:b/>
          <w:szCs w:val="24"/>
        </w:rPr>
      </w:pPr>
      <w:r>
        <w:rPr>
          <w:b/>
          <w:sz w:val="24"/>
        </w:rPr>
        <w:t>（四）基金财产的保管</w:t>
      </w:r>
    </w:p>
    <w:p w14:paraId="0005337E">
      <w:pPr>
        <w:autoSpaceDE w:val="0"/>
        <w:autoSpaceDN w:val="0"/>
        <w:adjustRightInd w:val="0"/>
        <w:snapToGrid w:val="0"/>
        <w:spacing w:line="360" w:lineRule="auto"/>
        <w:ind w:firstLine="480" w:firstLineChars="200"/>
        <w:jc w:val="left"/>
        <w:rPr>
          <w:sz w:val="24"/>
        </w:rPr>
      </w:pPr>
      <w:r>
        <w:rPr>
          <w:rFonts w:hint="eastAsia"/>
          <w:sz w:val="24"/>
        </w:rPr>
        <w:t>1、基金财产保管的原则</w:t>
      </w:r>
    </w:p>
    <w:p w14:paraId="68829271">
      <w:pPr>
        <w:autoSpaceDE w:val="0"/>
        <w:autoSpaceDN w:val="0"/>
        <w:adjustRightInd w:val="0"/>
        <w:snapToGrid w:val="0"/>
        <w:spacing w:line="360" w:lineRule="auto"/>
        <w:ind w:firstLine="480" w:firstLineChars="200"/>
        <w:jc w:val="left"/>
        <w:rPr>
          <w:sz w:val="24"/>
        </w:rPr>
      </w:pPr>
      <w:r>
        <w:rPr>
          <w:rFonts w:hint="eastAsia"/>
          <w:sz w:val="24"/>
        </w:rPr>
        <w:t>（1）基金财产应独立于基金管理人、基金托管人的固有财产。</w:t>
      </w:r>
    </w:p>
    <w:p w14:paraId="2E9CABD1">
      <w:pPr>
        <w:autoSpaceDE w:val="0"/>
        <w:autoSpaceDN w:val="0"/>
        <w:adjustRightInd w:val="0"/>
        <w:snapToGrid w:val="0"/>
        <w:spacing w:line="360" w:lineRule="auto"/>
        <w:ind w:firstLine="480" w:firstLineChars="200"/>
        <w:jc w:val="left"/>
        <w:rPr>
          <w:sz w:val="24"/>
        </w:rPr>
      </w:pPr>
      <w:r>
        <w:rPr>
          <w:rFonts w:hint="eastAsia"/>
          <w:sz w:val="24"/>
        </w:rPr>
        <w:t>（2）基金托管人应安全保管基金财产。除依据法律法规规定、基金合同和本托管协议约定及基金管理人的正当指令外，不得自行运用、处分、分配基金的任何财产。</w:t>
      </w:r>
    </w:p>
    <w:p w14:paraId="4CA0DD9F">
      <w:pPr>
        <w:autoSpaceDE w:val="0"/>
        <w:autoSpaceDN w:val="0"/>
        <w:adjustRightInd w:val="0"/>
        <w:snapToGrid w:val="0"/>
        <w:spacing w:line="360" w:lineRule="auto"/>
        <w:ind w:firstLine="480" w:firstLineChars="200"/>
        <w:jc w:val="left"/>
        <w:rPr>
          <w:sz w:val="24"/>
        </w:rPr>
      </w:pPr>
      <w:r>
        <w:rPr>
          <w:rFonts w:hint="eastAsia"/>
          <w:sz w:val="24"/>
        </w:rPr>
        <w:t>（</w:t>
      </w:r>
      <w:r>
        <w:rPr>
          <w:sz w:val="24"/>
        </w:rPr>
        <w:t>3</w:t>
      </w:r>
      <w:r>
        <w:rPr>
          <w:rFonts w:hint="eastAsia"/>
          <w:sz w:val="24"/>
        </w:rPr>
        <w:t>）基金托管人按照规定开设基金财产的资金账户和证券账户等投资所需账户。</w:t>
      </w:r>
    </w:p>
    <w:p w14:paraId="56D7C400">
      <w:pPr>
        <w:autoSpaceDE w:val="0"/>
        <w:autoSpaceDN w:val="0"/>
        <w:adjustRightInd w:val="0"/>
        <w:snapToGrid w:val="0"/>
        <w:spacing w:line="360" w:lineRule="auto"/>
        <w:ind w:firstLine="480" w:firstLineChars="200"/>
        <w:jc w:val="left"/>
        <w:rPr>
          <w:sz w:val="24"/>
        </w:rPr>
      </w:pPr>
      <w:r>
        <w:rPr>
          <w:rFonts w:hint="eastAsia"/>
          <w:sz w:val="24"/>
        </w:rPr>
        <w:t>（</w:t>
      </w:r>
      <w:r>
        <w:rPr>
          <w:sz w:val="24"/>
        </w:rPr>
        <w:t>4</w:t>
      </w:r>
      <w:r>
        <w:rPr>
          <w:rFonts w:hint="eastAsia"/>
          <w:sz w:val="24"/>
        </w:rPr>
        <w:t>）基金托管人对所托管的不同基金财产分别设置账户，与基金托管人的其他业务和其他基金的托管业务实行严格的分账管理、独立核算，确保基金财产的完整与独立。</w:t>
      </w:r>
    </w:p>
    <w:p w14:paraId="12E8A95B">
      <w:pPr>
        <w:autoSpaceDE w:val="0"/>
        <w:autoSpaceDN w:val="0"/>
        <w:adjustRightInd w:val="0"/>
        <w:snapToGrid w:val="0"/>
        <w:spacing w:line="360" w:lineRule="auto"/>
        <w:ind w:firstLine="480" w:firstLineChars="200"/>
        <w:jc w:val="left"/>
        <w:rPr>
          <w:sz w:val="24"/>
        </w:rPr>
      </w:pPr>
      <w:r>
        <w:rPr>
          <w:rFonts w:hint="eastAsia"/>
          <w:sz w:val="24"/>
        </w:rPr>
        <w:t>（</w:t>
      </w:r>
      <w:r>
        <w:rPr>
          <w:sz w:val="24"/>
        </w:rPr>
        <w:t>5</w:t>
      </w:r>
      <w:r>
        <w:rPr>
          <w:rFonts w:hint="eastAsia"/>
          <w:sz w:val="24"/>
        </w:rPr>
        <w:t>）基金托管人根据基金管理人的指令，按照基金合同和本协议的约定保管基金财产，如有特殊情况双方可另行协商解决。</w:t>
      </w:r>
    </w:p>
    <w:p w14:paraId="30073355">
      <w:pPr>
        <w:autoSpaceDE w:val="0"/>
        <w:autoSpaceDN w:val="0"/>
        <w:adjustRightInd w:val="0"/>
        <w:snapToGrid w:val="0"/>
        <w:spacing w:line="360" w:lineRule="auto"/>
        <w:ind w:firstLine="480" w:firstLineChars="200"/>
        <w:jc w:val="left"/>
        <w:rPr>
          <w:sz w:val="24"/>
        </w:rPr>
      </w:pPr>
      <w:r>
        <w:rPr>
          <w:rFonts w:hint="eastAsia"/>
          <w:sz w:val="24"/>
        </w:rPr>
        <w:t>（</w:t>
      </w:r>
      <w:r>
        <w:rPr>
          <w:sz w:val="24"/>
        </w:rPr>
        <w:t>6</w:t>
      </w:r>
      <w:r>
        <w:rPr>
          <w:rFonts w:hint="eastAsia"/>
          <w:sz w:val="24"/>
        </w:rPr>
        <w:t>）除依据法律法规和基金合同的规定外，基金托管人不得委托第三人托管基金资产。</w:t>
      </w:r>
    </w:p>
    <w:p w14:paraId="3C5E5FB6">
      <w:pPr>
        <w:autoSpaceDE w:val="0"/>
        <w:autoSpaceDN w:val="0"/>
        <w:adjustRightInd w:val="0"/>
        <w:snapToGrid w:val="0"/>
        <w:spacing w:line="360" w:lineRule="auto"/>
        <w:ind w:firstLine="480" w:firstLineChars="200"/>
        <w:jc w:val="left"/>
        <w:rPr>
          <w:sz w:val="24"/>
        </w:rPr>
      </w:pPr>
      <w:r>
        <w:rPr>
          <w:rFonts w:hint="eastAsia"/>
          <w:sz w:val="24"/>
        </w:rPr>
        <w:t>2、募集资金的验资</w:t>
      </w:r>
    </w:p>
    <w:p w14:paraId="3AEE6B45">
      <w:pPr>
        <w:autoSpaceDE w:val="0"/>
        <w:autoSpaceDN w:val="0"/>
        <w:adjustRightInd w:val="0"/>
        <w:snapToGrid w:val="0"/>
        <w:spacing w:line="360" w:lineRule="auto"/>
        <w:ind w:firstLine="480" w:firstLineChars="200"/>
        <w:jc w:val="left"/>
        <w:rPr>
          <w:sz w:val="24"/>
        </w:rPr>
      </w:pPr>
      <w:r>
        <w:rPr>
          <w:rFonts w:hint="eastAsia"/>
          <w:sz w:val="24"/>
        </w:rPr>
        <w:t>基金募集期间募集认购款项应存于基金认购专用账户，该账户由基金管理人或基金管理人委托的登记机构开立并管理。</w:t>
      </w:r>
    </w:p>
    <w:p w14:paraId="0FCB36F3">
      <w:pPr>
        <w:autoSpaceDE w:val="0"/>
        <w:autoSpaceDN w:val="0"/>
        <w:adjustRightInd w:val="0"/>
        <w:snapToGrid w:val="0"/>
        <w:spacing w:line="360" w:lineRule="auto"/>
        <w:ind w:firstLine="480" w:firstLineChars="200"/>
        <w:jc w:val="left"/>
        <w:rPr>
          <w:sz w:val="24"/>
        </w:rPr>
      </w:pPr>
      <w:r>
        <w:rPr>
          <w:rFonts w:hint="eastAsia"/>
          <w:sz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基金托管账户中，基金托管人在收到资金当日出具确认文件。同时，基金管理人应聘请符合《中华人民共和国证券法》规定的会计师事务所进行验资，出具验资报告，出具的验资报告应由参加验资的2名以上（含2名）中国注册会计师签字有效。</w:t>
      </w:r>
    </w:p>
    <w:p w14:paraId="454435DE">
      <w:pPr>
        <w:autoSpaceDE w:val="0"/>
        <w:autoSpaceDN w:val="0"/>
        <w:adjustRightInd w:val="0"/>
        <w:snapToGrid w:val="0"/>
        <w:spacing w:line="360" w:lineRule="auto"/>
        <w:ind w:firstLine="480" w:firstLineChars="200"/>
        <w:jc w:val="left"/>
        <w:rPr>
          <w:sz w:val="24"/>
        </w:rPr>
      </w:pPr>
      <w:r>
        <w:rPr>
          <w:rFonts w:hint="eastAsia"/>
          <w:sz w:val="24"/>
        </w:rPr>
        <w:t>若基金募集期限届满，未能达到基金备案条件，由基金管理人按规定办理退款事宜，基金托管人应提供充分协助。</w:t>
      </w:r>
    </w:p>
    <w:p w14:paraId="5B53DE09">
      <w:pPr>
        <w:autoSpaceDE w:val="0"/>
        <w:autoSpaceDN w:val="0"/>
        <w:adjustRightInd w:val="0"/>
        <w:snapToGrid w:val="0"/>
        <w:spacing w:line="360" w:lineRule="auto"/>
        <w:ind w:firstLine="480" w:firstLineChars="200"/>
        <w:jc w:val="left"/>
        <w:rPr>
          <w:sz w:val="24"/>
        </w:rPr>
      </w:pPr>
      <w:r>
        <w:rPr>
          <w:rFonts w:hint="eastAsia"/>
          <w:sz w:val="24"/>
        </w:rPr>
        <w:t>3、基金的银行账户的开立和管理</w:t>
      </w:r>
    </w:p>
    <w:p w14:paraId="33D88719">
      <w:pPr>
        <w:autoSpaceDE w:val="0"/>
        <w:autoSpaceDN w:val="0"/>
        <w:adjustRightInd w:val="0"/>
        <w:snapToGrid w:val="0"/>
        <w:spacing w:line="360" w:lineRule="auto"/>
        <w:ind w:firstLine="480" w:firstLineChars="200"/>
        <w:jc w:val="left"/>
        <w:rPr>
          <w:sz w:val="24"/>
        </w:rPr>
      </w:pPr>
      <w:r>
        <w:rPr>
          <w:rFonts w:hint="eastAsia"/>
          <w:sz w:val="24"/>
        </w:rPr>
        <w:t>（1）基金托管人以本基金的名义在其营业机构开立基金的银行账户，并根据基金管理人合法合规的指令办理资金收付。本基金的银行预留印鉴由基金托管人刻制、保管和使用。</w:t>
      </w:r>
    </w:p>
    <w:p w14:paraId="245DA5A0">
      <w:pPr>
        <w:autoSpaceDE w:val="0"/>
        <w:autoSpaceDN w:val="0"/>
        <w:adjustRightInd w:val="0"/>
        <w:snapToGrid w:val="0"/>
        <w:spacing w:line="360" w:lineRule="auto"/>
        <w:ind w:firstLine="480" w:firstLineChars="200"/>
        <w:jc w:val="left"/>
        <w:rPr>
          <w:sz w:val="24"/>
        </w:rPr>
      </w:pPr>
      <w:r>
        <w:rPr>
          <w:rFonts w:hint="eastAsia"/>
          <w:sz w:val="24"/>
        </w:rPr>
        <w:t>（</w:t>
      </w:r>
      <w:r>
        <w:rPr>
          <w:sz w:val="24"/>
        </w:rPr>
        <w:t>2</w:t>
      </w:r>
      <w:r>
        <w:rPr>
          <w:rFonts w:hint="eastAsia"/>
          <w:sz w:val="24"/>
        </w:rPr>
        <w:t>）基金银行账户的开立和使用，限于满足开展本基金业务的需要。基金托管人和基金管理人不得假借本基金的名义开立任何其他银行账户；亦不得使用本基金的任何账户进行本基金业务以外的活动。</w:t>
      </w:r>
    </w:p>
    <w:p w14:paraId="22F1E5DE">
      <w:pPr>
        <w:autoSpaceDE w:val="0"/>
        <w:autoSpaceDN w:val="0"/>
        <w:adjustRightInd w:val="0"/>
        <w:snapToGrid w:val="0"/>
        <w:spacing w:line="360" w:lineRule="auto"/>
        <w:ind w:firstLine="480" w:firstLineChars="200"/>
        <w:jc w:val="left"/>
        <w:rPr>
          <w:sz w:val="24"/>
        </w:rPr>
      </w:pPr>
      <w:r>
        <w:rPr>
          <w:rFonts w:hint="eastAsia"/>
          <w:sz w:val="24"/>
        </w:rPr>
        <w:t>（</w:t>
      </w:r>
      <w:r>
        <w:rPr>
          <w:sz w:val="24"/>
        </w:rPr>
        <w:t>3</w:t>
      </w:r>
      <w:r>
        <w:rPr>
          <w:rFonts w:hint="eastAsia"/>
          <w:sz w:val="24"/>
        </w:rPr>
        <w:t>）基金银行账户的开立和管理应符合有关法律法规以及银行业监督管理机构的有关规定。</w:t>
      </w:r>
    </w:p>
    <w:p w14:paraId="6BEBB8AC">
      <w:pPr>
        <w:autoSpaceDE w:val="0"/>
        <w:autoSpaceDN w:val="0"/>
        <w:adjustRightInd w:val="0"/>
        <w:snapToGrid w:val="0"/>
        <w:spacing w:line="360" w:lineRule="auto"/>
        <w:ind w:firstLine="480" w:firstLineChars="200"/>
        <w:jc w:val="left"/>
        <w:rPr>
          <w:sz w:val="24"/>
        </w:rPr>
      </w:pPr>
      <w:r>
        <w:rPr>
          <w:rFonts w:hint="eastAsia"/>
          <w:sz w:val="24"/>
        </w:rPr>
        <w:t>4、基金证券账户与证券交易资金账户的开设和管理</w:t>
      </w:r>
    </w:p>
    <w:p w14:paraId="7848ED94">
      <w:pPr>
        <w:autoSpaceDE w:val="0"/>
        <w:autoSpaceDN w:val="0"/>
        <w:adjustRightInd w:val="0"/>
        <w:snapToGrid w:val="0"/>
        <w:spacing w:line="360" w:lineRule="auto"/>
        <w:ind w:firstLine="480" w:firstLineChars="200"/>
        <w:jc w:val="left"/>
        <w:rPr>
          <w:sz w:val="24"/>
        </w:rPr>
      </w:pPr>
      <w:r>
        <w:rPr>
          <w:rFonts w:hint="eastAsia"/>
          <w:sz w:val="24"/>
        </w:rPr>
        <w:t>基金托管人以基金托管人和本基金联名的方式在中国证券登记结算有限责任公司（以下简称“中登公司”）开设证券账户。</w:t>
      </w:r>
    </w:p>
    <w:p w14:paraId="49377F78">
      <w:pPr>
        <w:autoSpaceDE w:val="0"/>
        <w:autoSpaceDN w:val="0"/>
        <w:adjustRightInd w:val="0"/>
        <w:snapToGrid w:val="0"/>
        <w:spacing w:line="360" w:lineRule="auto"/>
        <w:ind w:firstLine="480" w:firstLineChars="200"/>
        <w:jc w:val="left"/>
        <w:rPr>
          <w:sz w:val="24"/>
        </w:rPr>
      </w:pPr>
      <w:r>
        <w:rPr>
          <w:rFonts w:hint="eastAsia"/>
          <w:sz w:val="24"/>
        </w:rPr>
        <w:t>基金托管人以基金托管人的名义在中登公司开立基金证券交易资金账户，用于证券清算。</w:t>
      </w:r>
    </w:p>
    <w:p w14:paraId="2C192ABB">
      <w:pPr>
        <w:autoSpaceDE w:val="0"/>
        <w:autoSpaceDN w:val="0"/>
        <w:adjustRightInd w:val="0"/>
        <w:snapToGrid w:val="0"/>
        <w:spacing w:line="360" w:lineRule="auto"/>
        <w:ind w:firstLine="480" w:firstLineChars="200"/>
        <w:jc w:val="left"/>
        <w:rPr>
          <w:sz w:val="24"/>
        </w:rPr>
      </w:pPr>
      <w:r>
        <w:rPr>
          <w:rFonts w:hint="eastAsia"/>
          <w:sz w:val="24"/>
        </w:rPr>
        <w:t>基金证券账户的开立和使用，限于满足开展本基金业务的需要。基金托管人和基金管理人不得出借和未经对方同意擅自转让本基金的任何证券账户和证券交易资金账户；亦不得使用本基金的任何账户进行本基金业务以外的活动。</w:t>
      </w:r>
    </w:p>
    <w:p w14:paraId="0B75698C">
      <w:pPr>
        <w:autoSpaceDE w:val="0"/>
        <w:autoSpaceDN w:val="0"/>
        <w:adjustRightInd w:val="0"/>
        <w:snapToGrid w:val="0"/>
        <w:spacing w:line="360" w:lineRule="auto"/>
        <w:ind w:firstLine="480" w:firstLineChars="200"/>
        <w:jc w:val="left"/>
        <w:rPr>
          <w:sz w:val="24"/>
        </w:rPr>
      </w:pPr>
      <w:r>
        <w:rPr>
          <w:rFonts w:hint="eastAsia"/>
          <w:sz w:val="24"/>
        </w:rPr>
        <w:t>5、债券托管账户的开立和管理</w:t>
      </w:r>
    </w:p>
    <w:p w14:paraId="552E8722">
      <w:pPr>
        <w:autoSpaceDE w:val="0"/>
        <w:autoSpaceDN w:val="0"/>
        <w:adjustRightInd w:val="0"/>
        <w:snapToGrid w:val="0"/>
        <w:spacing w:line="360" w:lineRule="auto"/>
        <w:ind w:firstLine="480" w:firstLineChars="200"/>
        <w:jc w:val="left"/>
        <w:rPr>
          <w:sz w:val="24"/>
        </w:rPr>
      </w:pPr>
      <w:r>
        <w:rPr>
          <w:rFonts w:hint="eastAsia"/>
          <w:sz w:val="24"/>
        </w:rPr>
        <w:t>（1）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账户，并由基金托管人负责本基金的债券的后台匹配及资金的清算。</w:t>
      </w:r>
    </w:p>
    <w:p w14:paraId="6B9C8713">
      <w:pPr>
        <w:autoSpaceDE w:val="0"/>
        <w:autoSpaceDN w:val="0"/>
        <w:adjustRightInd w:val="0"/>
        <w:snapToGrid w:val="0"/>
        <w:spacing w:line="360" w:lineRule="auto"/>
        <w:ind w:firstLine="480" w:firstLineChars="200"/>
        <w:jc w:val="left"/>
        <w:rPr>
          <w:sz w:val="24"/>
        </w:rPr>
      </w:pPr>
      <w:r>
        <w:rPr>
          <w:rFonts w:hint="eastAsia"/>
          <w:sz w:val="24"/>
        </w:rPr>
        <w:t>（</w:t>
      </w:r>
      <w:r>
        <w:rPr>
          <w:sz w:val="24"/>
        </w:rPr>
        <w:t>2</w:t>
      </w:r>
      <w:r>
        <w:rPr>
          <w:rFonts w:hint="eastAsia"/>
          <w:sz w:val="24"/>
        </w:rPr>
        <w:t>）基金管理人和基金托管人应一起负责为本基金对外签订全国银行间国债市场回购主协议，正本由基金托管人保管，基金管理人保存副本。</w:t>
      </w:r>
    </w:p>
    <w:p w14:paraId="659346EB">
      <w:pPr>
        <w:autoSpaceDE w:val="0"/>
        <w:autoSpaceDN w:val="0"/>
        <w:adjustRightInd w:val="0"/>
        <w:snapToGrid w:val="0"/>
        <w:spacing w:line="360" w:lineRule="auto"/>
        <w:ind w:firstLine="480" w:firstLineChars="200"/>
        <w:jc w:val="left"/>
        <w:rPr>
          <w:sz w:val="24"/>
        </w:rPr>
      </w:pPr>
      <w:r>
        <w:rPr>
          <w:rFonts w:hint="eastAsia"/>
          <w:sz w:val="24"/>
        </w:rPr>
        <w:t>6、其他账户的开设和管理</w:t>
      </w:r>
    </w:p>
    <w:p w14:paraId="49EF73F2">
      <w:pPr>
        <w:autoSpaceDE w:val="0"/>
        <w:autoSpaceDN w:val="0"/>
        <w:adjustRightInd w:val="0"/>
        <w:snapToGrid w:val="0"/>
        <w:spacing w:line="360" w:lineRule="auto"/>
        <w:ind w:firstLine="480" w:firstLineChars="200"/>
        <w:jc w:val="left"/>
        <w:rPr>
          <w:sz w:val="24"/>
        </w:rPr>
      </w:pPr>
      <w:r>
        <w:rPr>
          <w:rFonts w:hint="eastAsia"/>
          <w:sz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8689F3C">
      <w:pPr>
        <w:autoSpaceDE w:val="0"/>
        <w:autoSpaceDN w:val="0"/>
        <w:adjustRightInd w:val="0"/>
        <w:snapToGrid w:val="0"/>
        <w:spacing w:line="360" w:lineRule="auto"/>
        <w:ind w:firstLine="480" w:firstLineChars="200"/>
        <w:jc w:val="left"/>
        <w:rPr>
          <w:sz w:val="24"/>
        </w:rPr>
      </w:pPr>
      <w:r>
        <w:rPr>
          <w:rFonts w:hint="eastAsia"/>
          <w:sz w:val="24"/>
        </w:rPr>
        <w:t>7、基金财产投资的有关实物证券、银行定期存款存单等有价凭证的保管</w:t>
      </w:r>
    </w:p>
    <w:p w14:paraId="780DCC08">
      <w:pPr>
        <w:autoSpaceDE w:val="0"/>
        <w:autoSpaceDN w:val="0"/>
        <w:adjustRightInd w:val="0"/>
        <w:snapToGrid w:val="0"/>
        <w:spacing w:line="360" w:lineRule="auto"/>
        <w:ind w:firstLine="480" w:firstLineChars="200"/>
        <w:jc w:val="left"/>
        <w:rPr>
          <w:sz w:val="24"/>
        </w:rPr>
      </w:pPr>
      <w:r>
        <w:rPr>
          <w:rFonts w:hint="eastAsia"/>
          <w:sz w:val="24"/>
        </w:rPr>
        <w:t>基金财产投资的有关实物证券由基金托管人存放于基金托管人的保管库；其中实物证券也可存入中央国债登记结算有限责任公司或银行间市场清算所股份有限公司或中登公司或票据营业中心的代保管库。实物证券的购买和转让，由基金托管人根据基金管理人的指令办理。属于基金托管人控制下的实物证券等有价凭证在基金托管人保管期间的损坏、灭失，由此产生的责任应由基金托管人承担。基金托管人对基金托管人以外机构实际有效控制的证券不承担保管责任。</w:t>
      </w:r>
    </w:p>
    <w:p w14:paraId="7828D25A">
      <w:pPr>
        <w:autoSpaceDE w:val="0"/>
        <w:autoSpaceDN w:val="0"/>
        <w:adjustRightInd w:val="0"/>
        <w:snapToGrid w:val="0"/>
        <w:spacing w:line="360" w:lineRule="auto"/>
        <w:ind w:firstLine="480" w:firstLineChars="200"/>
        <w:jc w:val="left"/>
        <w:rPr>
          <w:sz w:val="24"/>
        </w:rPr>
      </w:pPr>
      <w:r>
        <w:rPr>
          <w:rFonts w:hint="eastAsia"/>
          <w:sz w:val="24"/>
        </w:rPr>
        <w:t>8、与基金财产有关的重大合同的保管</w:t>
      </w:r>
    </w:p>
    <w:p w14:paraId="3332A316">
      <w:pPr>
        <w:autoSpaceDE w:val="0"/>
        <w:autoSpaceDN w:val="0"/>
        <w:adjustRightInd w:val="0"/>
        <w:snapToGrid w:val="0"/>
        <w:spacing w:line="360" w:lineRule="auto"/>
        <w:ind w:firstLine="480" w:firstLineChars="200"/>
        <w:jc w:val="left"/>
        <w:rPr>
          <w:sz w:val="24"/>
        </w:rPr>
      </w:pPr>
      <w:r>
        <w:rPr>
          <w:rFonts w:hint="eastAsia"/>
          <w:sz w:val="24"/>
        </w:rPr>
        <w:t>与基金财产有关的重大合同的签署，由基金管理人负责。由基金管理人代表本基金签署的与本基金有关的重大合同的原件分别应由基金托管人、基金管理人保管。基金管理人在代表本基金签署与本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不低于法律法规规定的最低期限。对于无法取得二份以上的正本的，基金管理人应向基金托管人提供加盖授权业务章的合同传真件，未经双方协商或未在合同约定范围内，合同原件不得转移，由基金管理人保管。</w:t>
      </w:r>
    </w:p>
    <w:p w14:paraId="4717FA94">
      <w:pPr>
        <w:autoSpaceDE w:val="0"/>
        <w:autoSpaceDN w:val="0"/>
        <w:adjustRightInd w:val="0"/>
        <w:snapToGrid w:val="0"/>
        <w:spacing w:line="360" w:lineRule="auto"/>
        <w:ind w:firstLine="482" w:firstLineChars="200"/>
        <w:jc w:val="left"/>
        <w:rPr>
          <w:b/>
          <w:szCs w:val="24"/>
        </w:rPr>
      </w:pPr>
      <w:r>
        <w:rPr>
          <w:b/>
          <w:sz w:val="24"/>
        </w:rPr>
        <w:t>（五）基金资产净值</w:t>
      </w:r>
      <w:r>
        <w:rPr>
          <w:rFonts w:hint="eastAsia"/>
          <w:b/>
          <w:sz w:val="24"/>
        </w:rPr>
        <w:t>的</w:t>
      </w:r>
      <w:r>
        <w:rPr>
          <w:b/>
          <w:sz w:val="24"/>
        </w:rPr>
        <w:t>计算</w:t>
      </w:r>
      <w:r>
        <w:rPr>
          <w:rFonts w:hint="eastAsia"/>
          <w:b/>
          <w:sz w:val="24"/>
        </w:rPr>
        <w:t>及复核程序</w:t>
      </w:r>
    </w:p>
    <w:p w14:paraId="4BAA45EB">
      <w:pPr>
        <w:autoSpaceDE w:val="0"/>
        <w:autoSpaceDN w:val="0"/>
        <w:adjustRightInd w:val="0"/>
        <w:snapToGrid w:val="0"/>
        <w:spacing w:line="360" w:lineRule="auto"/>
        <w:ind w:firstLine="480" w:firstLineChars="200"/>
        <w:jc w:val="left"/>
        <w:rPr>
          <w:sz w:val="24"/>
        </w:rPr>
      </w:pPr>
      <w:r>
        <w:rPr>
          <w:rFonts w:hint="eastAsia"/>
          <w:sz w:val="24"/>
        </w:rPr>
        <w:t>1、基金资产净值的计算（1）基金资产净值的计算、复核的时间和程序</w:t>
      </w:r>
    </w:p>
    <w:p w14:paraId="000A1704">
      <w:pPr>
        <w:autoSpaceDE w:val="0"/>
        <w:autoSpaceDN w:val="0"/>
        <w:adjustRightInd w:val="0"/>
        <w:snapToGrid w:val="0"/>
        <w:spacing w:line="360" w:lineRule="auto"/>
        <w:ind w:firstLine="480" w:firstLineChars="200"/>
        <w:jc w:val="left"/>
        <w:rPr>
          <w:sz w:val="24"/>
        </w:rPr>
      </w:pPr>
      <w:r>
        <w:rPr>
          <w:rFonts w:hint="eastAsia"/>
          <w:sz w:val="24"/>
        </w:rPr>
        <w:t>基金资产净值是指基金资产总值减去基金负债后的价值。各类基金份额的基金份额净值是按照每个工作日闭市后，该类基金份额的基金资产净值除以当日该类基金份额的余额数量计算，均精确到0.0001元，小数点后第5位四舍五入。基金管理人可以设立大额赎回情形下的净值精度应急调整机制，具体可参见相关公告。国家另有规定的，从其规定。</w:t>
      </w:r>
    </w:p>
    <w:p w14:paraId="6D1128FD">
      <w:pPr>
        <w:autoSpaceDE w:val="0"/>
        <w:autoSpaceDN w:val="0"/>
        <w:adjustRightInd w:val="0"/>
        <w:snapToGrid w:val="0"/>
        <w:spacing w:line="360" w:lineRule="auto"/>
        <w:ind w:firstLine="480" w:firstLineChars="200"/>
        <w:jc w:val="left"/>
        <w:rPr>
          <w:sz w:val="24"/>
        </w:rPr>
      </w:pPr>
      <w:r>
        <w:rPr>
          <w:rFonts w:hint="eastAsia"/>
          <w:sz w:val="24"/>
        </w:rPr>
        <w:t>基金管理人应每个工作日对基金资产估值，但基金管理人根据法律法规或基金合同的规定暂停估值时除外。估值原则应符合基金合同及相关法律、法规的规定。基金资产净值和各类基金份额净值由基金管理人负责计算，基金托管人复核。基金管理人应于每个开放日交易结束后计算当日各类基金份额的基金份额净值并以双方认可的方式发送给基金托管人。基金托管人对净值计算结果复核后以双方认可的方式发送给基金管理人，由基金管理人依据基金合同和相关法律法规的规定对基金净值信息予以公布。月末、年中和年末估值复核与基金会计账目的核对同时进行。</w:t>
      </w:r>
    </w:p>
    <w:p w14:paraId="5E1EB17D">
      <w:pPr>
        <w:autoSpaceDE w:val="0"/>
        <w:autoSpaceDN w:val="0"/>
        <w:adjustRightInd w:val="0"/>
        <w:snapToGrid w:val="0"/>
        <w:spacing w:line="360" w:lineRule="auto"/>
        <w:ind w:firstLine="480" w:firstLineChars="200"/>
        <w:jc w:val="left"/>
        <w:rPr>
          <w:sz w:val="24"/>
        </w:rPr>
      </w:pPr>
      <w:r>
        <w:rPr>
          <w:rFonts w:hint="eastAsia"/>
          <w:sz w:val="24"/>
        </w:rPr>
        <w:t>根据《基金法》，基金管理人计算并公告基金资产净值，基金托管人复核、审查基金管理人计算的基金资产净值和各类基金份额净值。因此，本基金的会计责任方是基金管理人，就与本基金有关的会计问题，如经相关各方在平等基础上充分讨论后，仍无法达成一致的意见，按照基金管理人对基金净值信息的计算结果对外予以公布。</w:t>
      </w:r>
    </w:p>
    <w:p w14:paraId="0AE556CB">
      <w:pPr>
        <w:autoSpaceDE w:val="0"/>
        <w:autoSpaceDN w:val="0"/>
        <w:adjustRightInd w:val="0"/>
        <w:snapToGrid w:val="0"/>
        <w:spacing w:line="360" w:lineRule="auto"/>
        <w:ind w:firstLine="480" w:firstLineChars="200"/>
        <w:jc w:val="left"/>
        <w:rPr>
          <w:sz w:val="24"/>
        </w:rPr>
      </w:pPr>
      <w:r>
        <w:rPr>
          <w:rFonts w:hint="eastAsia"/>
          <w:sz w:val="24"/>
        </w:rPr>
        <w:t>2、基金资产估值方法</w:t>
      </w:r>
    </w:p>
    <w:p w14:paraId="79684C34">
      <w:pPr>
        <w:autoSpaceDE w:val="0"/>
        <w:autoSpaceDN w:val="0"/>
        <w:adjustRightInd w:val="0"/>
        <w:snapToGrid w:val="0"/>
        <w:spacing w:line="360" w:lineRule="auto"/>
        <w:ind w:firstLine="480" w:firstLineChars="200"/>
        <w:jc w:val="left"/>
        <w:rPr>
          <w:sz w:val="24"/>
        </w:rPr>
      </w:pPr>
      <w:r>
        <w:rPr>
          <w:rFonts w:hint="eastAsia"/>
          <w:sz w:val="24"/>
        </w:rPr>
        <w:t>（1）估值对象</w:t>
      </w:r>
    </w:p>
    <w:p w14:paraId="458E8DAB">
      <w:pPr>
        <w:autoSpaceDE w:val="0"/>
        <w:autoSpaceDN w:val="0"/>
        <w:adjustRightInd w:val="0"/>
        <w:snapToGrid w:val="0"/>
        <w:spacing w:line="360" w:lineRule="auto"/>
        <w:ind w:firstLine="480" w:firstLineChars="200"/>
        <w:jc w:val="left"/>
        <w:rPr>
          <w:sz w:val="24"/>
        </w:rPr>
      </w:pPr>
      <w:r>
        <w:rPr>
          <w:rFonts w:hint="eastAsia"/>
          <w:sz w:val="24"/>
        </w:rPr>
        <w:t>基金所拥有的股票、债券、资产支持证券、国债期货、证券投资基金份额和其他投资等持续以公允价值计量的金融资产及负债。</w:t>
      </w:r>
    </w:p>
    <w:p w14:paraId="669ED046">
      <w:pPr>
        <w:autoSpaceDE w:val="0"/>
        <w:autoSpaceDN w:val="0"/>
        <w:adjustRightInd w:val="0"/>
        <w:snapToGrid w:val="0"/>
        <w:spacing w:line="360" w:lineRule="auto"/>
        <w:ind w:firstLine="480" w:firstLineChars="200"/>
        <w:jc w:val="left"/>
        <w:rPr>
          <w:sz w:val="24"/>
        </w:rPr>
      </w:pPr>
      <w:r>
        <w:rPr>
          <w:rFonts w:hint="eastAsia"/>
          <w:sz w:val="24"/>
        </w:rPr>
        <w:t>（2）估值原则</w:t>
      </w:r>
    </w:p>
    <w:p w14:paraId="5DBD113A">
      <w:pPr>
        <w:autoSpaceDE w:val="0"/>
        <w:autoSpaceDN w:val="0"/>
        <w:adjustRightInd w:val="0"/>
        <w:snapToGrid w:val="0"/>
        <w:spacing w:line="360" w:lineRule="auto"/>
        <w:ind w:firstLine="480" w:firstLineChars="200"/>
        <w:jc w:val="left"/>
        <w:rPr>
          <w:sz w:val="24"/>
        </w:rPr>
      </w:pPr>
      <w:r>
        <w:rPr>
          <w:rFonts w:hint="eastAsia"/>
          <w:sz w:val="24"/>
        </w:rPr>
        <w:t>基金管理人在确定相关金融资产和金融负债的公允价值时，应符合《企业会计准则》、监管部门有关规定。</w:t>
      </w:r>
    </w:p>
    <w:p w14:paraId="6C0E34E5">
      <w:pPr>
        <w:autoSpaceDE w:val="0"/>
        <w:autoSpaceDN w:val="0"/>
        <w:adjustRightInd w:val="0"/>
        <w:snapToGrid w:val="0"/>
        <w:spacing w:line="360" w:lineRule="auto"/>
        <w:ind w:firstLine="480" w:firstLineChars="200"/>
        <w:jc w:val="left"/>
        <w:rPr>
          <w:sz w:val="24"/>
        </w:rPr>
      </w:pPr>
      <w:r>
        <w:rPr>
          <w:rFonts w:hint="eastAsia"/>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9A4E5BF">
      <w:pPr>
        <w:autoSpaceDE w:val="0"/>
        <w:autoSpaceDN w:val="0"/>
        <w:adjustRightInd w:val="0"/>
        <w:snapToGrid w:val="0"/>
        <w:spacing w:line="360" w:lineRule="auto"/>
        <w:ind w:firstLine="480" w:firstLineChars="200"/>
        <w:jc w:val="left"/>
        <w:rPr>
          <w:sz w:val="24"/>
        </w:rPr>
      </w:pPr>
      <w:r>
        <w:rPr>
          <w:rFonts w:hint="eastAsia"/>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95EE977">
      <w:pPr>
        <w:autoSpaceDE w:val="0"/>
        <w:autoSpaceDN w:val="0"/>
        <w:adjustRightInd w:val="0"/>
        <w:snapToGrid w:val="0"/>
        <w:spacing w:line="360" w:lineRule="auto"/>
        <w:ind w:firstLine="480" w:firstLineChars="200"/>
        <w:jc w:val="left"/>
        <w:rPr>
          <w:sz w:val="24"/>
        </w:rPr>
      </w:pPr>
      <w:r>
        <w:rPr>
          <w:rFonts w:hint="eastAsia"/>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51DA0B2">
      <w:pPr>
        <w:autoSpaceDE w:val="0"/>
        <w:autoSpaceDN w:val="0"/>
        <w:adjustRightInd w:val="0"/>
        <w:snapToGrid w:val="0"/>
        <w:spacing w:line="360" w:lineRule="auto"/>
        <w:ind w:firstLine="480" w:firstLineChars="200"/>
        <w:jc w:val="left"/>
        <w:rPr>
          <w:sz w:val="24"/>
        </w:rPr>
      </w:pPr>
      <w:r>
        <w:rPr>
          <w:rFonts w:hint="eastAsia"/>
          <w:sz w:val="24"/>
        </w:rPr>
        <w:t>3）如经济环境发生重大变化或证券发行人发生影响证券价格的重大事件，使潜在估值调整对前一估值日的基金资产净值的影响在0.25%以上的，应对估值进行调整并确定公允价值。</w:t>
      </w:r>
    </w:p>
    <w:p w14:paraId="3E14275F">
      <w:pPr>
        <w:autoSpaceDE w:val="0"/>
        <w:autoSpaceDN w:val="0"/>
        <w:adjustRightInd w:val="0"/>
        <w:snapToGrid w:val="0"/>
        <w:spacing w:line="360" w:lineRule="auto"/>
        <w:ind w:firstLine="480" w:firstLineChars="200"/>
        <w:jc w:val="left"/>
        <w:rPr>
          <w:sz w:val="24"/>
        </w:rPr>
      </w:pPr>
      <w:r>
        <w:rPr>
          <w:rFonts w:hint="eastAsia"/>
          <w:sz w:val="24"/>
        </w:rPr>
        <w:t>（</w:t>
      </w:r>
      <w:r>
        <w:rPr>
          <w:sz w:val="24"/>
        </w:rPr>
        <w:t>3</w:t>
      </w:r>
      <w:r>
        <w:rPr>
          <w:rFonts w:hint="eastAsia"/>
          <w:sz w:val="24"/>
        </w:rPr>
        <w:t>）估值方法</w:t>
      </w:r>
    </w:p>
    <w:p w14:paraId="102EFF10">
      <w:pPr>
        <w:autoSpaceDE w:val="0"/>
        <w:autoSpaceDN w:val="0"/>
        <w:adjustRightInd w:val="0"/>
        <w:snapToGrid w:val="0"/>
        <w:spacing w:line="360" w:lineRule="auto"/>
        <w:ind w:firstLine="480" w:firstLineChars="200"/>
        <w:jc w:val="left"/>
        <w:rPr>
          <w:sz w:val="24"/>
        </w:rPr>
      </w:pPr>
      <w:r>
        <w:rPr>
          <w:rFonts w:hint="eastAsia"/>
          <w:sz w:val="24"/>
        </w:rPr>
        <w:t>1）证券投资基金的估值</w:t>
      </w:r>
    </w:p>
    <w:p w14:paraId="3069E1C6">
      <w:pPr>
        <w:autoSpaceDE w:val="0"/>
        <w:autoSpaceDN w:val="0"/>
        <w:adjustRightInd w:val="0"/>
        <w:snapToGrid w:val="0"/>
        <w:spacing w:line="360" w:lineRule="auto"/>
        <w:ind w:firstLine="480" w:firstLineChars="200"/>
        <w:jc w:val="left"/>
        <w:rPr>
          <w:sz w:val="24"/>
        </w:rPr>
      </w:pPr>
      <w:r>
        <w:rPr>
          <w:rFonts w:hint="eastAsia"/>
          <w:sz w:val="24"/>
        </w:rPr>
        <w:t>①本基金投资于境内非上市的非货币市场基金，按所投资基金估值日的份额净值进行估值；</w:t>
      </w:r>
    </w:p>
    <w:p w14:paraId="70320BF2">
      <w:pPr>
        <w:autoSpaceDE w:val="0"/>
        <w:autoSpaceDN w:val="0"/>
        <w:adjustRightInd w:val="0"/>
        <w:snapToGrid w:val="0"/>
        <w:spacing w:line="360" w:lineRule="auto"/>
        <w:ind w:firstLine="480" w:firstLineChars="200"/>
        <w:jc w:val="left"/>
        <w:rPr>
          <w:sz w:val="24"/>
        </w:rPr>
      </w:pPr>
      <w:r>
        <w:rPr>
          <w:rFonts w:hint="eastAsia"/>
          <w:sz w:val="24"/>
        </w:rPr>
        <w:t>②本基金投资的境内ETF基金，按所投资ETF基金估值日的收盘价进行估值；</w:t>
      </w:r>
    </w:p>
    <w:p w14:paraId="02EA64A1">
      <w:pPr>
        <w:autoSpaceDE w:val="0"/>
        <w:autoSpaceDN w:val="0"/>
        <w:adjustRightInd w:val="0"/>
        <w:snapToGrid w:val="0"/>
        <w:spacing w:line="360" w:lineRule="auto"/>
        <w:ind w:firstLine="480" w:firstLineChars="200"/>
        <w:jc w:val="left"/>
        <w:rPr>
          <w:sz w:val="24"/>
        </w:rPr>
      </w:pPr>
      <w:r>
        <w:rPr>
          <w:rFonts w:hint="eastAsia"/>
          <w:sz w:val="24"/>
        </w:rPr>
        <w:t>③本基金投资的境内上市开放式基金（LOF），按所投资基金估值日的份额净值估值；</w:t>
      </w:r>
    </w:p>
    <w:p w14:paraId="7D9C0DBA">
      <w:pPr>
        <w:autoSpaceDE w:val="0"/>
        <w:autoSpaceDN w:val="0"/>
        <w:adjustRightInd w:val="0"/>
        <w:snapToGrid w:val="0"/>
        <w:spacing w:line="360" w:lineRule="auto"/>
        <w:ind w:firstLine="480" w:firstLineChars="200"/>
        <w:jc w:val="left"/>
        <w:rPr>
          <w:sz w:val="24"/>
        </w:rPr>
      </w:pPr>
      <w:r>
        <w:rPr>
          <w:rFonts w:hint="eastAsia"/>
          <w:sz w:val="24"/>
        </w:rPr>
        <w:t>④本基金投资的境内上市定期开放式基金、封闭式基金，按所投资基金估值日的收盘价估值；</w:t>
      </w:r>
    </w:p>
    <w:p w14:paraId="442CFB79">
      <w:pPr>
        <w:autoSpaceDE w:val="0"/>
        <w:autoSpaceDN w:val="0"/>
        <w:adjustRightInd w:val="0"/>
        <w:snapToGrid w:val="0"/>
        <w:spacing w:line="360" w:lineRule="auto"/>
        <w:ind w:firstLine="480" w:firstLineChars="200"/>
        <w:jc w:val="left"/>
        <w:rPr>
          <w:sz w:val="24"/>
        </w:rPr>
      </w:pPr>
      <w:r>
        <w:rPr>
          <w:rFonts w:hint="eastAsia"/>
          <w:sz w:val="24"/>
        </w:rPr>
        <w:t>⑤如遇所投资基金不公布基金份额净值、进行折算或拆分、估值日无交易等特殊情况，基金管理人根据以下原则进行估值：</w:t>
      </w:r>
    </w:p>
    <w:p w14:paraId="6B793300">
      <w:pPr>
        <w:autoSpaceDE w:val="0"/>
        <w:autoSpaceDN w:val="0"/>
        <w:adjustRightInd w:val="0"/>
        <w:snapToGrid w:val="0"/>
        <w:spacing w:line="360" w:lineRule="auto"/>
        <w:ind w:firstLine="480" w:firstLineChars="200"/>
        <w:jc w:val="left"/>
        <w:rPr>
          <w:sz w:val="24"/>
        </w:rPr>
      </w:pPr>
      <w:r>
        <w:rPr>
          <w:rFonts w:hint="eastAsia"/>
          <w:sz w:val="24"/>
        </w:rPr>
        <w:t>以所投资基金的基金份额净值估值的，若所投资基金与本基金估值频率一致但未公布估值日基金份额净值，以其最近公布的基金份额净值估值；</w:t>
      </w:r>
    </w:p>
    <w:p w14:paraId="44CA67C0">
      <w:pPr>
        <w:autoSpaceDE w:val="0"/>
        <w:autoSpaceDN w:val="0"/>
        <w:adjustRightInd w:val="0"/>
        <w:snapToGrid w:val="0"/>
        <w:spacing w:line="360" w:lineRule="auto"/>
        <w:ind w:firstLine="480" w:firstLineChars="200"/>
        <w:jc w:val="left"/>
        <w:rPr>
          <w:sz w:val="24"/>
        </w:rPr>
      </w:pPr>
      <w:r>
        <w:rPr>
          <w:rFonts w:hint="eastAsia"/>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50587483">
      <w:pPr>
        <w:autoSpaceDE w:val="0"/>
        <w:autoSpaceDN w:val="0"/>
        <w:adjustRightInd w:val="0"/>
        <w:snapToGrid w:val="0"/>
        <w:spacing w:line="360" w:lineRule="auto"/>
        <w:ind w:firstLine="480" w:firstLineChars="200"/>
        <w:jc w:val="left"/>
        <w:rPr>
          <w:sz w:val="24"/>
        </w:rPr>
      </w:pPr>
      <w:r>
        <w:rPr>
          <w:rFonts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14:paraId="181CD247">
      <w:pPr>
        <w:autoSpaceDE w:val="0"/>
        <w:autoSpaceDN w:val="0"/>
        <w:adjustRightInd w:val="0"/>
        <w:snapToGrid w:val="0"/>
        <w:spacing w:line="360" w:lineRule="auto"/>
        <w:ind w:firstLine="480" w:firstLineChars="200"/>
        <w:jc w:val="left"/>
        <w:rPr>
          <w:sz w:val="24"/>
        </w:rPr>
      </w:pPr>
      <w:r>
        <w:rPr>
          <w:rFonts w:hint="eastAsia"/>
          <w:sz w:val="24"/>
        </w:rPr>
        <w:t>⑥当基金管理人认为所投资基金按上述第①至第⑤条进行估值存在不公允时，应与基金托管人协商一致采用合理的估值技术或估值标准确定其公允价值。</w:t>
      </w:r>
    </w:p>
    <w:p w14:paraId="03E56385">
      <w:pPr>
        <w:autoSpaceDE w:val="0"/>
        <w:autoSpaceDN w:val="0"/>
        <w:adjustRightInd w:val="0"/>
        <w:snapToGrid w:val="0"/>
        <w:spacing w:line="360" w:lineRule="auto"/>
        <w:ind w:firstLine="480" w:firstLineChars="200"/>
        <w:jc w:val="left"/>
        <w:rPr>
          <w:sz w:val="24"/>
        </w:rPr>
      </w:pPr>
      <w:r>
        <w:rPr>
          <w:rFonts w:hint="eastAsia"/>
          <w:sz w:val="24"/>
        </w:rPr>
        <w:t>2）证券交易所上市的有价证券的估值</w:t>
      </w:r>
    </w:p>
    <w:p w14:paraId="0B0411F7">
      <w:pPr>
        <w:autoSpaceDE w:val="0"/>
        <w:autoSpaceDN w:val="0"/>
        <w:adjustRightInd w:val="0"/>
        <w:snapToGrid w:val="0"/>
        <w:spacing w:line="360" w:lineRule="auto"/>
        <w:ind w:firstLine="480" w:firstLineChars="200"/>
        <w:jc w:val="left"/>
        <w:rPr>
          <w:sz w:val="24"/>
        </w:rPr>
      </w:pPr>
      <w:r>
        <w:rPr>
          <w:rFonts w:hint="eastAsia"/>
          <w:sz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DF2EC8D">
      <w:pPr>
        <w:autoSpaceDE w:val="0"/>
        <w:autoSpaceDN w:val="0"/>
        <w:adjustRightInd w:val="0"/>
        <w:snapToGrid w:val="0"/>
        <w:spacing w:line="360" w:lineRule="auto"/>
        <w:ind w:firstLine="480" w:firstLineChars="200"/>
        <w:jc w:val="left"/>
        <w:rPr>
          <w:sz w:val="24"/>
        </w:rPr>
      </w:pPr>
      <w:r>
        <w:rPr>
          <w:rFonts w:hint="eastAsia"/>
          <w:sz w:val="24"/>
        </w:rPr>
        <w:t>②对于已上市或已挂牌转让的不含权固定收益品种（另有规定的除外），选取第三方估值基准服务机构提供的相应品种当日的估值全价进行估值。</w:t>
      </w:r>
    </w:p>
    <w:p w14:paraId="0F09926D">
      <w:pPr>
        <w:autoSpaceDE w:val="0"/>
        <w:autoSpaceDN w:val="0"/>
        <w:adjustRightInd w:val="0"/>
        <w:snapToGrid w:val="0"/>
        <w:spacing w:line="360" w:lineRule="auto"/>
        <w:ind w:firstLine="480" w:firstLineChars="200"/>
        <w:jc w:val="left"/>
        <w:rPr>
          <w:sz w:val="24"/>
        </w:rPr>
      </w:pPr>
      <w:r>
        <w:rPr>
          <w:rFonts w:hint="eastAsia"/>
          <w:sz w:val="24"/>
        </w:rPr>
        <w:t>③对于已上市或已挂牌转让的含权固定收益品种（另有规定的除外），选取第三方估值基准服务机构提供的相应品种当日的唯一估值全价或推荐估值全价进行估值。</w:t>
      </w:r>
    </w:p>
    <w:p w14:paraId="249F648A">
      <w:pPr>
        <w:autoSpaceDE w:val="0"/>
        <w:autoSpaceDN w:val="0"/>
        <w:adjustRightInd w:val="0"/>
        <w:snapToGrid w:val="0"/>
        <w:spacing w:line="360" w:lineRule="auto"/>
        <w:ind w:firstLine="480" w:firstLineChars="200"/>
        <w:jc w:val="left"/>
        <w:rPr>
          <w:sz w:val="24"/>
        </w:rPr>
      </w:pPr>
      <w:r>
        <w:rPr>
          <w:rFonts w:hint="eastAsia"/>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6907319">
      <w:pPr>
        <w:autoSpaceDE w:val="0"/>
        <w:autoSpaceDN w:val="0"/>
        <w:adjustRightInd w:val="0"/>
        <w:snapToGrid w:val="0"/>
        <w:spacing w:line="360" w:lineRule="auto"/>
        <w:ind w:firstLine="480" w:firstLineChars="200"/>
        <w:jc w:val="left"/>
        <w:rPr>
          <w:sz w:val="24"/>
        </w:rPr>
      </w:pPr>
      <w:r>
        <w:rPr>
          <w:rFonts w:hint="eastAsia"/>
          <w:sz w:val="24"/>
        </w:rPr>
        <w:t>④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001C509">
      <w:pPr>
        <w:autoSpaceDE w:val="0"/>
        <w:autoSpaceDN w:val="0"/>
        <w:adjustRightInd w:val="0"/>
        <w:snapToGrid w:val="0"/>
        <w:spacing w:line="360" w:lineRule="auto"/>
        <w:ind w:firstLine="480" w:firstLineChars="200"/>
        <w:jc w:val="left"/>
        <w:rPr>
          <w:sz w:val="24"/>
        </w:rPr>
      </w:pPr>
      <w:r>
        <w:rPr>
          <w:rFonts w:hint="eastAsia"/>
          <w:sz w:val="24"/>
        </w:rPr>
        <w:t>对于未上市或未挂牌转让且不存在活跃市场的固定收益品种，采用在当前情况下适用并且有足够可利用数据和其他信息支持的估值技术确定其公允价值。</w:t>
      </w:r>
    </w:p>
    <w:p w14:paraId="795AFF73">
      <w:pPr>
        <w:autoSpaceDE w:val="0"/>
        <w:autoSpaceDN w:val="0"/>
        <w:adjustRightInd w:val="0"/>
        <w:snapToGrid w:val="0"/>
        <w:spacing w:line="360" w:lineRule="auto"/>
        <w:ind w:firstLine="480" w:firstLineChars="200"/>
        <w:jc w:val="left"/>
        <w:rPr>
          <w:sz w:val="24"/>
        </w:rPr>
      </w:pPr>
      <w:r>
        <w:rPr>
          <w:rFonts w:hint="eastAsia"/>
          <w:sz w:val="24"/>
        </w:rPr>
        <w:t>3）处于未上市期间的有价证券应区分如下情况处理：</w:t>
      </w:r>
    </w:p>
    <w:p w14:paraId="1DCCD6A3">
      <w:pPr>
        <w:autoSpaceDE w:val="0"/>
        <w:autoSpaceDN w:val="0"/>
        <w:adjustRightInd w:val="0"/>
        <w:snapToGrid w:val="0"/>
        <w:spacing w:line="360" w:lineRule="auto"/>
        <w:ind w:firstLine="480" w:firstLineChars="200"/>
        <w:jc w:val="left"/>
        <w:rPr>
          <w:sz w:val="24"/>
        </w:rPr>
      </w:pPr>
      <w:r>
        <w:rPr>
          <w:rFonts w:hint="eastAsia"/>
          <w:sz w:val="24"/>
        </w:rPr>
        <w:t>①送股、转增股、配股和公开增发的新股，按估值日在证券交易所挂牌的同一股票的估值方法估值；该日无交易的，以最近一日的市价（收盘价）估值；</w:t>
      </w:r>
    </w:p>
    <w:p w14:paraId="7A071BC5">
      <w:pPr>
        <w:autoSpaceDE w:val="0"/>
        <w:autoSpaceDN w:val="0"/>
        <w:adjustRightInd w:val="0"/>
        <w:snapToGrid w:val="0"/>
        <w:spacing w:line="360" w:lineRule="auto"/>
        <w:ind w:firstLine="480" w:firstLineChars="200"/>
        <w:jc w:val="left"/>
        <w:rPr>
          <w:sz w:val="24"/>
        </w:rPr>
      </w:pPr>
      <w:r>
        <w:rPr>
          <w:rFonts w:hint="eastAsia"/>
          <w:sz w:val="24"/>
        </w:rPr>
        <w:t>②首次公开发行未上市的股票和债券，采用估值技术确定公允价值；</w:t>
      </w:r>
    </w:p>
    <w:p w14:paraId="4B60F0E6">
      <w:pPr>
        <w:autoSpaceDE w:val="0"/>
        <w:autoSpaceDN w:val="0"/>
        <w:adjustRightInd w:val="0"/>
        <w:snapToGrid w:val="0"/>
        <w:spacing w:line="360" w:lineRule="auto"/>
        <w:ind w:firstLine="480" w:firstLineChars="200"/>
        <w:jc w:val="left"/>
        <w:rPr>
          <w:sz w:val="24"/>
        </w:rPr>
      </w:pPr>
      <w:r>
        <w:rPr>
          <w:rFonts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E7D38A1">
      <w:pPr>
        <w:autoSpaceDE w:val="0"/>
        <w:autoSpaceDN w:val="0"/>
        <w:adjustRightInd w:val="0"/>
        <w:snapToGrid w:val="0"/>
        <w:spacing w:line="360" w:lineRule="auto"/>
        <w:ind w:firstLine="480" w:firstLineChars="200"/>
        <w:jc w:val="left"/>
        <w:rPr>
          <w:sz w:val="24"/>
        </w:rPr>
      </w:pPr>
      <w:r>
        <w:rPr>
          <w:rFonts w:hint="eastAsia"/>
          <w:sz w:val="24"/>
        </w:rPr>
        <w:t>4）同一证券同时在两个或两个以上市场交易的，按证券所处的市场分别估值。</w:t>
      </w:r>
    </w:p>
    <w:p w14:paraId="23115E5F">
      <w:pPr>
        <w:autoSpaceDE w:val="0"/>
        <w:autoSpaceDN w:val="0"/>
        <w:adjustRightInd w:val="0"/>
        <w:snapToGrid w:val="0"/>
        <w:spacing w:line="360" w:lineRule="auto"/>
        <w:ind w:firstLine="480" w:firstLineChars="200"/>
        <w:jc w:val="left"/>
        <w:rPr>
          <w:sz w:val="24"/>
        </w:rPr>
      </w:pPr>
      <w:r>
        <w:rPr>
          <w:rFonts w:hint="eastAsia"/>
          <w:sz w:val="24"/>
        </w:rPr>
        <w:t>5）估值计算中涉及港币对人民币汇率的，将依据下列信息提供机构所提供的汇率为基准：当日中国人民银行或其授权机构公布的人民币与港币的中间价。</w:t>
      </w:r>
    </w:p>
    <w:p w14:paraId="4DF003E5">
      <w:pPr>
        <w:autoSpaceDE w:val="0"/>
        <w:autoSpaceDN w:val="0"/>
        <w:adjustRightInd w:val="0"/>
        <w:snapToGrid w:val="0"/>
        <w:spacing w:line="360" w:lineRule="auto"/>
        <w:ind w:firstLine="480" w:firstLineChars="200"/>
        <w:jc w:val="left"/>
        <w:rPr>
          <w:sz w:val="24"/>
        </w:rPr>
      </w:pPr>
      <w:r>
        <w:rPr>
          <w:rFonts w:hint="eastAsia"/>
          <w:sz w:val="24"/>
        </w:rPr>
        <w:t>6）本基金投资存托凭证的估值核算依照境内上市交易的股票执行。</w:t>
      </w:r>
    </w:p>
    <w:p w14:paraId="07450E80">
      <w:pPr>
        <w:autoSpaceDE w:val="0"/>
        <w:autoSpaceDN w:val="0"/>
        <w:adjustRightInd w:val="0"/>
        <w:snapToGrid w:val="0"/>
        <w:spacing w:line="360" w:lineRule="auto"/>
        <w:ind w:firstLine="480" w:firstLineChars="200"/>
        <w:jc w:val="left"/>
        <w:rPr>
          <w:sz w:val="24"/>
        </w:rPr>
      </w:pPr>
      <w:r>
        <w:rPr>
          <w:rFonts w:hint="eastAsia"/>
          <w:sz w:val="24"/>
        </w:rPr>
        <w:t>7）本基金投资国债期货合约，一般以估值当日结算价进行估值，估值当日无结算价的，且最近交易日后经济环境未发生重大变化的，采用最近交易日结算价估值。</w:t>
      </w:r>
    </w:p>
    <w:p w14:paraId="5540817E">
      <w:pPr>
        <w:autoSpaceDE w:val="0"/>
        <w:autoSpaceDN w:val="0"/>
        <w:adjustRightInd w:val="0"/>
        <w:snapToGrid w:val="0"/>
        <w:spacing w:line="360" w:lineRule="auto"/>
        <w:ind w:firstLine="480" w:firstLineChars="200"/>
        <w:jc w:val="left"/>
        <w:rPr>
          <w:sz w:val="24"/>
        </w:rPr>
      </w:pPr>
      <w:r>
        <w:rPr>
          <w:rFonts w:hint="eastAsia"/>
          <w:sz w:val="24"/>
        </w:rPr>
        <w:t>8）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w:t>
      </w:r>
    </w:p>
    <w:p w14:paraId="73291EEB">
      <w:pPr>
        <w:autoSpaceDE w:val="0"/>
        <w:autoSpaceDN w:val="0"/>
        <w:adjustRightInd w:val="0"/>
        <w:snapToGrid w:val="0"/>
        <w:spacing w:line="360" w:lineRule="auto"/>
        <w:ind w:firstLine="480" w:firstLineChars="200"/>
        <w:jc w:val="left"/>
        <w:rPr>
          <w:sz w:val="24"/>
        </w:rPr>
      </w:pPr>
      <w:r>
        <w:rPr>
          <w:rFonts w:hint="eastAsia"/>
          <w:sz w:val="24"/>
        </w:rPr>
        <w:t>9）如有确凿证据表明按上述方法进行估值不能客观反映其公允价值的，基金管理人可根据具体情况与基金托管人商定后，按最能反映公允价值的价格估值。</w:t>
      </w:r>
    </w:p>
    <w:p w14:paraId="58A039B3">
      <w:pPr>
        <w:autoSpaceDE w:val="0"/>
        <w:autoSpaceDN w:val="0"/>
        <w:adjustRightInd w:val="0"/>
        <w:snapToGrid w:val="0"/>
        <w:spacing w:line="360" w:lineRule="auto"/>
        <w:ind w:firstLine="480" w:firstLineChars="200"/>
        <w:jc w:val="left"/>
        <w:rPr>
          <w:sz w:val="24"/>
        </w:rPr>
      </w:pPr>
      <w:r>
        <w:rPr>
          <w:rFonts w:hint="eastAsia"/>
          <w:sz w:val="24"/>
        </w:rPr>
        <w:t>10）当发生大额申购或赎回情形时，基金管理人可以采用摆动定价机制，以确保基金估值的公平性。</w:t>
      </w:r>
    </w:p>
    <w:p w14:paraId="171C01AF">
      <w:pPr>
        <w:autoSpaceDE w:val="0"/>
        <w:autoSpaceDN w:val="0"/>
        <w:adjustRightInd w:val="0"/>
        <w:snapToGrid w:val="0"/>
        <w:spacing w:line="360" w:lineRule="auto"/>
        <w:ind w:firstLine="480" w:firstLineChars="200"/>
        <w:jc w:val="left"/>
        <w:rPr>
          <w:sz w:val="24"/>
        </w:rPr>
      </w:pPr>
      <w:r>
        <w:rPr>
          <w:rFonts w:hint="eastAsia"/>
          <w:sz w:val="24"/>
        </w:rPr>
        <w:t>11）相关法律法规以及监管部门有强制规定的，从其规定。如有新增事项，按国家最新规定估值。</w:t>
      </w:r>
    </w:p>
    <w:p w14:paraId="2DF24810">
      <w:pPr>
        <w:autoSpaceDE w:val="0"/>
        <w:autoSpaceDN w:val="0"/>
        <w:adjustRightInd w:val="0"/>
        <w:snapToGrid w:val="0"/>
        <w:spacing w:line="360" w:lineRule="auto"/>
        <w:ind w:firstLine="480" w:firstLineChars="200"/>
        <w:jc w:val="left"/>
        <w:rPr>
          <w:sz w:val="24"/>
        </w:rPr>
      </w:pPr>
      <w:r>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6238A28">
      <w:pPr>
        <w:autoSpaceDE w:val="0"/>
        <w:autoSpaceDN w:val="0"/>
        <w:adjustRightInd w:val="0"/>
        <w:snapToGrid w:val="0"/>
        <w:spacing w:line="360" w:lineRule="auto"/>
        <w:ind w:firstLine="480" w:firstLineChars="200"/>
        <w:jc w:val="left"/>
        <w:rPr>
          <w:sz w:val="24"/>
        </w:rPr>
      </w:pPr>
      <w:r>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2B68067">
      <w:pPr>
        <w:autoSpaceDE w:val="0"/>
        <w:autoSpaceDN w:val="0"/>
        <w:adjustRightInd w:val="0"/>
        <w:snapToGrid w:val="0"/>
        <w:spacing w:line="360" w:lineRule="auto"/>
        <w:ind w:firstLine="480" w:firstLineChars="200"/>
        <w:jc w:val="left"/>
        <w:rPr>
          <w:sz w:val="24"/>
        </w:rPr>
      </w:pPr>
      <w:r>
        <w:rPr>
          <w:rFonts w:hint="eastAsia"/>
          <w:sz w:val="24"/>
        </w:rPr>
        <w:t>3、估值错误处理</w:t>
      </w:r>
    </w:p>
    <w:p w14:paraId="09DE9EAE">
      <w:pPr>
        <w:autoSpaceDE w:val="0"/>
        <w:autoSpaceDN w:val="0"/>
        <w:adjustRightInd w:val="0"/>
        <w:snapToGrid w:val="0"/>
        <w:spacing w:line="360" w:lineRule="auto"/>
        <w:ind w:firstLine="480" w:firstLineChars="200"/>
        <w:jc w:val="left"/>
        <w:rPr>
          <w:sz w:val="24"/>
        </w:rPr>
      </w:pPr>
      <w:r>
        <w:rPr>
          <w:rFonts w:hint="eastAsia"/>
          <w:sz w:val="24"/>
        </w:rPr>
        <w:t>当基金管理人计算的基金资产净值、基金份额净值已由基金托管人复核确认后公告的，由此造成的投资人或基金的损失，应根据法律法规的规定对投资人或基金支付赔偿金，就实际向投资人或基金支付的赔偿金额，基金管理人与基金托管人按照过错程度各自承担相应的责任。</w:t>
      </w:r>
    </w:p>
    <w:p w14:paraId="037EB071">
      <w:pPr>
        <w:autoSpaceDE w:val="0"/>
        <w:autoSpaceDN w:val="0"/>
        <w:adjustRightInd w:val="0"/>
        <w:snapToGrid w:val="0"/>
        <w:spacing w:line="360" w:lineRule="auto"/>
        <w:ind w:firstLine="480" w:firstLineChars="200"/>
        <w:jc w:val="left"/>
        <w:rPr>
          <w:sz w:val="24"/>
        </w:rPr>
      </w:pPr>
      <w:r>
        <w:rPr>
          <w:rFonts w:hint="eastAsia"/>
          <w:sz w:val="24"/>
        </w:rPr>
        <w:t>由于一方当事人提供的信息错误，另一方当事人在采取了必要合理的措施后仍不能发现该错误，进而导致基金资产净值、基金份额净值计算错误造成投资人或基金的损失，以及由此造成以后交易日基金资产净值、基金份额净值计算顺延错误而引起的投资人或基金的损失，由提供错误信息的当事人一方负责赔偿。</w:t>
      </w:r>
    </w:p>
    <w:p w14:paraId="615EAC0C">
      <w:pPr>
        <w:autoSpaceDE w:val="0"/>
        <w:autoSpaceDN w:val="0"/>
        <w:adjustRightInd w:val="0"/>
        <w:snapToGrid w:val="0"/>
        <w:spacing w:line="360" w:lineRule="auto"/>
        <w:ind w:firstLine="480" w:firstLineChars="200"/>
        <w:jc w:val="left"/>
        <w:rPr>
          <w:sz w:val="24"/>
        </w:rPr>
      </w:pPr>
      <w:r>
        <w:rPr>
          <w:rFonts w:hint="eastAsia"/>
          <w:sz w:val="24"/>
        </w:rPr>
        <w:t>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79EEF032">
      <w:pPr>
        <w:autoSpaceDE w:val="0"/>
        <w:autoSpaceDN w:val="0"/>
        <w:adjustRightInd w:val="0"/>
        <w:snapToGrid w:val="0"/>
        <w:spacing w:line="360" w:lineRule="auto"/>
        <w:ind w:firstLine="480" w:firstLineChars="200"/>
        <w:jc w:val="left"/>
        <w:rPr>
          <w:sz w:val="24"/>
        </w:rPr>
      </w:pPr>
      <w:r>
        <w:rPr>
          <w:rFonts w:hint="eastAsia"/>
          <w:sz w:val="24"/>
        </w:rPr>
        <w:t>当基金管理人计算的基金资产净值与基金托管人的计算结果不一致时，相关各方应本着勤勉尽责的态度重新计算核对，如果最后仍无法达成一致，应以基金管理人的计算结果为准对外公布。</w:t>
      </w:r>
    </w:p>
    <w:p w14:paraId="20AFA786">
      <w:pPr>
        <w:autoSpaceDE w:val="0"/>
        <w:autoSpaceDN w:val="0"/>
        <w:adjustRightInd w:val="0"/>
        <w:snapToGrid w:val="0"/>
        <w:spacing w:line="360" w:lineRule="auto"/>
        <w:ind w:firstLine="480" w:firstLineChars="200"/>
        <w:jc w:val="left"/>
        <w:rPr>
          <w:sz w:val="24"/>
        </w:rPr>
      </w:pPr>
      <w:r>
        <w:rPr>
          <w:rFonts w:hint="eastAsia"/>
          <w:sz w:val="24"/>
        </w:rPr>
        <w:t>基金管理人或基金托管人按估值方法的第（9）项进行估值的，所造成的误差不作为基金资产估值错误处理。</w:t>
      </w:r>
    </w:p>
    <w:p w14:paraId="4519F380">
      <w:pPr>
        <w:autoSpaceDE w:val="0"/>
        <w:autoSpaceDN w:val="0"/>
        <w:adjustRightInd w:val="0"/>
        <w:snapToGrid w:val="0"/>
        <w:spacing w:line="360" w:lineRule="auto"/>
        <w:ind w:firstLine="480" w:firstLineChars="200"/>
        <w:jc w:val="left"/>
        <w:rPr>
          <w:sz w:val="24"/>
        </w:rPr>
      </w:pPr>
      <w:r>
        <w:rPr>
          <w:rFonts w:hint="eastAsia"/>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并拒绝进行赔偿时，由基金管理人负责向估值错误责任方追偿。</w:t>
      </w:r>
    </w:p>
    <w:p w14:paraId="3E3EBC6D">
      <w:pPr>
        <w:autoSpaceDE w:val="0"/>
        <w:autoSpaceDN w:val="0"/>
        <w:adjustRightInd w:val="0"/>
        <w:snapToGrid w:val="0"/>
        <w:spacing w:line="360" w:lineRule="auto"/>
        <w:ind w:firstLine="480" w:firstLineChars="200"/>
        <w:jc w:val="left"/>
        <w:rPr>
          <w:sz w:val="24"/>
        </w:rPr>
      </w:pPr>
      <w:r>
        <w:rPr>
          <w:rFonts w:hint="eastAsia"/>
          <w:sz w:val="24"/>
        </w:rPr>
        <w:t>4、基金账册的建立</w:t>
      </w:r>
    </w:p>
    <w:p w14:paraId="7C63D6D1">
      <w:pPr>
        <w:autoSpaceDE w:val="0"/>
        <w:autoSpaceDN w:val="0"/>
        <w:adjustRightInd w:val="0"/>
        <w:snapToGrid w:val="0"/>
        <w:spacing w:line="360" w:lineRule="auto"/>
        <w:ind w:firstLine="480" w:firstLineChars="200"/>
        <w:jc w:val="left"/>
        <w:rPr>
          <w:sz w:val="24"/>
        </w:rPr>
      </w:pPr>
      <w:r>
        <w:rPr>
          <w:rFonts w:hint="eastAsia"/>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9F1D39A">
      <w:pPr>
        <w:autoSpaceDE w:val="0"/>
        <w:autoSpaceDN w:val="0"/>
        <w:adjustRightInd w:val="0"/>
        <w:snapToGrid w:val="0"/>
        <w:spacing w:line="360" w:lineRule="auto"/>
        <w:ind w:firstLine="480" w:firstLineChars="200"/>
        <w:jc w:val="left"/>
        <w:rPr>
          <w:sz w:val="24"/>
        </w:rPr>
      </w:pPr>
      <w:r>
        <w:rPr>
          <w:rFonts w:hint="eastAsia"/>
          <w:sz w:val="24"/>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14:paraId="613A276E">
      <w:pPr>
        <w:autoSpaceDE w:val="0"/>
        <w:autoSpaceDN w:val="0"/>
        <w:adjustRightInd w:val="0"/>
        <w:snapToGrid w:val="0"/>
        <w:spacing w:line="360" w:lineRule="auto"/>
        <w:ind w:firstLine="480" w:firstLineChars="200"/>
        <w:jc w:val="left"/>
        <w:rPr>
          <w:sz w:val="24"/>
        </w:rPr>
      </w:pPr>
      <w:r>
        <w:rPr>
          <w:rFonts w:hint="eastAsia"/>
          <w:sz w:val="24"/>
        </w:rPr>
        <w:t>5、基金定期报告、招募说明书、基金产品资料概要的编制和复核</w:t>
      </w:r>
    </w:p>
    <w:p w14:paraId="4BCA2231">
      <w:pPr>
        <w:autoSpaceDE w:val="0"/>
        <w:autoSpaceDN w:val="0"/>
        <w:adjustRightInd w:val="0"/>
        <w:snapToGrid w:val="0"/>
        <w:spacing w:line="360" w:lineRule="auto"/>
        <w:ind w:firstLine="480" w:firstLineChars="200"/>
        <w:jc w:val="left"/>
        <w:rPr>
          <w:sz w:val="24"/>
        </w:rPr>
      </w:pPr>
      <w:r>
        <w:rPr>
          <w:rFonts w:hint="eastAsia"/>
          <w:sz w:val="24"/>
        </w:rPr>
        <w:t>基金财务报表由基金管理人和基金托管人每月分别独立编制。月度报表的编制，应于每月终了后5个工作日内完成。</w:t>
      </w:r>
    </w:p>
    <w:p w14:paraId="5AC21A9A">
      <w:pPr>
        <w:autoSpaceDE w:val="0"/>
        <w:autoSpaceDN w:val="0"/>
        <w:adjustRightInd w:val="0"/>
        <w:snapToGrid w:val="0"/>
        <w:spacing w:line="360" w:lineRule="auto"/>
        <w:ind w:firstLine="480" w:firstLineChars="200"/>
        <w:jc w:val="left"/>
        <w:rPr>
          <w:sz w:val="24"/>
        </w:rPr>
      </w:pPr>
      <w:r>
        <w:rPr>
          <w:rFonts w:hint="eastAsia"/>
          <w:sz w:val="24"/>
        </w:rPr>
        <w:t>在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242DAE6">
      <w:pPr>
        <w:autoSpaceDE w:val="0"/>
        <w:autoSpaceDN w:val="0"/>
        <w:adjustRightInd w:val="0"/>
        <w:snapToGrid w:val="0"/>
        <w:spacing w:line="360" w:lineRule="auto"/>
        <w:ind w:firstLine="480" w:firstLineChars="200"/>
        <w:jc w:val="left"/>
        <w:rPr>
          <w:sz w:val="24"/>
        </w:rPr>
      </w:pPr>
      <w:r>
        <w:rPr>
          <w:rFonts w:hint="eastAsia"/>
          <w:sz w:val="24"/>
        </w:rPr>
        <w:t>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29E99AD">
      <w:pPr>
        <w:autoSpaceDE w:val="0"/>
        <w:autoSpaceDN w:val="0"/>
        <w:adjustRightInd w:val="0"/>
        <w:snapToGrid w:val="0"/>
        <w:spacing w:line="360" w:lineRule="auto"/>
        <w:ind w:firstLine="480" w:firstLineChars="200"/>
        <w:jc w:val="left"/>
        <w:rPr>
          <w:sz w:val="24"/>
        </w:rPr>
      </w:pPr>
      <w:r>
        <w:rPr>
          <w:rFonts w:hint="eastAsia"/>
          <w:sz w:val="24"/>
        </w:rPr>
        <w:t>基金管理人在季度结束之日起15个工作日内完成季度报告编制并公告；在上半年结束之日起两个月内完成中期报告编制并公告；在每年结束之日起三个月内完成年度报告编制并公告。基金合同生效不足2个月的，基金管理人可以不编制当期季度报告、中期报告或者年度报告。</w:t>
      </w:r>
    </w:p>
    <w:p w14:paraId="7CDA00CC">
      <w:pPr>
        <w:autoSpaceDE w:val="0"/>
        <w:autoSpaceDN w:val="0"/>
        <w:adjustRightInd w:val="0"/>
        <w:snapToGrid w:val="0"/>
        <w:spacing w:line="360" w:lineRule="auto"/>
        <w:ind w:firstLine="480" w:firstLineChars="200"/>
        <w:jc w:val="left"/>
        <w:rPr>
          <w:sz w:val="24"/>
        </w:rPr>
      </w:pPr>
      <w:r>
        <w:rPr>
          <w:rFonts w:hint="eastAsia"/>
          <w:sz w:val="24"/>
        </w:rPr>
        <w:t>基金管理人应及时完成报表编制，将有关报表提供基金托管人复核；基金托管人应当在收到报告之日起2个工作日内完成月度报表的复核；在收到报告之日起7个工作日内完成基金季度报告的复核；在收到报告之日起20日内完成基金中期报告的复核；在收到报告之日起30日内完成基金年度报告的复核。基金托管人在复核过程中，发现双方的报表存在不符时，基金管理人和基金托管人应共同查明原因，进行调整，调整以国家有关规定为准。</w:t>
      </w:r>
    </w:p>
    <w:p w14:paraId="05DBC39C">
      <w:pPr>
        <w:autoSpaceDE w:val="0"/>
        <w:autoSpaceDN w:val="0"/>
        <w:adjustRightInd w:val="0"/>
        <w:snapToGrid w:val="0"/>
        <w:spacing w:line="360" w:lineRule="auto"/>
        <w:ind w:firstLine="480" w:firstLineChars="200"/>
        <w:jc w:val="left"/>
        <w:rPr>
          <w:sz w:val="24"/>
        </w:rPr>
      </w:pPr>
      <w:r>
        <w:rPr>
          <w:rFonts w:hint="eastAsia"/>
          <w:sz w:val="24"/>
        </w:rPr>
        <w:t>核对无误后，基金托管人在基金管理人提供的报告上加盖业务印鉴或者出具加盖托管业务部门公章的复核意见书，相关各方各自留存一份。</w:t>
      </w:r>
    </w:p>
    <w:p w14:paraId="3059D9A9">
      <w:pPr>
        <w:autoSpaceDE w:val="0"/>
        <w:autoSpaceDN w:val="0"/>
        <w:adjustRightInd w:val="0"/>
        <w:snapToGrid w:val="0"/>
        <w:spacing w:line="360" w:lineRule="auto"/>
        <w:ind w:firstLine="480" w:firstLineChars="200"/>
        <w:jc w:val="left"/>
        <w:rPr>
          <w:sz w:val="24"/>
        </w:rPr>
      </w:pPr>
      <w:r>
        <w:rPr>
          <w:rFonts w:hint="eastAsia"/>
          <w:sz w:val="24"/>
        </w:rPr>
        <w:t>基金托管人在对月度报表、季度报告、中期报告或年度报告复核完毕后，需盖章确认或出具相应的复核确认书，以备有权机构对相关文件审核时提示。</w:t>
      </w:r>
    </w:p>
    <w:p w14:paraId="19574189">
      <w:pPr>
        <w:autoSpaceDE w:val="0"/>
        <w:autoSpaceDN w:val="0"/>
        <w:adjustRightInd w:val="0"/>
        <w:snapToGrid w:val="0"/>
        <w:spacing w:line="360" w:lineRule="auto"/>
        <w:ind w:firstLine="480" w:firstLineChars="200"/>
        <w:jc w:val="left"/>
        <w:rPr>
          <w:sz w:val="24"/>
        </w:rPr>
      </w:pPr>
      <w:r>
        <w:rPr>
          <w:rFonts w:hint="eastAsia"/>
          <w:sz w:val="24"/>
        </w:rPr>
        <w:t>6、暂停估值的情形</w:t>
      </w:r>
    </w:p>
    <w:p w14:paraId="30DC0E85">
      <w:pPr>
        <w:autoSpaceDE w:val="0"/>
        <w:autoSpaceDN w:val="0"/>
        <w:adjustRightInd w:val="0"/>
        <w:snapToGrid w:val="0"/>
        <w:spacing w:line="360" w:lineRule="auto"/>
        <w:ind w:firstLine="480" w:firstLineChars="200"/>
        <w:jc w:val="left"/>
        <w:rPr>
          <w:sz w:val="24"/>
        </w:rPr>
      </w:pPr>
      <w:r>
        <w:rPr>
          <w:rFonts w:hint="eastAsia"/>
          <w:sz w:val="24"/>
        </w:rPr>
        <w:t>（1）基金投资所涉及的证券、期货交易市场遇法定节假日或因其他原因暂停营业时；</w:t>
      </w:r>
    </w:p>
    <w:p w14:paraId="7FABC19A">
      <w:pPr>
        <w:autoSpaceDE w:val="0"/>
        <w:autoSpaceDN w:val="0"/>
        <w:adjustRightInd w:val="0"/>
        <w:snapToGrid w:val="0"/>
        <w:spacing w:line="360" w:lineRule="auto"/>
        <w:ind w:firstLine="480" w:firstLineChars="200"/>
        <w:jc w:val="left"/>
        <w:rPr>
          <w:sz w:val="24"/>
        </w:rPr>
      </w:pPr>
      <w:r>
        <w:rPr>
          <w:rFonts w:hint="eastAsia"/>
          <w:sz w:val="24"/>
        </w:rPr>
        <w:t>（</w:t>
      </w:r>
      <w:r>
        <w:rPr>
          <w:sz w:val="24"/>
        </w:rPr>
        <w:t>2</w:t>
      </w:r>
      <w:r>
        <w:rPr>
          <w:rFonts w:hint="eastAsia"/>
          <w:sz w:val="24"/>
        </w:rPr>
        <w:t>）因不可抗力致使基金管理人、基金托管人无法准确评估基金资产价值时；</w:t>
      </w:r>
    </w:p>
    <w:p w14:paraId="219020B6">
      <w:pPr>
        <w:autoSpaceDE w:val="0"/>
        <w:autoSpaceDN w:val="0"/>
        <w:adjustRightInd w:val="0"/>
        <w:snapToGrid w:val="0"/>
        <w:spacing w:line="360" w:lineRule="auto"/>
        <w:ind w:firstLine="480" w:firstLineChars="200"/>
        <w:jc w:val="left"/>
        <w:rPr>
          <w:sz w:val="24"/>
        </w:rPr>
      </w:pPr>
      <w:r>
        <w:rPr>
          <w:rFonts w:hint="eastAsia"/>
          <w:sz w:val="24"/>
        </w:rPr>
        <w:t>（</w:t>
      </w:r>
      <w:r>
        <w:rPr>
          <w:sz w:val="24"/>
        </w:rPr>
        <w:t>3</w:t>
      </w:r>
      <w:r>
        <w:rPr>
          <w:rFonts w:hint="eastAsia"/>
          <w:sz w:val="24"/>
        </w:rPr>
        <w:t>）当特定资产占前一估值日基金资产净值50%以上的，经与基金托管人协商确认后，基金管理人应当暂停估值；</w:t>
      </w:r>
    </w:p>
    <w:p w14:paraId="3E666567">
      <w:pPr>
        <w:autoSpaceDE w:val="0"/>
        <w:autoSpaceDN w:val="0"/>
        <w:adjustRightInd w:val="0"/>
        <w:snapToGrid w:val="0"/>
        <w:spacing w:line="360" w:lineRule="auto"/>
        <w:ind w:firstLine="480" w:firstLineChars="200"/>
        <w:jc w:val="left"/>
        <w:rPr>
          <w:sz w:val="24"/>
        </w:rPr>
      </w:pPr>
      <w:r>
        <w:rPr>
          <w:rFonts w:hint="eastAsia"/>
          <w:sz w:val="24"/>
        </w:rPr>
        <w:t>（</w:t>
      </w:r>
      <w:r>
        <w:rPr>
          <w:sz w:val="24"/>
        </w:rPr>
        <w:t>4</w:t>
      </w:r>
      <w:r>
        <w:rPr>
          <w:rFonts w:hint="eastAsia"/>
          <w:sz w:val="24"/>
        </w:rPr>
        <w:t>）法律法规、中国证监会和基金合同认定的其它情形。</w:t>
      </w:r>
    </w:p>
    <w:p w14:paraId="6A84D209">
      <w:pPr>
        <w:autoSpaceDE w:val="0"/>
        <w:autoSpaceDN w:val="0"/>
        <w:adjustRightInd w:val="0"/>
        <w:snapToGrid w:val="0"/>
        <w:spacing w:line="360" w:lineRule="auto"/>
        <w:ind w:firstLine="480" w:firstLineChars="200"/>
        <w:jc w:val="left"/>
        <w:rPr>
          <w:sz w:val="24"/>
        </w:rPr>
      </w:pPr>
      <w:r>
        <w:rPr>
          <w:rFonts w:hint="eastAsia"/>
          <w:sz w:val="24"/>
        </w:rPr>
        <w:t>7、实施侧袋机制期间的基金资产估值</w:t>
      </w:r>
    </w:p>
    <w:p w14:paraId="05E0EBD0">
      <w:pPr>
        <w:autoSpaceDE w:val="0"/>
        <w:autoSpaceDN w:val="0"/>
        <w:adjustRightInd w:val="0"/>
        <w:snapToGrid w:val="0"/>
        <w:spacing w:line="360" w:lineRule="auto"/>
        <w:ind w:firstLine="480" w:firstLineChars="200"/>
        <w:jc w:val="left"/>
        <w:rPr>
          <w:rFonts w:hint="eastAsia"/>
          <w:sz w:val="24"/>
        </w:rPr>
      </w:pPr>
      <w:r>
        <w:rPr>
          <w:rFonts w:hint="eastAsia"/>
          <w:sz w:val="24"/>
        </w:rPr>
        <w:t>本基金实施侧袋机制的，应根据基金合同的约定对主袋账户资产进行估值并披露主袋账户的基金净值信息，暂停披露侧袋账户份额净值。</w:t>
      </w:r>
    </w:p>
    <w:p w14:paraId="0A73C69F">
      <w:pPr>
        <w:autoSpaceDE w:val="0"/>
        <w:autoSpaceDN w:val="0"/>
        <w:adjustRightInd w:val="0"/>
        <w:snapToGrid w:val="0"/>
        <w:spacing w:line="360" w:lineRule="auto"/>
        <w:ind w:firstLine="482" w:firstLineChars="200"/>
        <w:jc w:val="left"/>
        <w:rPr>
          <w:b/>
          <w:szCs w:val="24"/>
        </w:rPr>
      </w:pPr>
      <w:r>
        <w:rPr>
          <w:b/>
          <w:sz w:val="24"/>
        </w:rPr>
        <w:t>（六）基金份额持有人名册的</w:t>
      </w:r>
      <w:r>
        <w:rPr>
          <w:rFonts w:hint="eastAsia"/>
          <w:b/>
          <w:sz w:val="24"/>
        </w:rPr>
        <w:t>登记与</w:t>
      </w:r>
      <w:r>
        <w:rPr>
          <w:b/>
          <w:sz w:val="24"/>
        </w:rPr>
        <w:t>保管</w:t>
      </w:r>
    </w:p>
    <w:p w14:paraId="1CBE99B8">
      <w:pPr>
        <w:autoSpaceDE w:val="0"/>
        <w:autoSpaceDN w:val="0"/>
        <w:adjustRightInd w:val="0"/>
        <w:snapToGrid w:val="0"/>
        <w:spacing w:line="360" w:lineRule="auto"/>
        <w:ind w:firstLine="480" w:firstLineChars="200"/>
        <w:jc w:val="left"/>
        <w:rPr>
          <w:sz w:val="24"/>
        </w:rPr>
      </w:pPr>
      <w:r>
        <w:rPr>
          <w:rFonts w:hint="eastAsia"/>
          <w:sz w:val="24"/>
        </w:rPr>
        <w:t>基金管理人和基金托管人须分别妥善保管的基金份额持有人名册，基金份额持有人名册的内容必须包括基金份额持有人的名称和持有的基金份额。</w:t>
      </w:r>
    </w:p>
    <w:p w14:paraId="585549B3">
      <w:pPr>
        <w:autoSpaceDE w:val="0"/>
        <w:autoSpaceDN w:val="0"/>
        <w:adjustRightInd w:val="0"/>
        <w:snapToGrid w:val="0"/>
        <w:spacing w:line="360" w:lineRule="auto"/>
        <w:ind w:firstLine="480" w:firstLineChars="200"/>
        <w:jc w:val="left"/>
        <w:rPr>
          <w:sz w:val="24"/>
        </w:rPr>
      </w:pPr>
      <w:r>
        <w:rPr>
          <w:rFonts w:hint="eastAsia"/>
          <w:sz w:val="24"/>
        </w:rPr>
        <w:t>基金份额持有人名册由基金的登记机构根据基金管理人的指令编制和保管，基金管理人和基金托管人应按照目前相关规则分别保管基金份额持有人名册。保管方式可以采用电子或文档的形式。保管期限不低于法律法规规定的最低期限。</w:t>
      </w:r>
    </w:p>
    <w:p w14:paraId="47AE4E66">
      <w:pPr>
        <w:autoSpaceDE w:val="0"/>
        <w:autoSpaceDN w:val="0"/>
        <w:adjustRightInd w:val="0"/>
        <w:snapToGrid w:val="0"/>
        <w:spacing w:line="360" w:lineRule="auto"/>
        <w:ind w:firstLine="480" w:firstLineChars="200"/>
        <w:jc w:val="left"/>
        <w:rPr>
          <w:sz w:val="24"/>
        </w:rPr>
      </w:pPr>
      <w:r>
        <w:rPr>
          <w:rFonts w:hint="eastAsia"/>
          <w:sz w:val="24"/>
        </w:rPr>
        <w:t>基金管理人应当及时向基金托管人定期或不定期提交约定日期的基金份额持有人名册。基金份额持有人名册的内容必须包括基金份额持有人的名称和持有的基金份额。基金托管人可以采用电子或文档的形式妥善保管基金份额持有人名册，保存期限不低于法律法规规定的最低期限。基金托管人不得将所保管的基金份额持有人名册用于基金托管业务以外的其他用途，并应遵守保密义务。</w:t>
      </w:r>
    </w:p>
    <w:p w14:paraId="06C719BD">
      <w:pPr>
        <w:autoSpaceDE w:val="0"/>
        <w:autoSpaceDN w:val="0"/>
        <w:adjustRightInd w:val="0"/>
        <w:snapToGrid w:val="0"/>
        <w:spacing w:line="360" w:lineRule="auto"/>
        <w:ind w:firstLine="480" w:firstLineChars="200"/>
        <w:jc w:val="left"/>
        <w:rPr>
          <w:rFonts w:hint="eastAsia"/>
          <w:sz w:val="24"/>
        </w:rPr>
      </w:pPr>
      <w:r>
        <w:rPr>
          <w:rFonts w:hint="eastAsia"/>
          <w:sz w:val="24"/>
        </w:rPr>
        <w:t>若基金管理人或基金托管人由于自身原因无法妥善保管基金份额持有人名册，应按有关法规规定各自承担相应的责任。</w:t>
      </w:r>
    </w:p>
    <w:p w14:paraId="13074566">
      <w:pPr>
        <w:autoSpaceDE w:val="0"/>
        <w:autoSpaceDN w:val="0"/>
        <w:adjustRightInd w:val="0"/>
        <w:snapToGrid w:val="0"/>
        <w:spacing w:line="360" w:lineRule="auto"/>
        <w:ind w:firstLine="482" w:firstLineChars="200"/>
        <w:jc w:val="left"/>
        <w:rPr>
          <w:b/>
          <w:szCs w:val="24"/>
        </w:rPr>
      </w:pPr>
      <w:r>
        <w:rPr>
          <w:b/>
          <w:sz w:val="24"/>
        </w:rPr>
        <w:t>（七）争议解决方式</w:t>
      </w:r>
    </w:p>
    <w:p w14:paraId="372F8EFD">
      <w:pPr>
        <w:autoSpaceDE w:val="0"/>
        <w:autoSpaceDN w:val="0"/>
        <w:adjustRightInd w:val="0"/>
        <w:snapToGrid w:val="0"/>
        <w:spacing w:line="360" w:lineRule="auto"/>
        <w:ind w:firstLine="480" w:firstLineChars="200"/>
        <w:jc w:val="left"/>
        <w:rPr>
          <w:sz w:val="24"/>
        </w:rPr>
      </w:pPr>
      <w:r>
        <w:rPr>
          <w:rFonts w:hint="eastAsia"/>
          <w:sz w:val="24"/>
        </w:rPr>
        <w:t>双方当事人同意，因本协议而产生的或与本协议有关的一切争议，如经友好协商未能解决的，任何一方均有权将争议提交中国国际经济贸易仲裁委员会，按照中国国际经济贸易仲裁委员会届时有效的仲裁规则进行仲裁。仲裁地点为北京市。仲裁裁决是终局的，对双方当事人均有约束力，除非仲裁裁决另有规定，仲裁费由败诉方承担。</w:t>
      </w:r>
    </w:p>
    <w:p w14:paraId="73068DFF">
      <w:pPr>
        <w:autoSpaceDE w:val="0"/>
        <w:autoSpaceDN w:val="0"/>
        <w:adjustRightInd w:val="0"/>
        <w:snapToGrid w:val="0"/>
        <w:spacing w:line="360" w:lineRule="auto"/>
        <w:ind w:firstLine="480" w:firstLineChars="200"/>
        <w:jc w:val="left"/>
        <w:rPr>
          <w:sz w:val="24"/>
        </w:rPr>
      </w:pPr>
      <w:r>
        <w:rPr>
          <w:rFonts w:hint="eastAsia"/>
          <w:sz w:val="24"/>
        </w:rPr>
        <w:t>争议处理期间，双方当事人应恪守基金管理人和基金托管人职责，继续忠实、勤勉、尽责地履行基金合同和托管协议规定的义务，维护基金份额持有人的合法权益。</w:t>
      </w:r>
    </w:p>
    <w:p w14:paraId="2611BCFB">
      <w:pPr>
        <w:autoSpaceDE w:val="0"/>
        <w:autoSpaceDN w:val="0"/>
        <w:adjustRightInd w:val="0"/>
        <w:snapToGrid w:val="0"/>
        <w:spacing w:line="360" w:lineRule="auto"/>
        <w:ind w:firstLine="480" w:firstLineChars="200"/>
        <w:jc w:val="left"/>
        <w:rPr>
          <w:sz w:val="24"/>
        </w:rPr>
      </w:pPr>
      <w:r>
        <w:rPr>
          <w:rFonts w:hint="eastAsia"/>
          <w:sz w:val="24"/>
        </w:rPr>
        <w:t>本协议受中国法律（为本协议之目的，不含港澳台地区法律）管辖并从其解释。</w:t>
      </w:r>
    </w:p>
    <w:p w14:paraId="67D5F59E">
      <w:pPr>
        <w:autoSpaceDE w:val="0"/>
        <w:autoSpaceDN w:val="0"/>
        <w:adjustRightInd w:val="0"/>
        <w:snapToGrid w:val="0"/>
        <w:spacing w:line="360" w:lineRule="auto"/>
        <w:ind w:firstLine="482" w:firstLineChars="200"/>
        <w:jc w:val="left"/>
        <w:rPr>
          <w:b/>
          <w:sz w:val="24"/>
        </w:rPr>
      </w:pPr>
      <w:r>
        <w:rPr>
          <w:b/>
          <w:sz w:val="24"/>
        </w:rPr>
        <w:t>（八）</w:t>
      </w:r>
      <w:r>
        <w:rPr>
          <w:rFonts w:hint="eastAsia"/>
          <w:b/>
          <w:sz w:val="24"/>
        </w:rPr>
        <w:t>基金托管协议的变更、终止与基金财产的清算</w:t>
      </w:r>
    </w:p>
    <w:p w14:paraId="60191DE7">
      <w:pPr>
        <w:autoSpaceDE w:val="0"/>
        <w:autoSpaceDN w:val="0"/>
        <w:adjustRightInd w:val="0"/>
        <w:snapToGrid w:val="0"/>
        <w:spacing w:line="360" w:lineRule="auto"/>
        <w:ind w:firstLine="480" w:firstLineChars="200"/>
        <w:jc w:val="left"/>
        <w:rPr>
          <w:sz w:val="24"/>
        </w:rPr>
      </w:pPr>
      <w:r>
        <w:rPr>
          <w:rFonts w:hint="eastAsia"/>
          <w:sz w:val="24"/>
        </w:rPr>
        <w:t>1、托管协议的变更与终止</w:t>
      </w:r>
    </w:p>
    <w:p w14:paraId="34CE387B">
      <w:pPr>
        <w:autoSpaceDE w:val="0"/>
        <w:autoSpaceDN w:val="0"/>
        <w:adjustRightInd w:val="0"/>
        <w:snapToGrid w:val="0"/>
        <w:spacing w:line="360" w:lineRule="auto"/>
        <w:ind w:firstLine="480" w:firstLineChars="200"/>
        <w:jc w:val="left"/>
        <w:rPr>
          <w:sz w:val="24"/>
        </w:rPr>
      </w:pPr>
      <w:r>
        <w:rPr>
          <w:rFonts w:hint="eastAsia"/>
          <w:sz w:val="24"/>
        </w:rPr>
        <w:t>（1）托管协议的变更程序</w:t>
      </w:r>
    </w:p>
    <w:p w14:paraId="43419AF6">
      <w:pPr>
        <w:autoSpaceDE w:val="0"/>
        <w:autoSpaceDN w:val="0"/>
        <w:adjustRightInd w:val="0"/>
        <w:snapToGrid w:val="0"/>
        <w:spacing w:line="360" w:lineRule="auto"/>
        <w:ind w:firstLine="480" w:firstLineChars="200"/>
        <w:jc w:val="left"/>
        <w:rPr>
          <w:sz w:val="24"/>
        </w:rPr>
      </w:pPr>
      <w:r>
        <w:rPr>
          <w:rFonts w:hint="eastAsia"/>
          <w:sz w:val="24"/>
        </w:rPr>
        <w:t>本协议双方当事人经协商一致，可以对协议的内容进行变更。变更后的托管协议，其内容不得与基金合同的规定有任何冲突。本托管协议的变更按规定报中国证监会备案。</w:t>
      </w:r>
    </w:p>
    <w:p w14:paraId="3C481D4D">
      <w:pPr>
        <w:autoSpaceDE w:val="0"/>
        <w:autoSpaceDN w:val="0"/>
        <w:adjustRightInd w:val="0"/>
        <w:snapToGrid w:val="0"/>
        <w:spacing w:line="360" w:lineRule="auto"/>
        <w:ind w:firstLine="480" w:firstLineChars="200"/>
        <w:jc w:val="left"/>
        <w:rPr>
          <w:sz w:val="24"/>
        </w:rPr>
      </w:pPr>
      <w:r>
        <w:rPr>
          <w:rFonts w:hint="eastAsia"/>
          <w:sz w:val="24"/>
        </w:rPr>
        <w:t>（2）基金托管协议终止的情形</w:t>
      </w:r>
    </w:p>
    <w:p w14:paraId="2A9DA781">
      <w:pPr>
        <w:autoSpaceDE w:val="0"/>
        <w:autoSpaceDN w:val="0"/>
        <w:adjustRightInd w:val="0"/>
        <w:snapToGrid w:val="0"/>
        <w:spacing w:line="360" w:lineRule="auto"/>
        <w:ind w:firstLine="480" w:firstLineChars="200"/>
        <w:jc w:val="left"/>
        <w:rPr>
          <w:sz w:val="24"/>
        </w:rPr>
      </w:pPr>
      <w:r>
        <w:rPr>
          <w:rFonts w:hint="eastAsia"/>
          <w:sz w:val="24"/>
        </w:rPr>
        <w:t>发生以下情况，本托管协议终止：</w:t>
      </w:r>
    </w:p>
    <w:p w14:paraId="7919C6B8">
      <w:pPr>
        <w:autoSpaceDE w:val="0"/>
        <w:autoSpaceDN w:val="0"/>
        <w:adjustRightInd w:val="0"/>
        <w:snapToGrid w:val="0"/>
        <w:spacing w:line="360" w:lineRule="auto"/>
        <w:ind w:firstLine="480" w:firstLineChars="200"/>
        <w:jc w:val="left"/>
        <w:rPr>
          <w:sz w:val="24"/>
        </w:rPr>
      </w:pPr>
      <w:r>
        <w:rPr>
          <w:rFonts w:hint="eastAsia"/>
          <w:sz w:val="24"/>
        </w:rPr>
        <w:t>1）基金合同终止；</w:t>
      </w:r>
    </w:p>
    <w:p w14:paraId="4336A30E">
      <w:pPr>
        <w:autoSpaceDE w:val="0"/>
        <w:autoSpaceDN w:val="0"/>
        <w:adjustRightInd w:val="0"/>
        <w:snapToGrid w:val="0"/>
        <w:spacing w:line="360" w:lineRule="auto"/>
        <w:ind w:firstLine="480" w:firstLineChars="200"/>
        <w:jc w:val="left"/>
        <w:rPr>
          <w:sz w:val="24"/>
        </w:rPr>
      </w:pPr>
      <w:r>
        <w:rPr>
          <w:rFonts w:hint="eastAsia"/>
          <w:sz w:val="24"/>
        </w:rPr>
        <w:t>2）基金托管人解散、依法被撤销、破产或由其他基金托管人接管基金资产；</w:t>
      </w:r>
    </w:p>
    <w:p w14:paraId="0F4AAC79">
      <w:pPr>
        <w:autoSpaceDE w:val="0"/>
        <w:autoSpaceDN w:val="0"/>
        <w:adjustRightInd w:val="0"/>
        <w:snapToGrid w:val="0"/>
        <w:spacing w:line="360" w:lineRule="auto"/>
        <w:ind w:firstLine="480" w:firstLineChars="200"/>
        <w:jc w:val="left"/>
        <w:rPr>
          <w:sz w:val="24"/>
        </w:rPr>
      </w:pPr>
      <w:r>
        <w:rPr>
          <w:rFonts w:hint="eastAsia"/>
          <w:sz w:val="24"/>
        </w:rPr>
        <w:t>3）基金管理人解散、依法被撤销、破产或由其他基金管理人接管基金管理权；</w:t>
      </w:r>
    </w:p>
    <w:p w14:paraId="559469DC">
      <w:pPr>
        <w:autoSpaceDE w:val="0"/>
        <w:autoSpaceDN w:val="0"/>
        <w:adjustRightInd w:val="0"/>
        <w:snapToGrid w:val="0"/>
        <w:spacing w:line="360" w:lineRule="auto"/>
        <w:ind w:firstLine="480" w:firstLineChars="200"/>
        <w:jc w:val="left"/>
        <w:rPr>
          <w:sz w:val="24"/>
        </w:rPr>
      </w:pPr>
      <w:r>
        <w:rPr>
          <w:rFonts w:hint="eastAsia"/>
          <w:sz w:val="24"/>
        </w:rPr>
        <w:t>4）发生法律法规或基金合同规定的终止事项。</w:t>
      </w:r>
    </w:p>
    <w:p w14:paraId="3EED80AC">
      <w:pPr>
        <w:autoSpaceDE w:val="0"/>
        <w:autoSpaceDN w:val="0"/>
        <w:adjustRightInd w:val="0"/>
        <w:snapToGrid w:val="0"/>
        <w:spacing w:line="360" w:lineRule="auto"/>
        <w:ind w:firstLine="480" w:firstLineChars="200"/>
        <w:jc w:val="left"/>
        <w:rPr>
          <w:sz w:val="24"/>
        </w:rPr>
      </w:pPr>
      <w:r>
        <w:rPr>
          <w:rFonts w:hint="eastAsia"/>
          <w:sz w:val="24"/>
        </w:rPr>
        <w:t>2、基金财产的清算</w:t>
      </w:r>
    </w:p>
    <w:p w14:paraId="2EC7AAF8">
      <w:pPr>
        <w:autoSpaceDE w:val="0"/>
        <w:autoSpaceDN w:val="0"/>
        <w:adjustRightInd w:val="0"/>
        <w:snapToGrid w:val="0"/>
        <w:spacing w:line="360" w:lineRule="auto"/>
        <w:ind w:firstLine="480" w:firstLineChars="200"/>
        <w:jc w:val="left"/>
        <w:rPr>
          <w:sz w:val="24"/>
        </w:rPr>
      </w:pPr>
      <w:r>
        <w:rPr>
          <w:rFonts w:hint="eastAsia"/>
          <w:sz w:val="24"/>
        </w:rPr>
        <w:t>（1）基金财产的清算</w:t>
      </w:r>
    </w:p>
    <w:p w14:paraId="723C54B4">
      <w:pPr>
        <w:autoSpaceDE w:val="0"/>
        <w:autoSpaceDN w:val="0"/>
        <w:adjustRightInd w:val="0"/>
        <w:snapToGrid w:val="0"/>
        <w:spacing w:line="360" w:lineRule="auto"/>
        <w:ind w:firstLine="480" w:firstLineChars="200"/>
        <w:jc w:val="left"/>
        <w:rPr>
          <w:sz w:val="24"/>
        </w:rPr>
      </w:pPr>
      <w:r>
        <w:rPr>
          <w:rFonts w:hint="eastAsia"/>
          <w:sz w:val="24"/>
        </w:rPr>
        <w:t>1）基金财产清算小组：自出现《基金合同》终止事由之日起30个工作日内成立基金财产清算小组，基金管理人组织基金财产清算小组并在中国证监会的监督下进行基金清算。</w:t>
      </w:r>
    </w:p>
    <w:p w14:paraId="5EA4B48B">
      <w:pPr>
        <w:autoSpaceDE w:val="0"/>
        <w:autoSpaceDN w:val="0"/>
        <w:adjustRightInd w:val="0"/>
        <w:snapToGrid w:val="0"/>
        <w:spacing w:line="360" w:lineRule="auto"/>
        <w:ind w:firstLine="480" w:firstLineChars="200"/>
        <w:jc w:val="left"/>
        <w:rPr>
          <w:sz w:val="24"/>
        </w:rPr>
      </w:pPr>
      <w:r>
        <w:rPr>
          <w:rFonts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66D5748">
      <w:pPr>
        <w:autoSpaceDE w:val="0"/>
        <w:autoSpaceDN w:val="0"/>
        <w:adjustRightInd w:val="0"/>
        <w:snapToGrid w:val="0"/>
        <w:spacing w:line="360" w:lineRule="auto"/>
        <w:ind w:firstLine="480" w:firstLineChars="200"/>
        <w:jc w:val="left"/>
        <w:rPr>
          <w:sz w:val="24"/>
        </w:rPr>
      </w:pPr>
      <w:r>
        <w:rPr>
          <w:rFonts w:hint="eastAsia"/>
          <w:sz w:val="24"/>
        </w:rPr>
        <w:t>3）基金财产清算小组职责：基金财产清算小组负责基金财产的保管、清理、估价、变现和分配。基金财产清算小组可以依法进行必要的民事活动。</w:t>
      </w:r>
    </w:p>
    <w:p w14:paraId="0D223D59">
      <w:pPr>
        <w:autoSpaceDE w:val="0"/>
        <w:autoSpaceDN w:val="0"/>
        <w:adjustRightInd w:val="0"/>
        <w:snapToGrid w:val="0"/>
        <w:spacing w:line="360" w:lineRule="auto"/>
        <w:ind w:firstLine="480" w:firstLineChars="200"/>
        <w:jc w:val="left"/>
        <w:rPr>
          <w:sz w:val="24"/>
        </w:rPr>
      </w:pPr>
      <w:r>
        <w:rPr>
          <w:rFonts w:hint="eastAsia"/>
          <w:sz w:val="24"/>
        </w:rPr>
        <w:t>4）基金财产清算程序：</w:t>
      </w:r>
    </w:p>
    <w:p w14:paraId="501A271D">
      <w:pPr>
        <w:autoSpaceDE w:val="0"/>
        <w:autoSpaceDN w:val="0"/>
        <w:adjustRightInd w:val="0"/>
        <w:snapToGrid w:val="0"/>
        <w:spacing w:line="360" w:lineRule="auto"/>
        <w:ind w:firstLine="480" w:firstLineChars="200"/>
        <w:jc w:val="left"/>
        <w:rPr>
          <w:sz w:val="24"/>
        </w:rPr>
      </w:pPr>
      <w:r>
        <w:rPr>
          <w:rFonts w:hint="eastAsia"/>
          <w:sz w:val="24"/>
        </w:rPr>
        <w:t>①《基金合同》终止情形出现时，由基金财产清算小组统一接管基金财产；</w:t>
      </w:r>
    </w:p>
    <w:p w14:paraId="5567D05F">
      <w:pPr>
        <w:autoSpaceDE w:val="0"/>
        <w:autoSpaceDN w:val="0"/>
        <w:adjustRightInd w:val="0"/>
        <w:snapToGrid w:val="0"/>
        <w:spacing w:line="360" w:lineRule="auto"/>
        <w:ind w:firstLine="480" w:firstLineChars="200"/>
        <w:jc w:val="left"/>
        <w:rPr>
          <w:sz w:val="24"/>
        </w:rPr>
      </w:pPr>
      <w:r>
        <w:rPr>
          <w:rFonts w:hint="eastAsia"/>
          <w:sz w:val="24"/>
        </w:rPr>
        <w:t>②对基金财产和债权债务进行清理和确认；</w:t>
      </w:r>
    </w:p>
    <w:p w14:paraId="7C4F6B8D">
      <w:pPr>
        <w:autoSpaceDE w:val="0"/>
        <w:autoSpaceDN w:val="0"/>
        <w:adjustRightInd w:val="0"/>
        <w:snapToGrid w:val="0"/>
        <w:spacing w:line="360" w:lineRule="auto"/>
        <w:ind w:firstLine="480" w:firstLineChars="200"/>
        <w:jc w:val="left"/>
        <w:rPr>
          <w:sz w:val="24"/>
        </w:rPr>
      </w:pPr>
      <w:r>
        <w:rPr>
          <w:rFonts w:hint="eastAsia"/>
          <w:sz w:val="24"/>
        </w:rPr>
        <w:t>③对基金财产进行估值和变现；</w:t>
      </w:r>
    </w:p>
    <w:p w14:paraId="1E34F35C">
      <w:pPr>
        <w:autoSpaceDE w:val="0"/>
        <w:autoSpaceDN w:val="0"/>
        <w:adjustRightInd w:val="0"/>
        <w:snapToGrid w:val="0"/>
        <w:spacing w:line="360" w:lineRule="auto"/>
        <w:ind w:firstLine="480" w:firstLineChars="200"/>
        <w:jc w:val="left"/>
        <w:rPr>
          <w:sz w:val="24"/>
        </w:rPr>
      </w:pPr>
      <w:r>
        <w:rPr>
          <w:rFonts w:hint="eastAsia"/>
          <w:sz w:val="24"/>
        </w:rPr>
        <w:t>④制作清算报告；</w:t>
      </w:r>
    </w:p>
    <w:p w14:paraId="7079C96C">
      <w:pPr>
        <w:autoSpaceDE w:val="0"/>
        <w:autoSpaceDN w:val="0"/>
        <w:adjustRightInd w:val="0"/>
        <w:snapToGrid w:val="0"/>
        <w:spacing w:line="360" w:lineRule="auto"/>
        <w:ind w:firstLine="480" w:firstLineChars="200"/>
        <w:jc w:val="left"/>
        <w:rPr>
          <w:sz w:val="24"/>
        </w:rPr>
      </w:pPr>
      <w:r>
        <w:rPr>
          <w:rFonts w:hint="eastAsia"/>
          <w:sz w:val="24"/>
        </w:rPr>
        <w:t>⑤聘请会计师事务所对清算报告进行外部审计，聘请律师事务所对清算报告出具法律意见书；</w:t>
      </w:r>
    </w:p>
    <w:p w14:paraId="32A53657">
      <w:pPr>
        <w:autoSpaceDE w:val="0"/>
        <w:autoSpaceDN w:val="0"/>
        <w:adjustRightInd w:val="0"/>
        <w:snapToGrid w:val="0"/>
        <w:spacing w:line="360" w:lineRule="auto"/>
        <w:ind w:firstLine="480" w:firstLineChars="200"/>
        <w:jc w:val="left"/>
        <w:rPr>
          <w:sz w:val="24"/>
        </w:rPr>
      </w:pPr>
      <w:r>
        <w:rPr>
          <w:rFonts w:hint="eastAsia"/>
          <w:sz w:val="24"/>
        </w:rPr>
        <w:t>⑥将清算报告报中国证监会备案并公告；</w:t>
      </w:r>
    </w:p>
    <w:p w14:paraId="36E4FD6C">
      <w:pPr>
        <w:autoSpaceDE w:val="0"/>
        <w:autoSpaceDN w:val="0"/>
        <w:adjustRightInd w:val="0"/>
        <w:snapToGrid w:val="0"/>
        <w:spacing w:line="360" w:lineRule="auto"/>
        <w:ind w:firstLine="480" w:firstLineChars="200"/>
        <w:jc w:val="left"/>
        <w:rPr>
          <w:sz w:val="24"/>
        </w:rPr>
      </w:pPr>
      <w:r>
        <w:rPr>
          <w:rFonts w:hint="eastAsia"/>
          <w:sz w:val="24"/>
        </w:rPr>
        <w:t>⑦对基金剩余财产进行分配。</w:t>
      </w:r>
    </w:p>
    <w:p w14:paraId="03B68FC3">
      <w:pPr>
        <w:autoSpaceDE w:val="0"/>
        <w:autoSpaceDN w:val="0"/>
        <w:adjustRightInd w:val="0"/>
        <w:snapToGrid w:val="0"/>
        <w:spacing w:line="360" w:lineRule="auto"/>
        <w:ind w:firstLine="480" w:firstLineChars="200"/>
        <w:jc w:val="left"/>
        <w:rPr>
          <w:sz w:val="24"/>
        </w:rPr>
      </w:pPr>
      <w:r>
        <w:rPr>
          <w:rFonts w:hint="eastAsia"/>
          <w:sz w:val="24"/>
        </w:rPr>
        <w:t>5）基金财产清算的期限为6个月，但因本基金所持证券的流动性受到限制而不能及时变现的，清算期限相应顺延。</w:t>
      </w:r>
    </w:p>
    <w:p w14:paraId="62C4221C">
      <w:pPr>
        <w:autoSpaceDE w:val="0"/>
        <w:autoSpaceDN w:val="0"/>
        <w:adjustRightInd w:val="0"/>
        <w:snapToGrid w:val="0"/>
        <w:spacing w:line="360" w:lineRule="auto"/>
        <w:ind w:firstLine="480" w:firstLineChars="200"/>
        <w:jc w:val="left"/>
        <w:rPr>
          <w:sz w:val="24"/>
        </w:rPr>
      </w:pPr>
      <w:r>
        <w:rPr>
          <w:rFonts w:hint="eastAsia"/>
          <w:sz w:val="24"/>
        </w:rPr>
        <w:t>（3）清算费用</w:t>
      </w:r>
    </w:p>
    <w:p w14:paraId="2DF9E006">
      <w:pPr>
        <w:autoSpaceDE w:val="0"/>
        <w:autoSpaceDN w:val="0"/>
        <w:adjustRightInd w:val="0"/>
        <w:snapToGrid w:val="0"/>
        <w:spacing w:line="360" w:lineRule="auto"/>
        <w:ind w:firstLine="480" w:firstLineChars="200"/>
        <w:jc w:val="left"/>
        <w:rPr>
          <w:sz w:val="24"/>
        </w:rPr>
      </w:pPr>
      <w:r>
        <w:rPr>
          <w:rFonts w:hint="eastAsia"/>
          <w:sz w:val="24"/>
        </w:rPr>
        <w:t>清算费用是指基金财产清算小组在进行基金财产清算过程中发生的所有合理费用，清算费用由基金财产清算小组优先从基金财产中支付。</w:t>
      </w:r>
    </w:p>
    <w:p w14:paraId="3D604617">
      <w:pPr>
        <w:autoSpaceDE w:val="0"/>
        <w:autoSpaceDN w:val="0"/>
        <w:adjustRightInd w:val="0"/>
        <w:snapToGrid w:val="0"/>
        <w:spacing w:line="360" w:lineRule="auto"/>
        <w:ind w:firstLine="480" w:firstLineChars="200"/>
        <w:jc w:val="left"/>
        <w:rPr>
          <w:sz w:val="24"/>
        </w:rPr>
      </w:pPr>
      <w:r>
        <w:rPr>
          <w:rFonts w:hint="eastAsia"/>
          <w:sz w:val="24"/>
        </w:rPr>
        <w:t>（4）基金财产清算剩余资产的分配</w:t>
      </w:r>
    </w:p>
    <w:p w14:paraId="04BEA02A">
      <w:pPr>
        <w:autoSpaceDE w:val="0"/>
        <w:autoSpaceDN w:val="0"/>
        <w:adjustRightInd w:val="0"/>
        <w:snapToGrid w:val="0"/>
        <w:spacing w:line="360" w:lineRule="auto"/>
        <w:ind w:firstLine="480" w:firstLineChars="200"/>
        <w:jc w:val="left"/>
        <w:rPr>
          <w:rFonts w:hint="eastAsia"/>
          <w:sz w:val="24"/>
        </w:rPr>
      </w:pPr>
      <w:r>
        <w:rPr>
          <w:rFonts w:hint="eastAsia"/>
          <w:sz w:val="24"/>
        </w:rPr>
        <w:t>依据基金财产清算的分配方案，将基金财产清算后的全部剩余资产扣除基金财产清算费用、交纳所欠税款并清偿基金债务后，按基金份额持有人持有的各类基金份额比例进行分配。</w:t>
      </w:r>
    </w:p>
    <w:p w14:paraId="66E88CA4">
      <w:pPr>
        <w:autoSpaceDE w:val="0"/>
        <w:autoSpaceDN w:val="0"/>
        <w:adjustRightInd w:val="0"/>
        <w:snapToGrid w:val="0"/>
        <w:spacing w:line="360" w:lineRule="auto"/>
        <w:ind w:firstLine="480" w:firstLineChars="200"/>
        <w:jc w:val="left"/>
        <w:rPr>
          <w:rFonts w:hint="eastAsia"/>
          <w:sz w:val="24"/>
        </w:rPr>
      </w:pPr>
      <w:r>
        <w:rPr>
          <w:rFonts w:hint="eastAsia"/>
          <w:bCs/>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14:paraId="218388C3">
      <w:pPr>
        <w:autoSpaceDE w:val="0"/>
        <w:autoSpaceDN w:val="0"/>
        <w:adjustRightInd w:val="0"/>
        <w:snapToGrid w:val="0"/>
        <w:spacing w:line="360" w:lineRule="auto"/>
        <w:ind w:firstLine="480" w:firstLineChars="200"/>
        <w:jc w:val="left"/>
        <w:rPr>
          <w:sz w:val="24"/>
        </w:rPr>
      </w:pPr>
      <w:r>
        <w:rPr>
          <w:rFonts w:hint="eastAsia"/>
          <w:sz w:val="24"/>
        </w:rPr>
        <w:t>（5）基金财产清算的公告</w:t>
      </w:r>
    </w:p>
    <w:p w14:paraId="00917A13">
      <w:pPr>
        <w:autoSpaceDE w:val="0"/>
        <w:autoSpaceDN w:val="0"/>
        <w:adjustRightInd w:val="0"/>
        <w:snapToGrid w:val="0"/>
        <w:spacing w:line="360" w:lineRule="auto"/>
        <w:ind w:firstLine="480" w:firstLineChars="200"/>
        <w:jc w:val="left"/>
        <w:rPr>
          <w:sz w:val="24"/>
        </w:rPr>
      </w:pPr>
      <w:r>
        <w:rPr>
          <w:rFonts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7222744">
      <w:pPr>
        <w:autoSpaceDE w:val="0"/>
        <w:autoSpaceDN w:val="0"/>
        <w:adjustRightInd w:val="0"/>
        <w:snapToGrid w:val="0"/>
        <w:spacing w:line="360" w:lineRule="auto"/>
        <w:ind w:firstLine="480" w:firstLineChars="200"/>
        <w:jc w:val="left"/>
        <w:rPr>
          <w:sz w:val="24"/>
        </w:rPr>
      </w:pPr>
      <w:r>
        <w:rPr>
          <w:rFonts w:hint="eastAsia"/>
          <w:sz w:val="24"/>
        </w:rPr>
        <w:t>（6）基金财产清算账册及文件的保存</w:t>
      </w:r>
    </w:p>
    <w:p w14:paraId="598952B5">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sz w:val="24"/>
        </w:rPr>
        <w:t>基金财产清算账册及有关文件由基金托管人保存不低于法律法规规定的最低期限。</w:t>
      </w:r>
    </w:p>
    <w:p w14:paraId="745E26D6">
      <w:pPr>
        <w:widowControl/>
        <w:adjustRightInd w:val="0"/>
        <w:snapToGrid w:val="0"/>
        <w:spacing w:before="143" w:beforeLines="50" w:after="143" w:afterLines="50" w:line="360" w:lineRule="auto"/>
        <w:jc w:val="center"/>
        <w:outlineLvl w:val="0"/>
        <w:rPr>
          <w:b/>
          <w:sz w:val="30"/>
        </w:rPr>
      </w:pPr>
      <w:r>
        <w:rPr>
          <w:b/>
          <w:sz w:val="30"/>
        </w:rPr>
        <w:br w:type="page"/>
      </w:r>
      <w:bookmarkEnd w:id="124"/>
      <w:bookmarkStart w:id="125" w:name="_Toc50983789"/>
      <w:r>
        <w:rPr>
          <w:rFonts w:hint="eastAsia" w:ascii="宋体" w:hAnsi="宋体"/>
          <w:b/>
          <w:kern w:val="0"/>
          <w:sz w:val="30"/>
        </w:rPr>
        <w:t>二十一、对基金份额持有人的服务</w:t>
      </w:r>
      <w:bookmarkEnd w:id="125"/>
    </w:p>
    <w:p w14:paraId="4972145B">
      <w:pPr>
        <w:widowControl/>
        <w:adjustRightInd w:val="0"/>
        <w:snapToGrid w:val="0"/>
        <w:spacing w:line="360" w:lineRule="auto"/>
        <w:ind w:firstLine="480" w:firstLineChars="200"/>
        <w:rPr>
          <w:rFonts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p>
    <w:p w14:paraId="61278BA7">
      <w:pPr>
        <w:widowControl/>
        <w:adjustRightInd w:val="0"/>
        <w:snapToGrid w:val="0"/>
        <w:spacing w:line="360" w:lineRule="auto"/>
        <w:ind w:firstLine="482" w:firstLineChars="200"/>
        <w:rPr>
          <w:rFonts w:hAnsi="宋体"/>
          <w:b/>
          <w:kern w:val="0"/>
          <w:sz w:val="24"/>
        </w:rPr>
      </w:pPr>
      <w:r>
        <w:rPr>
          <w:rFonts w:hAnsi="宋体"/>
          <w:b/>
          <w:kern w:val="0"/>
          <w:sz w:val="24"/>
        </w:rPr>
        <w:t>（一）</w:t>
      </w:r>
      <w:r>
        <w:rPr>
          <w:rFonts w:hint="eastAsia" w:hAnsi="宋体"/>
          <w:b/>
          <w:kern w:val="0"/>
          <w:sz w:val="24"/>
        </w:rPr>
        <w:t>基金募集客户服务相关准备工作</w:t>
      </w:r>
    </w:p>
    <w:p w14:paraId="7D153A52">
      <w:pPr>
        <w:widowControl/>
        <w:adjustRightInd w:val="0"/>
        <w:snapToGrid w:val="0"/>
        <w:spacing w:line="360" w:lineRule="auto"/>
        <w:ind w:firstLine="480" w:firstLineChars="200"/>
        <w:rPr>
          <w:rFonts w:hAnsi="宋体"/>
          <w:kern w:val="0"/>
          <w:sz w:val="24"/>
        </w:rPr>
      </w:pPr>
      <w:r>
        <w:rPr>
          <w:rFonts w:hint="eastAsia" w:hAnsi="宋体"/>
          <w:kern w:val="0"/>
          <w:sz w:val="24"/>
        </w:rPr>
        <w:t>基金管理人将通过客户服务电话、公司网站、手机短信及其他服务形式，向投资者提供关于基金募集的信息咨询服务，并为投资者办理基金募集相关业务提供协助。</w:t>
      </w:r>
    </w:p>
    <w:p w14:paraId="668FE5F5">
      <w:pPr>
        <w:widowControl/>
        <w:adjustRightInd w:val="0"/>
        <w:snapToGrid w:val="0"/>
        <w:spacing w:line="360" w:lineRule="auto"/>
        <w:ind w:firstLine="482" w:firstLineChars="200"/>
        <w:rPr>
          <w:rFonts w:hAnsi="宋体"/>
          <w:b/>
          <w:kern w:val="0"/>
          <w:sz w:val="24"/>
        </w:rPr>
      </w:pPr>
      <w:r>
        <w:rPr>
          <w:rFonts w:hAnsi="宋体"/>
          <w:b/>
          <w:kern w:val="0"/>
          <w:sz w:val="24"/>
        </w:rPr>
        <w:t>（二）网上</w:t>
      </w:r>
      <w:r>
        <w:rPr>
          <w:rFonts w:hint="eastAsia" w:hAnsi="宋体"/>
          <w:b/>
          <w:kern w:val="0"/>
          <w:sz w:val="24"/>
        </w:rPr>
        <w:t>直销</w:t>
      </w:r>
      <w:r>
        <w:rPr>
          <w:rFonts w:hAnsi="宋体"/>
          <w:b/>
          <w:kern w:val="0"/>
          <w:sz w:val="24"/>
        </w:rPr>
        <w:t>服务</w:t>
      </w:r>
    </w:p>
    <w:p w14:paraId="0BC2D605">
      <w:pPr>
        <w:widowControl/>
        <w:adjustRightInd w:val="0"/>
        <w:snapToGrid w:val="0"/>
        <w:spacing w:line="360" w:lineRule="auto"/>
        <w:ind w:firstLine="480" w:firstLineChars="200"/>
        <w:rPr>
          <w:rFonts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hAnsi="宋体"/>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rFonts w:hint="eastAsia" w:hAnsi="宋体"/>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rFonts w:hint="eastAsia" w:hAnsi="宋体"/>
          <w:kern w:val="0"/>
          <w:sz w:val="24"/>
        </w:rPr>
        <w:t>本基金的申购和赎回等业务</w:t>
      </w:r>
      <w:r>
        <w:rPr>
          <w:rFonts w:hAnsi="宋体"/>
          <w:kern w:val="0"/>
          <w:sz w:val="24"/>
        </w:rPr>
        <w:t>，有关详情可参见相关公告。</w:t>
      </w:r>
    </w:p>
    <w:p w14:paraId="7AB5B4DE">
      <w:pPr>
        <w:widowControl/>
        <w:adjustRightInd w:val="0"/>
        <w:snapToGrid w:val="0"/>
        <w:spacing w:line="360" w:lineRule="auto"/>
        <w:ind w:firstLine="480" w:firstLineChars="200"/>
        <w:rPr>
          <w:rFonts w:hAnsi="宋体"/>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14:paraId="5BD460CA">
      <w:pPr>
        <w:widowControl/>
        <w:adjustRightInd w:val="0"/>
        <w:snapToGrid w:val="0"/>
        <w:spacing w:line="360" w:lineRule="auto"/>
        <w:ind w:firstLine="480" w:firstLineChars="200"/>
        <w:rPr>
          <w:rFonts w:hAnsi="宋体"/>
          <w:kern w:val="0"/>
          <w:sz w:val="24"/>
        </w:rPr>
      </w:pPr>
      <w:r>
        <w:rPr>
          <w:rFonts w:hAnsi="宋体"/>
          <w:kern w:val="0"/>
          <w:sz w:val="24"/>
        </w:rPr>
        <w:t>在条件成熟的时候，本基金管理人将根据基金网上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14:paraId="726EEA4F">
      <w:pPr>
        <w:widowControl/>
        <w:adjustRightInd w:val="0"/>
        <w:snapToGrid w:val="0"/>
        <w:spacing w:line="360" w:lineRule="auto"/>
        <w:ind w:firstLine="482" w:firstLineChars="200"/>
        <w:rPr>
          <w:rFonts w:hAnsi="宋体"/>
          <w:b/>
          <w:kern w:val="0"/>
          <w:sz w:val="24"/>
        </w:rPr>
      </w:pPr>
      <w:r>
        <w:rPr>
          <w:rFonts w:hAnsi="宋体"/>
          <w:b/>
          <w:kern w:val="0"/>
          <w:sz w:val="24"/>
        </w:rPr>
        <w:t>（三）信息咨询、查询服务</w:t>
      </w:r>
    </w:p>
    <w:p w14:paraId="2BE34E0D">
      <w:pPr>
        <w:widowControl/>
        <w:adjustRightInd w:val="0"/>
        <w:snapToGrid w:val="0"/>
        <w:spacing w:line="360" w:lineRule="auto"/>
        <w:ind w:firstLine="480" w:firstLineChars="200"/>
        <w:rPr>
          <w:kern w:val="0"/>
          <w:sz w:val="24"/>
        </w:rPr>
      </w:pPr>
      <w:r>
        <w:rPr>
          <w:rFonts w:hAnsi="宋体"/>
          <w:kern w:val="0"/>
          <w:sz w:val="24"/>
        </w:rPr>
        <w:t>投资人如果想查询基金账户余额、基金产品与服务等信息，请拨打本基金管理人客户服务电话（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t>
      </w:r>
      <w:r>
        <w:rPr>
          <w:rFonts w:hint="eastAsia"/>
          <w:kern w:val="0"/>
          <w:sz w:val="24"/>
        </w:rPr>
        <w:t>www.fund001.com</w:t>
      </w:r>
      <w:r>
        <w:rPr>
          <w:kern w:val="0"/>
          <w:sz w:val="24"/>
        </w:rPr>
        <w:t>）进</w:t>
      </w:r>
      <w:r>
        <w:rPr>
          <w:rFonts w:hAnsi="宋体"/>
          <w:kern w:val="0"/>
          <w:sz w:val="24"/>
        </w:rPr>
        <w:t>行咨询、查询。</w:t>
      </w:r>
    </w:p>
    <w:p w14:paraId="433252DC">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1CA34209">
      <w:pPr>
        <w:widowControl/>
        <w:adjustRightInd w:val="0"/>
        <w:snapToGrid w:val="0"/>
        <w:spacing w:line="360" w:lineRule="auto"/>
        <w:ind w:firstLine="480" w:firstLineChars="200"/>
        <w:rPr>
          <w:kern w:val="0"/>
          <w:sz w:val="24"/>
        </w:rPr>
      </w:pPr>
      <w:r>
        <w:rPr>
          <w:kern w:val="0"/>
          <w:sz w:val="24"/>
        </w:rPr>
        <w:t>投资人可以拨打本基金管理人客户服务电话投诉直销机构的人员和服务。</w:t>
      </w:r>
    </w:p>
    <w:p w14:paraId="6D087A62">
      <w:pPr>
        <w:widowControl/>
        <w:adjustRightInd w:val="0"/>
        <w:snapToGrid w:val="0"/>
        <w:spacing w:line="360" w:lineRule="auto"/>
        <w:ind w:firstLine="482" w:firstLineChars="200"/>
        <w:rPr>
          <w:rFonts w:hAnsi="宋体"/>
          <w:b/>
          <w:kern w:val="0"/>
          <w:sz w:val="24"/>
        </w:rPr>
      </w:pPr>
      <w:r>
        <w:rPr>
          <w:rFonts w:hAnsi="宋体"/>
          <w:b/>
          <w:kern w:val="0"/>
          <w:sz w:val="24"/>
        </w:rPr>
        <w:t>（四）基金红利再投资</w:t>
      </w:r>
    </w:p>
    <w:p w14:paraId="44D877B0">
      <w:pPr>
        <w:widowControl/>
        <w:adjustRightInd w:val="0"/>
        <w:snapToGrid w:val="0"/>
        <w:spacing w:line="360" w:lineRule="auto"/>
        <w:ind w:firstLine="480" w:firstLineChars="200"/>
        <w:rPr>
          <w:kern w:val="0"/>
          <w:sz w:val="24"/>
        </w:rPr>
      </w:pPr>
      <w:r>
        <w:rPr>
          <w:kern w:val="0"/>
          <w:sz w:val="24"/>
        </w:rPr>
        <w:t>本基金收益分配时，</w:t>
      </w:r>
      <w:r>
        <w:rPr>
          <w:rFonts w:hint="eastAsia"/>
          <w:kern w:val="0"/>
          <w:sz w:val="24"/>
        </w:rPr>
        <w:t>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14:paraId="4E8F5AE4">
      <w:pPr>
        <w:widowControl/>
        <w:adjustRightInd w:val="0"/>
        <w:snapToGrid w:val="0"/>
        <w:spacing w:line="360" w:lineRule="auto"/>
        <w:ind w:firstLine="482" w:firstLineChars="200"/>
        <w:rPr>
          <w:rFonts w:hAnsi="宋体"/>
          <w:b/>
          <w:kern w:val="0"/>
          <w:sz w:val="24"/>
        </w:rPr>
      </w:pPr>
      <w:r>
        <w:rPr>
          <w:rFonts w:hAnsi="宋体"/>
          <w:b/>
          <w:kern w:val="0"/>
          <w:sz w:val="24"/>
        </w:rPr>
        <w:t>（五）定期定额投资计划</w:t>
      </w:r>
    </w:p>
    <w:p w14:paraId="10D69A91">
      <w:pPr>
        <w:widowControl/>
        <w:adjustRightInd w:val="0"/>
        <w:snapToGrid w:val="0"/>
        <w:spacing w:line="360" w:lineRule="auto"/>
        <w:ind w:firstLine="480" w:firstLineChars="200"/>
        <w:rPr>
          <w:kern w:val="0"/>
          <w:sz w:val="24"/>
        </w:rPr>
      </w:pPr>
      <w:r>
        <w:rPr>
          <w:kern w:val="0"/>
          <w:sz w:val="24"/>
        </w:rPr>
        <w:t>待技术条件成熟时，基金</w:t>
      </w:r>
      <w:bookmarkStart w:id="126" w:name="OLE_LINK11"/>
      <w:r>
        <w:rPr>
          <w:kern w:val="0"/>
          <w:sz w:val="24"/>
        </w:rPr>
        <w:t>管理人可通过销售机构为投资人提供定期定额投资的服务。通过定期定额</w:t>
      </w:r>
      <w:bookmarkEnd w:id="126"/>
      <w:r>
        <w:rPr>
          <w:kern w:val="0"/>
          <w:sz w:val="24"/>
        </w:rPr>
        <w:t>投资计划，投资人可以定期定额申购基金份额，具体实施方法另行公告。</w:t>
      </w:r>
    </w:p>
    <w:p w14:paraId="207F62E3">
      <w:pPr>
        <w:widowControl/>
        <w:adjustRightInd w:val="0"/>
        <w:snapToGrid w:val="0"/>
        <w:spacing w:line="360" w:lineRule="auto"/>
        <w:ind w:firstLine="480" w:firstLineChars="200"/>
        <w:rPr>
          <w:kern w:val="0"/>
          <w:sz w:val="24"/>
        </w:rPr>
      </w:pPr>
      <w:r>
        <w:rPr>
          <w:rFonts w:hAnsi="宋体"/>
          <w:kern w:val="0"/>
          <w:sz w:val="24"/>
        </w:rPr>
        <w:t>服务联系方式：</w:t>
      </w:r>
    </w:p>
    <w:p w14:paraId="2955D2E2">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p>
    <w:p w14:paraId="4F3D7A6B">
      <w:pPr>
        <w:widowControl/>
        <w:adjustRightInd w:val="0"/>
        <w:snapToGrid w:val="0"/>
        <w:spacing w:line="360" w:lineRule="auto"/>
        <w:ind w:firstLine="480" w:firstLineChars="200"/>
        <w:rPr>
          <w:kern w:val="0"/>
          <w:sz w:val="24"/>
        </w:rPr>
      </w:pPr>
      <w:r>
        <w:rPr>
          <w:rFonts w:hAnsi="宋体"/>
          <w:kern w:val="0"/>
          <w:sz w:val="24"/>
        </w:rPr>
        <w:t>网址：</w:t>
      </w:r>
      <w:r>
        <w:fldChar w:fldCharType="begin"/>
      </w:r>
      <w:r>
        <w:instrText xml:space="preserve"> HYPERLINK "http://www.jysld.com或www.bocomschroder.com" </w:instrText>
      </w:r>
      <w:r>
        <w:fldChar w:fldCharType="separate"/>
      </w:r>
      <w:r>
        <w:rPr>
          <w:sz w:val="24"/>
        </w:rPr>
        <w:t>www.fund001.com</w:t>
      </w:r>
      <w:r>
        <w:rPr>
          <w:sz w:val="24"/>
        </w:rPr>
        <w:fldChar w:fldCharType="end"/>
      </w:r>
    </w:p>
    <w:p w14:paraId="4F72FCE0">
      <w:pPr>
        <w:widowControl/>
        <w:adjustRightInd w:val="0"/>
        <w:snapToGrid w:val="0"/>
        <w:spacing w:line="360" w:lineRule="auto"/>
        <w:ind w:firstLine="480" w:firstLineChars="200"/>
        <w:rPr>
          <w:rFonts w:ascii="宋体" w:hAnsi="宋体"/>
          <w:kern w:val="0"/>
          <w:sz w:val="24"/>
        </w:rPr>
      </w:pPr>
      <w:r>
        <w:rPr>
          <w:rFonts w:ascii="宋体" w:hAnsi="宋体"/>
          <w:kern w:val="0"/>
          <w:sz w:val="24"/>
        </w:rPr>
        <w:t>电子信箱：</w:t>
      </w:r>
      <w:r>
        <w:rPr>
          <w:sz w:val="24"/>
        </w:rPr>
        <w:t>services@jysld.com</w:t>
      </w:r>
    </w:p>
    <w:p w14:paraId="356A8047">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投资者也可登录本基金管理人网站，直接提出有关本基金的问题和建议。</w:t>
      </w:r>
    </w:p>
    <w:p w14:paraId="49D8E196">
      <w:pPr>
        <w:widowControl/>
        <w:adjustRightInd w:val="0"/>
        <w:snapToGrid w:val="0"/>
        <w:spacing w:line="360" w:lineRule="auto"/>
        <w:ind w:firstLine="482" w:firstLineChars="200"/>
        <w:rPr>
          <w:rFonts w:ascii="宋体" w:hAnsi="宋体"/>
          <w:b/>
          <w:kern w:val="0"/>
          <w:sz w:val="24"/>
        </w:rPr>
      </w:pPr>
      <w:r>
        <w:rPr>
          <w:rFonts w:hint="eastAsia" w:hAnsi="宋体"/>
          <w:b/>
          <w:kern w:val="0"/>
          <w:sz w:val="24"/>
        </w:rPr>
        <w:t>（六）如本招募说明书存在任何您</w:t>
      </w:r>
      <w:r>
        <w:rPr>
          <w:rFonts w:hAnsi="宋体"/>
          <w:b/>
          <w:kern w:val="0"/>
          <w:sz w:val="24"/>
        </w:rPr>
        <w:t>/</w:t>
      </w:r>
      <w:r>
        <w:rPr>
          <w:rFonts w:hint="eastAsia" w:hAnsi="宋体"/>
          <w:b/>
          <w:kern w:val="0"/>
          <w:sz w:val="24"/>
        </w:rPr>
        <w:t>贵机构无法理解的内容，请通过上述方式联系基金管理人。请确保投资前，您</w:t>
      </w:r>
      <w:r>
        <w:rPr>
          <w:rFonts w:hAnsi="宋体"/>
          <w:b/>
          <w:kern w:val="0"/>
          <w:sz w:val="24"/>
        </w:rPr>
        <w:t>/</w:t>
      </w:r>
      <w:r>
        <w:rPr>
          <w:rFonts w:hint="eastAsia" w:hAnsi="宋体"/>
          <w:b/>
          <w:kern w:val="0"/>
          <w:sz w:val="24"/>
        </w:rPr>
        <w:t>贵机构已经全面理解了本招募说明书。</w:t>
      </w:r>
    </w:p>
    <w:p w14:paraId="7BF14A53">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27" w:name="_Toc50983790"/>
      <w:r>
        <w:rPr>
          <w:rFonts w:hint="eastAsia" w:ascii="宋体" w:hAnsi="宋体"/>
          <w:b/>
          <w:kern w:val="0"/>
          <w:sz w:val="30"/>
        </w:rPr>
        <w:t>二十二、其他应披露事项</w:t>
      </w:r>
      <w:bookmarkEnd w:id="127"/>
    </w:p>
    <w:p w14:paraId="0B699492">
      <w:pPr>
        <w:widowControl/>
        <w:adjustRightInd w:val="0"/>
        <w:snapToGrid w:val="0"/>
        <w:spacing w:line="360" w:lineRule="auto"/>
        <w:ind w:firstLine="480" w:firstLineChars="200"/>
        <w:rPr>
          <w:rFonts w:ascii="宋体" w:hAnsi="宋体"/>
          <w:kern w:val="0"/>
          <w:sz w:val="24"/>
        </w:rPr>
      </w:pPr>
      <w:r>
        <w:rPr>
          <w:rFonts w:ascii="宋体" w:hAnsi="宋体"/>
          <w:kern w:val="0"/>
          <w:sz w:val="24"/>
        </w:rPr>
        <w:t>基金合同如有未尽事宜，由基金合同当事人各方按有关法律法规协商解决。</w:t>
      </w:r>
    </w:p>
    <w:p w14:paraId="77AEA144">
      <w:pPr>
        <w:widowControl/>
        <w:adjustRightInd w:val="0"/>
        <w:snapToGrid w:val="0"/>
        <w:spacing w:line="360" w:lineRule="auto"/>
        <w:ind w:firstLine="480" w:firstLineChars="200"/>
        <w:rPr>
          <w:rFonts w:ascii="宋体" w:hAnsi="宋体"/>
          <w:kern w:val="0"/>
          <w:sz w:val="24"/>
        </w:rPr>
      </w:pPr>
    </w:p>
    <w:p w14:paraId="7B598AB4">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28" w:name="_Toc50983791"/>
      <w:r>
        <w:rPr>
          <w:rFonts w:hint="eastAsia" w:ascii="宋体" w:hAnsi="宋体"/>
          <w:b/>
          <w:kern w:val="0"/>
          <w:sz w:val="30"/>
        </w:rPr>
        <w:t>二十三、招募说明书的存放及查阅方式</w:t>
      </w:r>
      <w:bookmarkEnd w:id="128"/>
    </w:p>
    <w:p w14:paraId="30C859B4">
      <w:pPr>
        <w:widowControl/>
        <w:adjustRightInd w:val="0"/>
        <w:snapToGrid w:val="0"/>
        <w:spacing w:line="360" w:lineRule="auto"/>
        <w:ind w:firstLine="480" w:firstLineChars="20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hint="eastAsia" w:ascii="宋体" w:hAnsi="宋体"/>
          <w:kern w:val="0"/>
          <w:sz w:val="24"/>
        </w:rPr>
        <w:t>办公</w:t>
      </w:r>
      <w:r>
        <w:rPr>
          <w:rFonts w:ascii="宋体" w:hAnsi="宋体"/>
          <w:kern w:val="0"/>
          <w:sz w:val="24"/>
        </w:rPr>
        <w:t>场所，投资人可在办公时间查阅；投资人在支付工本费后，可在合理时</w:t>
      </w:r>
      <w:bookmarkStart w:id="129" w:name="_Toc109537401"/>
      <w:r>
        <w:rPr>
          <w:rFonts w:ascii="宋体" w:hAnsi="宋体"/>
          <w:kern w:val="0"/>
          <w:sz w:val="24"/>
        </w:rPr>
        <w:t>间内取得上述文件复制件</w:t>
      </w:r>
      <w:bookmarkEnd w:id="129"/>
      <w:r>
        <w:rPr>
          <w:rFonts w:ascii="宋体" w:hAnsi="宋体"/>
          <w:kern w:val="0"/>
          <w:sz w:val="24"/>
        </w:rPr>
        <w:t>或复印件。对投资人按此种方式所获得的文件及其复印件，基金管理人和基金托管人</w:t>
      </w:r>
      <w:bookmarkStart w:id="130" w:name="_Toc109537402"/>
      <w:r>
        <w:rPr>
          <w:rFonts w:ascii="宋体" w:hAnsi="宋体"/>
          <w:kern w:val="0"/>
          <w:sz w:val="24"/>
        </w:rPr>
        <w:t>保证文本的内容与所公告的内容完全一</w:t>
      </w:r>
      <w:bookmarkEnd w:id="130"/>
      <w:r>
        <w:rPr>
          <w:rFonts w:ascii="宋体" w:hAnsi="宋体"/>
          <w:kern w:val="0"/>
          <w:sz w:val="24"/>
        </w:rPr>
        <w:t>致。</w:t>
      </w:r>
    </w:p>
    <w:p w14:paraId="47B5B56B">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投资人还可以直接登录基金管理人的网站（</w:t>
      </w:r>
      <w:r>
        <w:fldChar w:fldCharType="begin"/>
      </w:r>
      <w:r>
        <w:instrText xml:space="preserve"> HYPERLINK "http://www.fund001.com，www.bocomschroder.com" </w:instrText>
      </w:r>
      <w:r>
        <w:fldChar w:fldCharType="separate"/>
      </w:r>
      <w:r>
        <w:rPr>
          <w:rStyle w:val="31"/>
          <w:color w:val="auto"/>
          <w:sz w:val="24"/>
          <w:u w:val="none"/>
        </w:rPr>
        <w:t>www.fund001.com</w:t>
      </w:r>
      <w:r>
        <w:rPr>
          <w:rStyle w:val="31"/>
          <w:color w:val="auto"/>
          <w:sz w:val="24"/>
          <w:u w:val="none"/>
        </w:rPr>
        <w:fldChar w:fldCharType="end"/>
      </w:r>
      <w:r>
        <w:rPr>
          <w:rStyle w:val="31"/>
          <w:color w:val="auto"/>
          <w:u w:val="none"/>
        </w:rPr>
        <w:t>）</w:t>
      </w:r>
      <w:r>
        <w:rPr>
          <w:rFonts w:ascii="宋体" w:hAnsi="宋体"/>
          <w:kern w:val="0"/>
          <w:sz w:val="24"/>
        </w:rPr>
        <w:t>查阅和下载招募说明书。</w:t>
      </w:r>
    </w:p>
    <w:p w14:paraId="4716EF33">
      <w:pPr>
        <w:widowControl/>
        <w:adjustRightInd w:val="0"/>
        <w:snapToGrid w:val="0"/>
        <w:spacing w:line="360" w:lineRule="auto"/>
        <w:ind w:firstLine="480" w:firstLineChars="200"/>
        <w:rPr>
          <w:rFonts w:ascii="宋体" w:hAnsi="宋体"/>
          <w:kern w:val="0"/>
          <w:sz w:val="24"/>
        </w:rPr>
      </w:pPr>
    </w:p>
    <w:p w14:paraId="5F0E54A9">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31" w:name="_Toc50983792"/>
      <w:r>
        <w:rPr>
          <w:rFonts w:hint="eastAsia" w:ascii="宋体" w:hAnsi="宋体"/>
          <w:b/>
          <w:kern w:val="0"/>
          <w:sz w:val="30"/>
        </w:rPr>
        <w:t>二十四、备查文件</w:t>
      </w:r>
      <w:bookmarkEnd w:id="131"/>
    </w:p>
    <w:p w14:paraId="1883CDDE">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以下备查文件存放在基金管理人的办公场所，在办公时间可供免费查阅。</w:t>
      </w:r>
    </w:p>
    <w:p w14:paraId="554C1302">
      <w:pPr>
        <w:widowControl/>
        <w:adjustRightInd w:val="0"/>
        <w:snapToGrid w:val="0"/>
        <w:spacing w:line="360" w:lineRule="auto"/>
        <w:ind w:firstLine="480" w:firstLineChars="200"/>
        <w:rPr>
          <w:rFonts w:ascii="宋体" w:hAnsi="宋体"/>
          <w:kern w:val="0"/>
          <w:sz w:val="24"/>
        </w:rPr>
      </w:pPr>
      <w:r>
        <w:rPr>
          <w:rFonts w:ascii="宋体" w:hAnsi="宋体"/>
          <w:kern w:val="0"/>
          <w:sz w:val="24"/>
        </w:rPr>
        <w:t>（一）中国证监会</w:t>
      </w:r>
      <w:r>
        <w:rPr>
          <w:rFonts w:hint="eastAsia" w:ascii="宋体" w:hAnsi="宋体"/>
          <w:kern w:val="0"/>
          <w:sz w:val="24"/>
          <w:szCs w:val="24"/>
        </w:rPr>
        <w:t>准予</w:t>
      </w:r>
      <w:r>
        <w:rPr>
          <w:rFonts w:ascii="宋体" w:hAnsi="宋体"/>
          <w:kern w:val="0"/>
          <w:sz w:val="24"/>
        </w:rPr>
        <w:t>交银施罗德佳宁债券型证券投资基金募集</w:t>
      </w:r>
      <w:r>
        <w:rPr>
          <w:rFonts w:hint="eastAsia" w:ascii="宋体" w:hAnsi="宋体"/>
          <w:kern w:val="0"/>
          <w:sz w:val="24"/>
          <w:szCs w:val="24"/>
        </w:rPr>
        <w:t>注册</w:t>
      </w:r>
      <w:r>
        <w:rPr>
          <w:rFonts w:ascii="宋体" w:hAnsi="宋体"/>
          <w:kern w:val="0"/>
          <w:sz w:val="24"/>
        </w:rPr>
        <w:t>的文件</w:t>
      </w:r>
    </w:p>
    <w:p w14:paraId="709C86E1">
      <w:pPr>
        <w:widowControl/>
        <w:adjustRightInd w:val="0"/>
        <w:snapToGrid w:val="0"/>
        <w:spacing w:line="360" w:lineRule="auto"/>
        <w:ind w:firstLine="480" w:firstLineChars="200"/>
        <w:rPr>
          <w:rFonts w:ascii="宋体" w:hAnsi="宋体"/>
          <w:kern w:val="0"/>
          <w:sz w:val="24"/>
        </w:rPr>
      </w:pPr>
      <w:r>
        <w:rPr>
          <w:rFonts w:ascii="宋体" w:hAnsi="宋体"/>
          <w:kern w:val="0"/>
          <w:sz w:val="24"/>
        </w:rPr>
        <w:t>（二）《交银施罗德佳宁债券型证券投资基金基金合同》</w:t>
      </w:r>
    </w:p>
    <w:p w14:paraId="586DEA17">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三</w:t>
      </w:r>
      <w:r>
        <w:rPr>
          <w:rFonts w:hint="eastAsia" w:ascii="宋体" w:hAnsi="宋体"/>
          <w:kern w:val="0"/>
          <w:sz w:val="24"/>
        </w:rPr>
        <w:t>）</w:t>
      </w:r>
      <w:r>
        <w:rPr>
          <w:rFonts w:ascii="宋体" w:hAnsi="宋体"/>
          <w:kern w:val="0"/>
          <w:sz w:val="24"/>
        </w:rPr>
        <w:t>《交银施罗德佳宁债券型证券投资基金托管协议》</w:t>
      </w:r>
    </w:p>
    <w:p w14:paraId="7E1A1DE9">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（四）</w:t>
      </w:r>
      <w:r>
        <w:rPr>
          <w:rFonts w:ascii="宋体" w:hAnsi="宋体"/>
          <w:kern w:val="0"/>
          <w:sz w:val="24"/>
        </w:rPr>
        <w:t>基金管理人业务资格批件、营业执照</w:t>
      </w:r>
    </w:p>
    <w:p w14:paraId="1F1082CB">
      <w:pPr>
        <w:widowControl/>
        <w:adjustRightInd w:val="0"/>
        <w:snapToGrid w:val="0"/>
        <w:spacing w:line="360" w:lineRule="auto"/>
        <w:ind w:firstLine="480" w:firstLineChars="200"/>
        <w:rPr>
          <w:rFonts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）基金托管人业务资格批件、营业执照</w:t>
      </w:r>
    </w:p>
    <w:p w14:paraId="307CC4CC">
      <w:pPr>
        <w:widowControl/>
        <w:adjustRightInd w:val="0"/>
        <w:snapToGrid w:val="0"/>
        <w:spacing w:line="360" w:lineRule="auto"/>
        <w:ind w:firstLine="480" w:firstLineChars="200"/>
        <w:rPr>
          <w:rFonts w:ascii="宋体" w:hAnsi="宋体"/>
          <w:kern w:val="0"/>
          <w:sz w:val="24"/>
        </w:rPr>
      </w:pPr>
      <w:r>
        <w:rPr>
          <w:rFonts w:ascii="宋体" w:hAnsi="宋体"/>
          <w:kern w:val="0"/>
          <w:sz w:val="24"/>
        </w:rPr>
        <w:t>（</w:t>
      </w:r>
      <w:r>
        <w:rPr>
          <w:rFonts w:hint="eastAsia" w:ascii="宋体" w:hAnsi="宋体"/>
          <w:kern w:val="0"/>
          <w:sz w:val="24"/>
        </w:rPr>
        <w:t>六</w:t>
      </w:r>
      <w:r>
        <w:rPr>
          <w:rFonts w:ascii="宋体" w:hAnsi="宋体"/>
          <w:kern w:val="0"/>
          <w:sz w:val="24"/>
        </w:rPr>
        <w:t>）关于</w:t>
      </w:r>
      <w:r>
        <w:rPr>
          <w:rFonts w:hint="eastAsia" w:ascii="宋体" w:hAnsi="宋体"/>
          <w:kern w:val="0"/>
          <w:sz w:val="24"/>
        </w:rPr>
        <w:t>申请</w:t>
      </w:r>
      <w:r>
        <w:rPr>
          <w:rFonts w:ascii="宋体" w:hAnsi="宋体"/>
          <w:kern w:val="0"/>
          <w:sz w:val="24"/>
        </w:rPr>
        <w:t>募集</w:t>
      </w:r>
      <w:r>
        <w:rPr>
          <w:rFonts w:hint="eastAsia" w:ascii="宋体" w:hAnsi="宋体"/>
          <w:kern w:val="0"/>
          <w:sz w:val="24"/>
          <w:szCs w:val="24"/>
        </w:rPr>
        <w:t>注册</w:t>
      </w:r>
      <w:r>
        <w:rPr>
          <w:rFonts w:ascii="宋体" w:hAnsi="宋体"/>
          <w:kern w:val="0"/>
          <w:sz w:val="24"/>
        </w:rPr>
        <w:t>交银施罗德佳宁债券型证券投资基金</w:t>
      </w:r>
      <w:r>
        <w:rPr>
          <w:rFonts w:hint="eastAsia" w:ascii="宋体" w:hAnsi="宋体"/>
          <w:kern w:val="0"/>
          <w:sz w:val="24"/>
        </w:rPr>
        <w:t>的</w:t>
      </w:r>
      <w:r>
        <w:rPr>
          <w:rFonts w:ascii="宋体" w:hAnsi="宋体"/>
          <w:kern w:val="0"/>
          <w:sz w:val="24"/>
        </w:rPr>
        <w:t>法律意见书</w:t>
      </w:r>
    </w:p>
    <w:p w14:paraId="269FCD0B">
      <w:pPr>
        <w:widowControl/>
        <w:adjustRightInd w:val="0"/>
        <w:snapToGrid w:val="0"/>
        <w:spacing w:line="360" w:lineRule="auto"/>
        <w:ind w:firstLine="480" w:firstLineChars="200"/>
        <w:rPr>
          <w:rFonts w:hAnsi="宋体"/>
          <w:i/>
          <w:kern w:val="0"/>
          <w:sz w:val="24"/>
          <w:u w:val="single"/>
        </w:rPr>
      </w:pPr>
    </w:p>
    <w:p w14:paraId="2ECEF0DF">
      <w:pPr>
        <w:ind w:firstLine="420" w:firstLineChars="200"/>
      </w:pPr>
    </w:p>
    <w:sectPr>
      <w:headerReference r:id="rId3" w:type="default"/>
      <w:footerReference r:id="rId4" w:type="default"/>
      <w:pgSz w:w="12240" w:h="15840"/>
      <w:pgMar w:top="1440" w:right="1800" w:bottom="1440" w:left="1800" w:header="720" w:footer="72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五">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8E0D">
    <w:pPr>
      <w:pStyle w:val="20"/>
      <w:jc w:val="center"/>
    </w:pPr>
    <w:r>
      <w:fldChar w:fldCharType="begin"/>
    </w:r>
    <w:r>
      <w:instrText xml:space="preserve"> PAGE   \* MERGEFORMAT </w:instrText>
    </w:r>
    <w:r>
      <w:fldChar w:fldCharType="separate"/>
    </w:r>
    <w:r>
      <w:t>2</w:t>
    </w:r>
    <w:r>
      <w:fldChar w:fldCharType="end"/>
    </w:r>
  </w:p>
  <w:p w14:paraId="0F2E06A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0CB2">
    <w:pPr>
      <w:pStyle w:val="21"/>
      <w:jc w:val="right"/>
    </w:pPr>
    <w:r>
      <w:rPr>
        <w:rFonts w:hint="eastAsia"/>
      </w:rPr>
      <w:t>交银施罗德佳宁债券型证券投资基金招募说明书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27EAD"/>
    <w:multiLevelType w:val="multilevel"/>
    <w:tmpl w:val="58127E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18B"/>
    <w:rsid w:val="00002218"/>
    <w:rsid w:val="000023B4"/>
    <w:rsid w:val="00002D5D"/>
    <w:rsid w:val="000036ED"/>
    <w:rsid w:val="00004BC7"/>
    <w:rsid w:val="00004F21"/>
    <w:rsid w:val="000069F2"/>
    <w:rsid w:val="000077E2"/>
    <w:rsid w:val="000079EC"/>
    <w:rsid w:val="00007B19"/>
    <w:rsid w:val="000119CF"/>
    <w:rsid w:val="00012036"/>
    <w:rsid w:val="00013380"/>
    <w:rsid w:val="00013E92"/>
    <w:rsid w:val="00014138"/>
    <w:rsid w:val="000141E9"/>
    <w:rsid w:val="000142FC"/>
    <w:rsid w:val="00014A8B"/>
    <w:rsid w:val="00015379"/>
    <w:rsid w:val="00015550"/>
    <w:rsid w:val="00015DB8"/>
    <w:rsid w:val="00016BA8"/>
    <w:rsid w:val="00020B2C"/>
    <w:rsid w:val="00021295"/>
    <w:rsid w:val="0002132B"/>
    <w:rsid w:val="00021950"/>
    <w:rsid w:val="0002275A"/>
    <w:rsid w:val="000237BB"/>
    <w:rsid w:val="00023E32"/>
    <w:rsid w:val="00023E75"/>
    <w:rsid w:val="000248AB"/>
    <w:rsid w:val="000255B9"/>
    <w:rsid w:val="00025D7E"/>
    <w:rsid w:val="00026566"/>
    <w:rsid w:val="0003244B"/>
    <w:rsid w:val="00032B65"/>
    <w:rsid w:val="00032ED5"/>
    <w:rsid w:val="0003316F"/>
    <w:rsid w:val="00033535"/>
    <w:rsid w:val="00033D71"/>
    <w:rsid w:val="00034F61"/>
    <w:rsid w:val="0003520D"/>
    <w:rsid w:val="00035769"/>
    <w:rsid w:val="000360BA"/>
    <w:rsid w:val="0003639E"/>
    <w:rsid w:val="00037275"/>
    <w:rsid w:val="000376EB"/>
    <w:rsid w:val="0004194D"/>
    <w:rsid w:val="00041F12"/>
    <w:rsid w:val="0004253D"/>
    <w:rsid w:val="000437B3"/>
    <w:rsid w:val="00043A36"/>
    <w:rsid w:val="00044D71"/>
    <w:rsid w:val="0004506F"/>
    <w:rsid w:val="00045328"/>
    <w:rsid w:val="00045A6A"/>
    <w:rsid w:val="000460CF"/>
    <w:rsid w:val="000461B1"/>
    <w:rsid w:val="000467E8"/>
    <w:rsid w:val="000469CF"/>
    <w:rsid w:val="00047E47"/>
    <w:rsid w:val="000500A9"/>
    <w:rsid w:val="00050316"/>
    <w:rsid w:val="000507CD"/>
    <w:rsid w:val="00051A7C"/>
    <w:rsid w:val="00051C43"/>
    <w:rsid w:val="0005284A"/>
    <w:rsid w:val="000531A3"/>
    <w:rsid w:val="0005332A"/>
    <w:rsid w:val="00053490"/>
    <w:rsid w:val="00054043"/>
    <w:rsid w:val="00055357"/>
    <w:rsid w:val="000563F7"/>
    <w:rsid w:val="00056533"/>
    <w:rsid w:val="0005668A"/>
    <w:rsid w:val="0005701B"/>
    <w:rsid w:val="00057796"/>
    <w:rsid w:val="00057DDC"/>
    <w:rsid w:val="00061003"/>
    <w:rsid w:val="00061974"/>
    <w:rsid w:val="0006329F"/>
    <w:rsid w:val="000635F3"/>
    <w:rsid w:val="00065B95"/>
    <w:rsid w:val="0006607B"/>
    <w:rsid w:val="000663E4"/>
    <w:rsid w:val="00067066"/>
    <w:rsid w:val="0006727E"/>
    <w:rsid w:val="0006731B"/>
    <w:rsid w:val="00067AC9"/>
    <w:rsid w:val="00070905"/>
    <w:rsid w:val="0007099B"/>
    <w:rsid w:val="00070DD1"/>
    <w:rsid w:val="00070FCE"/>
    <w:rsid w:val="00071F2F"/>
    <w:rsid w:val="00072162"/>
    <w:rsid w:val="0007227C"/>
    <w:rsid w:val="00072525"/>
    <w:rsid w:val="0007321B"/>
    <w:rsid w:val="0007359D"/>
    <w:rsid w:val="00073820"/>
    <w:rsid w:val="00073EE0"/>
    <w:rsid w:val="0007459F"/>
    <w:rsid w:val="000746DA"/>
    <w:rsid w:val="00074E2E"/>
    <w:rsid w:val="00075DD9"/>
    <w:rsid w:val="000766E4"/>
    <w:rsid w:val="000776A1"/>
    <w:rsid w:val="00080148"/>
    <w:rsid w:val="0008018D"/>
    <w:rsid w:val="000808ED"/>
    <w:rsid w:val="000816D0"/>
    <w:rsid w:val="00081717"/>
    <w:rsid w:val="000825D3"/>
    <w:rsid w:val="00082AB1"/>
    <w:rsid w:val="000840AC"/>
    <w:rsid w:val="00084506"/>
    <w:rsid w:val="00084CED"/>
    <w:rsid w:val="00085644"/>
    <w:rsid w:val="000866EF"/>
    <w:rsid w:val="00086E6A"/>
    <w:rsid w:val="00087169"/>
    <w:rsid w:val="000913DC"/>
    <w:rsid w:val="00091D59"/>
    <w:rsid w:val="000925B0"/>
    <w:rsid w:val="00092CD1"/>
    <w:rsid w:val="00092E94"/>
    <w:rsid w:val="00092EBF"/>
    <w:rsid w:val="00093020"/>
    <w:rsid w:val="00094D28"/>
    <w:rsid w:val="00095A8B"/>
    <w:rsid w:val="00096172"/>
    <w:rsid w:val="00096665"/>
    <w:rsid w:val="000967C1"/>
    <w:rsid w:val="0009775F"/>
    <w:rsid w:val="00097984"/>
    <w:rsid w:val="000A124D"/>
    <w:rsid w:val="000A1DC7"/>
    <w:rsid w:val="000A21D3"/>
    <w:rsid w:val="000A2FD3"/>
    <w:rsid w:val="000A3044"/>
    <w:rsid w:val="000A32E1"/>
    <w:rsid w:val="000A365C"/>
    <w:rsid w:val="000A36E6"/>
    <w:rsid w:val="000A3CA6"/>
    <w:rsid w:val="000A65F0"/>
    <w:rsid w:val="000A775B"/>
    <w:rsid w:val="000B07CA"/>
    <w:rsid w:val="000B086A"/>
    <w:rsid w:val="000B26A8"/>
    <w:rsid w:val="000B354E"/>
    <w:rsid w:val="000B3C4E"/>
    <w:rsid w:val="000B3D39"/>
    <w:rsid w:val="000B4483"/>
    <w:rsid w:val="000B47B4"/>
    <w:rsid w:val="000B4C2D"/>
    <w:rsid w:val="000B4E84"/>
    <w:rsid w:val="000B4FB6"/>
    <w:rsid w:val="000B5F0D"/>
    <w:rsid w:val="000B5FA9"/>
    <w:rsid w:val="000B6967"/>
    <w:rsid w:val="000B78FB"/>
    <w:rsid w:val="000B7D0D"/>
    <w:rsid w:val="000C0148"/>
    <w:rsid w:val="000C1A8D"/>
    <w:rsid w:val="000C2295"/>
    <w:rsid w:val="000C22C1"/>
    <w:rsid w:val="000C2DD2"/>
    <w:rsid w:val="000C4797"/>
    <w:rsid w:val="000C487E"/>
    <w:rsid w:val="000C4E01"/>
    <w:rsid w:val="000C5B4C"/>
    <w:rsid w:val="000C650A"/>
    <w:rsid w:val="000C72DC"/>
    <w:rsid w:val="000C750A"/>
    <w:rsid w:val="000C7711"/>
    <w:rsid w:val="000C7F7F"/>
    <w:rsid w:val="000D0242"/>
    <w:rsid w:val="000D0D52"/>
    <w:rsid w:val="000D0ED3"/>
    <w:rsid w:val="000D1375"/>
    <w:rsid w:val="000D195F"/>
    <w:rsid w:val="000D37C6"/>
    <w:rsid w:val="000D3A89"/>
    <w:rsid w:val="000D3FF4"/>
    <w:rsid w:val="000D447E"/>
    <w:rsid w:val="000D49D5"/>
    <w:rsid w:val="000D52A6"/>
    <w:rsid w:val="000D5329"/>
    <w:rsid w:val="000D5EB3"/>
    <w:rsid w:val="000D6052"/>
    <w:rsid w:val="000D6B73"/>
    <w:rsid w:val="000D76D1"/>
    <w:rsid w:val="000E03C3"/>
    <w:rsid w:val="000E1FDA"/>
    <w:rsid w:val="000E32F8"/>
    <w:rsid w:val="000E3675"/>
    <w:rsid w:val="000E3794"/>
    <w:rsid w:val="000E37A9"/>
    <w:rsid w:val="000E3A6B"/>
    <w:rsid w:val="000E4049"/>
    <w:rsid w:val="000E4073"/>
    <w:rsid w:val="000E410D"/>
    <w:rsid w:val="000E456C"/>
    <w:rsid w:val="000E53EB"/>
    <w:rsid w:val="000E57A1"/>
    <w:rsid w:val="000E5A55"/>
    <w:rsid w:val="000E6B34"/>
    <w:rsid w:val="000F159C"/>
    <w:rsid w:val="000F1699"/>
    <w:rsid w:val="000F1899"/>
    <w:rsid w:val="000F2783"/>
    <w:rsid w:val="000F2877"/>
    <w:rsid w:val="000F2878"/>
    <w:rsid w:val="000F2F89"/>
    <w:rsid w:val="000F313D"/>
    <w:rsid w:val="000F5072"/>
    <w:rsid w:val="000F525A"/>
    <w:rsid w:val="000F5363"/>
    <w:rsid w:val="000F603F"/>
    <w:rsid w:val="000F637A"/>
    <w:rsid w:val="000F6855"/>
    <w:rsid w:val="00100010"/>
    <w:rsid w:val="00100052"/>
    <w:rsid w:val="0010062F"/>
    <w:rsid w:val="00100BAF"/>
    <w:rsid w:val="00100DB6"/>
    <w:rsid w:val="00100DF7"/>
    <w:rsid w:val="00100FB6"/>
    <w:rsid w:val="00101DDD"/>
    <w:rsid w:val="00102F17"/>
    <w:rsid w:val="001032A4"/>
    <w:rsid w:val="0010389E"/>
    <w:rsid w:val="001038FC"/>
    <w:rsid w:val="00103B2F"/>
    <w:rsid w:val="00103EB1"/>
    <w:rsid w:val="00104092"/>
    <w:rsid w:val="00105E2F"/>
    <w:rsid w:val="00106482"/>
    <w:rsid w:val="00106936"/>
    <w:rsid w:val="00106E70"/>
    <w:rsid w:val="00107C20"/>
    <w:rsid w:val="00107D4B"/>
    <w:rsid w:val="00107EED"/>
    <w:rsid w:val="00111801"/>
    <w:rsid w:val="00112984"/>
    <w:rsid w:val="00113DFD"/>
    <w:rsid w:val="001148A4"/>
    <w:rsid w:val="0011528C"/>
    <w:rsid w:val="0011591F"/>
    <w:rsid w:val="00115933"/>
    <w:rsid w:val="0011593B"/>
    <w:rsid w:val="00115C4B"/>
    <w:rsid w:val="00115DD2"/>
    <w:rsid w:val="001166C2"/>
    <w:rsid w:val="00116951"/>
    <w:rsid w:val="00116B1B"/>
    <w:rsid w:val="00116C9C"/>
    <w:rsid w:val="00117218"/>
    <w:rsid w:val="00117D50"/>
    <w:rsid w:val="00120A92"/>
    <w:rsid w:val="00120B46"/>
    <w:rsid w:val="001211C6"/>
    <w:rsid w:val="001214B9"/>
    <w:rsid w:val="001220B3"/>
    <w:rsid w:val="001220E1"/>
    <w:rsid w:val="00122568"/>
    <w:rsid w:val="00122CF1"/>
    <w:rsid w:val="00122E51"/>
    <w:rsid w:val="00122FD4"/>
    <w:rsid w:val="0012435E"/>
    <w:rsid w:val="00124514"/>
    <w:rsid w:val="00124732"/>
    <w:rsid w:val="00124A1D"/>
    <w:rsid w:val="0012504C"/>
    <w:rsid w:val="00125194"/>
    <w:rsid w:val="00125256"/>
    <w:rsid w:val="00125F07"/>
    <w:rsid w:val="001266C3"/>
    <w:rsid w:val="0012671A"/>
    <w:rsid w:val="00126BA9"/>
    <w:rsid w:val="00127C14"/>
    <w:rsid w:val="00132012"/>
    <w:rsid w:val="001325E6"/>
    <w:rsid w:val="00132970"/>
    <w:rsid w:val="001336A1"/>
    <w:rsid w:val="00134304"/>
    <w:rsid w:val="001347F3"/>
    <w:rsid w:val="001350EB"/>
    <w:rsid w:val="00136501"/>
    <w:rsid w:val="00136C37"/>
    <w:rsid w:val="001376E9"/>
    <w:rsid w:val="00137820"/>
    <w:rsid w:val="00140C46"/>
    <w:rsid w:val="001411CF"/>
    <w:rsid w:val="00141A31"/>
    <w:rsid w:val="00141A52"/>
    <w:rsid w:val="001448F2"/>
    <w:rsid w:val="00146C8F"/>
    <w:rsid w:val="0014735A"/>
    <w:rsid w:val="001473F8"/>
    <w:rsid w:val="001479F5"/>
    <w:rsid w:val="00147C2A"/>
    <w:rsid w:val="00147E35"/>
    <w:rsid w:val="001504A3"/>
    <w:rsid w:val="0015091E"/>
    <w:rsid w:val="00150999"/>
    <w:rsid w:val="00150A1C"/>
    <w:rsid w:val="00150B74"/>
    <w:rsid w:val="00151CD1"/>
    <w:rsid w:val="00151D76"/>
    <w:rsid w:val="00151FEC"/>
    <w:rsid w:val="001526CB"/>
    <w:rsid w:val="00153CA3"/>
    <w:rsid w:val="00154061"/>
    <w:rsid w:val="00154147"/>
    <w:rsid w:val="0015477B"/>
    <w:rsid w:val="00154F75"/>
    <w:rsid w:val="001551F2"/>
    <w:rsid w:val="00155489"/>
    <w:rsid w:val="0015580D"/>
    <w:rsid w:val="0015580E"/>
    <w:rsid w:val="00155C9F"/>
    <w:rsid w:val="00156CDE"/>
    <w:rsid w:val="001577C7"/>
    <w:rsid w:val="00157AAF"/>
    <w:rsid w:val="001600B8"/>
    <w:rsid w:val="00160163"/>
    <w:rsid w:val="001622D9"/>
    <w:rsid w:val="001623B0"/>
    <w:rsid w:val="001629C9"/>
    <w:rsid w:val="001629DE"/>
    <w:rsid w:val="00163CAD"/>
    <w:rsid w:val="00164055"/>
    <w:rsid w:val="0016407C"/>
    <w:rsid w:val="001648AA"/>
    <w:rsid w:val="00164A55"/>
    <w:rsid w:val="001651A4"/>
    <w:rsid w:val="0016567D"/>
    <w:rsid w:val="00165F32"/>
    <w:rsid w:val="00166E4B"/>
    <w:rsid w:val="00167015"/>
    <w:rsid w:val="001670ED"/>
    <w:rsid w:val="0017072D"/>
    <w:rsid w:val="001723A3"/>
    <w:rsid w:val="00172632"/>
    <w:rsid w:val="00172A27"/>
    <w:rsid w:val="00172E25"/>
    <w:rsid w:val="00172E34"/>
    <w:rsid w:val="00172FA0"/>
    <w:rsid w:val="00175439"/>
    <w:rsid w:val="00175449"/>
    <w:rsid w:val="00175E1A"/>
    <w:rsid w:val="001760E1"/>
    <w:rsid w:val="00176574"/>
    <w:rsid w:val="00176E7D"/>
    <w:rsid w:val="0018056C"/>
    <w:rsid w:val="00180809"/>
    <w:rsid w:val="00180E2C"/>
    <w:rsid w:val="00181528"/>
    <w:rsid w:val="001819A0"/>
    <w:rsid w:val="00182281"/>
    <w:rsid w:val="001829F1"/>
    <w:rsid w:val="00184093"/>
    <w:rsid w:val="00184B24"/>
    <w:rsid w:val="00184DB7"/>
    <w:rsid w:val="001854DC"/>
    <w:rsid w:val="00185FFD"/>
    <w:rsid w:val="00186102"/>
    <w:rsid w:val="00186FD4"/>
    <w:rsid w:val="00187656"/>
    <w:rsid w:val="00190429"/>
    <w:rsid w:val="001907EB"/>
    <w:rsid w:val="0019090C"/>
    <w:rsid w:val="00190E90"/>
    <w:rsid w:val="001914EA"/>
    <w:rsid w:val="0019213F"/>
    <w:rsid w:val="001923D6"/>
    <w:rsid w:val="00192460"/>
    <w:rsid w:val="0019365E"/>
    <w:rsid w:val="00193A52"/>
    <w:rsid w:val="00193A7E"/>
    <w:rsid w:val="001940CA"/>
    <w:rsid w:val="0019505F"/>
    <w:rsid w:val="00195AEF"/>
    <w:rsid w:val="0019658D"/>
    <w:rsid w:val="0019719A"/>
    <w:rsid w:val="001A100B"/>
    <w:rsid w:val="001A151B"/>
    <w:rsid w:val="001A1652"/>
    <w:rsid w:val="001A191E"/>
    <w:rsid w:val="001A2DD1"/>
    <w:rsid w:val="001A3878"/>
    <w:rsid w:val="001A39CE"/>
    <w:rsid w:val="001A401D"/>
    <w:rsid w:val="001A49AE"/>
    <w:rsid w:val="001A5496"/>
    <w:rsid w:val="001A57CF"/>
    <w:rsid w:val="001A5AB7"/>
    <w:rsid w:val="001A634F"/>
    <w:rsid w:val="001B0821"/>
    <w:rsid w:val="001B1091"/>
    <w:rsid w:val="001B2361"/>
    <w:rsid w:val="001B2567"/>
    <w:rsid w:val="001B30C8"/>
    <w:rsid w:val="001B33A8"/>
    <w:rsid w:val="001B4357"/>
    <w:rsid w:val="001B46A1"/>
    <w:rsid w:val="001B480D"/>
    <w:rsid w:val="001B546C"/>
    <w:rsid w:val="001B5948"/>
    <w:rsid w:val="001B65BB"/>
    <w:rsid w:val="001B78E4"/>
    <w:rsid w:val="001B7CA2"/>
    <w:rsid w:val="001C3484"/>
    <w:rsid w:val="001C3695"/>
    <w:rsid w:val="001C439C"/>
    <w:rsid w:val="001C5648"/>
    <w:rsid w:val="001C5DDD"/>
    <w:rsid w:val="001C648E"/>
    <w:rsid w:val="001C651B"/>
    <w:rsid w:val="001D02E6"/>
    <w:rsid w:val="001D05B7"/>
    <w:rsid w:val="001D0792"/>
    <w:rsid w:val="001D0A65"/>
    <w:rsid w:val="001D0B5C"/>
    <w:rsid w:val="001D125E"/>
    <w:rsid w:val="001D1271"/>
    <w:rsid w:val="001D1683"/>
    <w:rsid w:val="001D187F"/>
    <w:rsid w:val="001D23C8"/>
    <w:rsid w:val="001D3529"/>
    <w:rsid w:val="001D39C0"/>
    <w:rsid w:val="001D49D6"/>
    <w:rsid w:val="001D55B4"/>
    <w:rsid w:val="001D5F76"/>
    <w:rsid w:val="001D6690"/>
    <w:rsid w:val="001D69E2"/>
    <w:rsid w:val="001D6A52"/>
    <w:rsid w:val="001D6CD1"/>
    <w:rsid w:val="001D7E20"/>
    <w:rsid w:val="001E1159"/>
    <w:rsid w:val="001E1D85"/>
    <w:rsid w:val="001E3944"/>
    <w:rsid w:val="001E3FDB"/>
    <w:rsid w:val="001E4091"/>
    <w:rsid w:val="001E4801"/>
    <w:rsid w:val="001E5C09"/>
    <w:rsid w:val="001E6A5A"/>
    <w:rsid w:val="001E6C55"/>
    <w:rsid w:val="001E79A5"/>
    <w:rsid w:val="001F11F8"/>
    <w:rsid w:val="001F1BCF"/>
    <w:rsid w:val="001F2391"/>
    <w:rsid w:val="001F267C"/>
    <w:rsid w:val="001F2812"/>
    <w:rsid w:val="001F3D5E"/>
    <w:rsid w:val="001F3FE6"/>
    <w:rsid w:val="001F4618"/>
    <w:rsid w:val="001F4DF7"/>
    <w:rsid w:val="001F52BC"/>
    <w:rsid w:val="001F6638"/>
    <w:rsid w:val="001F6E63"/>
    <w:rsid w:val="001F777A"/>
    <w:rsid w:val="00200729"/>
    <w:rsid w:val="00200FE9"/>
    <w:rsid w:val="0020102F"/>
    <w:rsid w:val="00201A69"/>
    <w:rsid w:val="002022D7"/>
    <w:rsid w:val="002027A1"/>
    <w:rsid w:val="00202A26"/>
    <w:rsid w:val="0020380E"/>
    <w:rsid w:val="0020442C"/>
    <w:rsid w:val="00204B5D"/>
    <w:rsid w:val="002053F4"/>
    <w:rsid w:val="00205728"/>
    <w:rsid w:val="0020639D"/>
    <w:rsid w:val="002064D2"/>
    <w:rsid w:val="002065B3"/>
    <w:rsid w:val="00206F43"/>
    <w:rsid w:val="00207297"/>
    <w:rsid w:val="002074DA"/>
    <w:rsid w:val="0021087A"/>
    <w:rsid w:val="0021097C"/>
    <w:rsid w:val="00210B5D"/>
    <w:rsid w:val="002112D0"/>
    <w:rsid w:val="00211327"/>
    <w:rsid w:val="0021175A"/>
    <w:rsid w:val="00211DDD"/>
    <w:rsid w:val="00212E30"/>
    <w:rsid w:val="00213CA7"/>
    <w:rsid w:val="002148CD"/>
    <w:rsid w:val="002159EF"/>
    <w:rsid w:val="002164DD"/>
    <w:rsid w:val="00216626"/>
    <w:rsid w:val="00216B7A"/>
    <w:rsid w:val="00216DE5"/>
    <w:rsid w:val="002172D5"/>
    <w:rsid w:val="00217336"/>
    <w:rsid w:val="00217B49"/>
    <w:rsid w:val="00217E1A"/>
    <w:rsid w:val="0022028D"/>
    <w:rsid w:val="00220A81"/>
    <w:rsid w:val="00221127"/>
    <w:rsid w:val="002213BF"/>
    <w:rsid w:val="00221F92"/>
    <w:rsid w:val="002229B0"/>
    <w:rsid w:val="00222DC0"/>
    <w:rsid w:val="00222E96"/>
    <w:rsid w:val="0022464C"/>
    <w:rsid w:val="00225114"/>
    <w:rsid w:val="0022586B"/>
    <w:rsid w:val="00225C0D"/>
    <w:rsid w:val="00227112"/>
    <w:rsid w:val="00231CA1"/>
    <w:rsid w:val="00232DD5"/>
    <w:rsid w:val="002339A6"/>
    <w:rsid w:val="0023403C"/>
    <w:rsid w:val="002344C9"/>
    <w:rsid w:val="00234677"/>
    <w:rsid w:val="0023491A"/>
    <w:rsid w:val="0023502A"/>
    <w:rsid w:val="00236DFE"/>
    <w:rsid w:val="0023706F"/>
    <w:rsid w:val="002373B6"/>
    <w:rsid w:val="0023763D"/>
    <w:rsid w:val="00237DF6"/>
    <w:rsid w:val="00240E2A"/>
    <w:rsid w:val="00240E76"/>
    <w:rsid w:val="00242599"/>
    <w:rsid w:val="00243E6E"/>
    <w:rsid w:val="00244284"/>
    <w:rsid w:val="002445B0"/>
    <w:rsid w:val="00244E00"/>
    <w:rsid w:val="0024511C"/>
    <w:rsid w:val="002466BD"/>
    <w:rsid w:val="00246BFC"/>
    <w:rsid w:val="00246F1D"/>
    <w:rsid w:val="002478CD"/>
    <w:rsid w:val="00247E3B"/>
    <w:rsid w:val="0025069A"/>
    <w:rsid w:val="00250A55"/>
    <w:rsid w:val="00250E84"/>
    <w:rsid w:val="00251677"/>
    <w:rsid w:val="0025199D"/>
    <w:rsid w:val="0025234F"/>
    <w:rsid w:val="0025309F"/>
    <w:rsid w:val="00253250"/>
    <w:rsid w:val="0025340B"/>
    <w:rsid w:val="002535F7"/>
    <w:rsid w:val="002553F3"/>
    <w:rsid w:val="00256021"/>
    <w:rsid w:val="002564B8"/>
    <w:rsid w:val="00256ACE"/>
    <w:rsid w:val="00256F45"/>
    <w:rsid w:val="0025759B"/>
    <w:rsid w:val="0025795A"/>
    <w:rsid w:val="00257BB5"/>
    <w:rsid w:val="00261AFF"/>
    <w:rsid w:val="00261D40"/>
    <w:rsid w:val="0026254E"/>
    <w:rsid w:val="002635EC"/>
    <w:rsid w:val="00263D8C"/>
    <w:rsid w:val="00264191"/>
    <w:rsid w:val="0026449E"/>
    <w:rsid w:val="00264AD1"/>
    <w:rsid w:val="00265A1F"/>
    <w:rsid w:val="00265FD2"/>
    <w:rsid w:val="002661A3"/>
    <w:rsid w:val="00266ACE"/>
    <w:rsid w:val="002704E1"/>
    <w:rsid w:val="00271B06"/>
    <w:rsid w:val="00272220"/>
    <w:rsid w:val="00273181"/>
    <w:rsid w:val="00274FB5"/>
    <w:rsid w:val="00276189"/>
    <w:rsid w:val="0028046F"/>
    <w:rsid w:val="00280659"/>
    <w:rsid w:val="00281F8E"/>
    <w:rsid w:val="00282952"/>
    <w:rsid w:val="00282F4D"/>
    <w:rsid w:val="00283512"/>
    <w:rsid w:val="00283FEC"/>
    <w:rsid w:val="002860B5"/>
    <w:rsid w:val="002869FF"/>
    <w:rsid w:val="00286ABF"/>
    <w:rsid w:val="00287866"/>
    <w:rsid w:val="00287E74"/>
    <w:rsid w:val="00290B48"/>
    <w:rsid w:val="002920F3"/>
    <w:rsid w:val="00292156"/>
    <w:rsid w:val="002934BD"/>
    <w:rsid w:val="0029355B"/>
    <w:rsid w:val="00293BC8"/>
    <w:rsid w:val="0029435B"/>
    <w:rsid w:val="00294C74"/>
    <w:rsid w:val="00296193"/>
    <w:rsid w:val="0029691D"/>
    <w:rsid w:val="002979EB"/>
    <w:rsid w:val="002A09A8"/>
    <w:rsid w:val="002A1944"/>
    <w:rsid w:val="002A25B1"/>
    <w:rsid w:val="002A4A10"/>
    <w:rsid w:val="002A4E3E"/>
    <w:rsid w:val="002A5387"/>
    <w:rsid w:val="002A6364"/>
    <w:rsid w:val="002A669D"/>
    <w:rsid w:val="002B02A1"/>
    <w:rsid w:val="002B09B3"/>
    <w:rsid w:val="002B0DD7"/>
    <w:rsid w:val="002B0F37"/>
    <w:rsid w:val="002B180D"/>
    <w:rsid w:val="002B2AC2"/>
    <w:rsid w:val="002B2F63"/>
    <w:rsid w:val="002B3482"/>
    <w:rsid w:val="002B37CD"/>
    <w:rsid w:val="002B537B"/>
    <w:rsid w:val="002B69F1"/>
    <w:rsid w:val="002B7181"/>
    <w:rsid w:val="002B7291"/>
    <w:rsid w:val="002B78F9"/>
    <w:rsid w:val="002B7A47"/>
    <w:rsid w:val="002C08AA"/>
    <w:rsid w:val="002C0BB9"/>
    <w:rsid w:val="002C2CCA"/>
    <w:rsid w:val="002C4278"/>
    <w:rsid w:val="002C5B32"/>
    <w:rsid w:val="002C6411"/>
    <w:rsid w:val="002C6C5A"/>
    <w:rsid w:val="002C72B2"/>
    <w:rsid w:val="002C7457"/>
    <w:rsid w:val="002C77BA"/>
    <w:rsid w:val="002C7A89"/>
    <w:rsid w:val="002D02F2"/>
    <w:rsid w:val="002D17E5"/>
    <w:rsid w:val="002D193A"/>
    <w:rsid w:val="002D19CB"/>
    <w:rsid w:val="002D1D28"/>
    <w:rsid w:val="002D2D7F"/>
    <w:rsid w:val="002D3014"/>
    <w:rsid w:val="002D355B"/>
    <w:rsid w:val="002D3D5C"/>
    <w:rsid w:val="002D4CAA"/>
    <w:rsid w:val="002D541C"/>
    <w:rsid w:val="002D55B3"/>
    <w:rsid w:val="002D5E5D"/>
    <w:rsid w:val="002D7086"/>
    <w:rsid w:val="002D769C"/>
    <w:rsid w:val="002D781E"/>
    <w:rsid w:val="002D7C1B"/>
    <w:rsid w:val="002E0AE6"/>
    <w:rsid w:val="002E1513"/>
    <w:rsid w:val="002E1AC9"/>
    <w:rsid w:val="002E2738"/>
    <w:rsid w:val="002E2E7B"/>
    <w:rsid w:val="002E4942"/>
    <w:rsid w:val="002E4A43"/>
    <w:rsid w:val="002E50C1"/>
    <w:rsid w:val="002E5234"/>
    <w:rsid w:val="002E609E"/>
    <w:rsid w:val="002E72C3"/>
    <w:rsid w:val="002E7F7C"/>
    <w:rsid w:val="002F0554"/>
    <w:rsid w:val="002F0BA6"/>
    <w:rsid w:val="002F104C"/>
    <w:rsid w:val="002F12C9"/>
    <w:rsid w:val="002F1698"/>
    <w:rsid w:val="002F1AF1"/>
    <w:rsid w:val="002F238A"/>
    <w:rsid w:val="002F3CDD"/>
    <w:rsid w:val="002F3DC0"/>
    <w:rsid w:val="002F47A9"/>
    <w:rsid w:val="002F5679"/>
    <w:rsid w:val="002F579F"/>
    <w:rsid w:val="002F5CD3"/>
    <w:rsid w:val="002F60EF"/>
    <w:rsid w:val="002F6A4E"/>
    <w:rsid w:val="002F7C36"/>
    <w:rsid w:val="0030037A"/>
    <w:rsid w:val="00300918"/>
    <w:rsid w:val="00301328"/>
    <w:rsid w:val="003018E3"/>
    <w:rsid w:val="00302ABF"/>
    <w:rsid w:val="00302D39"/>
    <w:rsid w:val="00302EB3"/>
    <w:rsid w:val="00304168"/>
    <w:rsid w:val="00306876"/>
    <w:rsid w:val="00306D33"/>
    <w:rsid w:val="00307C02"/>
    <w:rsid w:val="00310001"/>
    <w:rsid w:val="00310863"/>
    <w:rsid w:val="00310C7F"/>
    <w:rsid w:val="003111CC"/>
    <w:rsid w:val="003117F5"/>
    <w:rsid w:val="0031191D"/>
    <w:rsid w:val="003122E8"/>
    <w:rsid w:val="003122FA"/>
    <w:rsid w:val="00312A59"/>
    <w:rsid w:val="00312D62"/>
    <w:rsid w:val="003134FB"/>
    <w:rsid w:val="0031526E"/>
    <w:rsid w:val="00316510"/>
    <w:rsid w:val="00316C7A"/>
    <w:rsid w:val="00316FC1"/>
    <w:rsid w:val="00320B50"/>
    <w:rsid w:val="00321452"/>
    <w:rsid w:val="003215F7"/>
    <w:rsid w:val="00321858"/>
    <w:rsid w:val="003221C1"/>
    <w:rsid w:val="00322B67"/>
    <w:rsid w:val="00322DA4"/>
    <w:rsid w:val="00323072"/>
    <w:rsid w:val="00323779"/>
    <w:rsid w:val="0032402B"/>
    <w:rsid w:val="00324195"/>
    <w:rsid w:val="00327520"/>
    <w:rsid w:val="0033022C"/>
    <w:rsid w:val="00330610"/>
    <w:rsid w:val="00331273"/>
    <w:rsid w:val="0033142F"/>
    <w:rsid w:val="003315C6"/>
    <w:rsid w:val="00332DCA"/>
    <w:rsid w:val="00332FA9"/>
    <w:rsid w:val="00333470"/>
    <w:rsid w:val="0033396F"/>
    <w:rsid w:val="0033398B"/>
    <w:rsid w:val="00333C94"/>
    <w:rsid w:val="003343B7"/>
    <w:rsid w:val="00334DC0"/>
    <w:rsid w:val="00335497"/>
    <w:rsid w:val="003365C0"/>
    <w:rsid w:val="003403CE"/>
    <w:rsid w:val="00340B73"/>
    <w:rsid w:val="00341663"/>
    <w:rsid w:val="00341688"/>
    <w:rsid w:val="00342792"/>
    <w:rsid w:val="00343650"/>
    <w:rsid w:val="00344829"/>
    <w:rsid w:val="00344A3B"/>
    <w:rsid w:val="00345EBD"/>
    <w:rsid w:val="00347CC6"/>
    <w:rsid w:val="003500D3"/>
    <w:rsid w:val="00350B35"/>
    <w:rsid w:val="00350E74"/>
    <w:rsid w:val="00352C90"/>
    <w:rsid w:val="00354040"/>
    <w:rsid w:val="003540D3"/>
    <w:rsid w:val="00354142"/>
    <w:rsid w:val="00354164"/>
    <w:rsid w:val="00354B5F"/>
    <w:rsid w:val="00354F07"/>
    <w:rsid w:val="003550FC"/>
    <w:rsid w:val="0035527F"/>
    <w:rsid w:val="00355952"/>
    <w:rsid w:val="00355C70"/>
    <w:rsid w:val="00355F44"/>
    <w:rsid w:val="003564A1"/>
    <w:rsid w:val="00356C60"/>
    <w:rsid w:val="00357152"/>
    <w:rsid w:val="003575F1"/>
    <w:rsid w:val="00357773"/>
    <w:rsid w:val="00357DC4"/>
    <w:rsid w:val="00357EBD"/>
    <w:rsid w:val="00360AFF"/>
    <w:rsid w:val="00362082"/>
    <w:rsid w:val="00362C07"/>
    <w:rsid w:val="00362F93"/>
    <w:rsid w:val="003634CE"/>
    <w:rsid w:val="00363BA1"/>
    <w:rsid w:val="00364553"/>
    <w:rsid w:val="00365D8B"/>
    <w:rsid w:val="0036643E"/>
    <w:rsid w:val="00366575"/>
    <w:rsid w:val="003665B0"/>
    <w:rsid w:val="0036688E"/>
    <w:rsid w:val="00367342"/>
    <w:rsid w:val="003709B2"/>
    <w:rsid w:val="00372916"/>
    <w:rsid w:val="00372E5D"/>
    <w:rsid w:val="00372E9D"/>
    <w:rsid w:val="0037356F"/>
    <w:rsid w:val="00373570"/>
    <w:rsid w:val="003745A7"/>
    <w:rsid w:val="00374ABC"/>
    <w:rsid w:val="003750FA"/>
    <w:rsid w:val="00375104"/>
    <w:rsid w:val="00375A29"/>
    <w:rsid w:val="00375DCF"/>
    <w:rsid w:val="00375ECD"/>
    <w:rsid w:val="0037714B"/>
    <w:rsid w:val="003775BF"/>
    <w:rsid w:val="00377AC2"/>
    <w:rsid w:val="00380AF9"/>
    <w:rsid w:val="00381452"/>
    <w:rsid w:val="00381C3C"/>
    <w:rsid w:val="003824DE"/>
    <w:rsid w:val="0038250E"/>
    <w:rsid w:val="0038287E"/>
    <w:rsid w:val="00382AF9"/>
    <w:rsid w:val="00383134"/>
    <w:rsid w:val="00384AEF"/>
    <w:rsid w:val="00384D22"/>
    <w:rsid w:val="00385CDC"/>
    <w:rsid w:val="00387671"/>
    <w:rsid w:val="003879F6"/>
    <w:rsid w:val="00387ABE"/>
    <w:rsid w:val="003909E2"/>
    <w:rsid w:val="00391677"/>
    <w:rsid w:val="0039217F"/>
    <w:rsid w:val="003928D3"/>
    <w:rsid w:val="00392C8E"/>
    <w:rsid w:val="00393344"/>
    <w:rsid w:val="003946F2"/>
    <w:rsid w:val="003950D0"/>
    <w:rsid w:val="003956C4"/>
    <w:rsid w:val="003957F2"/>
    <w:rsid w:val="00395800"/>
    <w:rsid w:val="00395B30"/>
    <w:rsid w:val="00395B5E"/>
    <w:rsid w:val="00395CB2"/>
    <w:rsid w:val="00396121"/>
    <w:rsid w:val="00396296"/>
    <w:rsid w:val="00397050"/>
    <w:rsid w:val="0039721C"/>
    <w:rsid w:val="00397941"/>
    <w:rsid w:val="003A029F"/>
    <w:rsid w:val="003A13EF"/>
    <w:rsid w:val="003A167C"/>
    <w:rsid w:val="003A189F"/>
    <w:rsid w:val="003A1A4B"/>
    <w:rsid w:val="003A1D49"/>
    <w:rsid w:val="003A2026"/>
    <w:rsid w:val="003A26F6"/>
    <w:rsid w:val="003A2955"/>
    <w:rsid w:val="003A2B26"/>
    <w:rsid w:val="003A333A"/>
    <w:rsid w:val="003A35C8"/>
    <w:rsid w:val="003A36DB"/>
    <w:rsid w:val="003A3779"/>
    <w:rsid w:val="003A4A51"/>
    <w:rsid w:val="003A4E33"/>
    <w:rsid w:val="003A5CAC"/>
    <w:rsid w:val="003A627A"/>
    <w:rsid w:val="003A63FD"/>
    <w:rsid w:val="003A74EE"/>
    <w:rsid w:val="003A753E"/>
    <w:rsid w:val="003A77EB"/>
    <w:rsid w:val="003B049B"/>
    <w:rsid w:val="003B0B0C"/>
    <w:rsid w:val="003B1F7C"/>
    <w:rsid w:val="003B28BE"/>
    <w:rsid w:val="003B4193"/>
    <w:rsid w:val="003B4EF5"/>
    <w:rsid w:val="003B655A"/>
    <w:rsid w:val="003B66E3"/>
    <w:rsid w:val="003B7286"/>
    <w:rsid w:val="003B7C89"/>
    <w:rsid w:val="003C0901"/>
    <w:rsid w:val="003C0ED9"/>
    <w:rsid w:val="003C0F87"/>
    <w:rsid w:val="003C1866"/>
    <w:rsid w:val="003C1FAB"/>
    <w:rsid w:val="003C2778"/>
    <w:rsid w:val="003C2DAE"/>
    <w:rsid w:val="003C2E24"/>
    <w:rsid w:val="003C354F"/>
    <w:rsid w:val="003C3C78"/>
    <w:rsid w:val="003C43FA"/>
    <w:rsid w:val="003C4D79"/>
    <w:rsid w:val="003C52C4"/>
    <w:rsid w:val="003C7623"/>
    <w:rsid w:val="003D0009"/>
    <w:rsid w:val="003D08F8"/>
    <w:rsid w:val="003D0EF7"/>
    <w:rsid w:val="003D104C"/>
    <w:rsid w:val="003D130C"/>
    <w:rsid w:val="003D1A34"/>
    <w:rsid w:val="003D1D93"/>
    <w:rsid w:val="003D2D8D"/>
    <w:rsid w:val="003D4E2B"/>
    <w:rsid w:val="003D5261"/>
    <w:rsid w:val="003D5457"/>
    <w:rsid w:val="003D54ED"/>
    <w:rsid w:val="003D5728"/>
    <w:rsid w:val="003D5A80"/>
    <w:rsid w:val="003D7221"/>
    <w:rsid w:val="003E1676"/>
    <w:rsid w:val="003E1CAC"/>
    <w:rsid w:val="003E2863"/>
    <w:rsid w:val="003E33BC"/>
    <w:rsid w:val="003E44F3"/>
    <w:rsid w:val="003E47F7"/>
    <w:rsid w:val="003E5507"/>
    <w:rsid w:val="003E5B4C"/>
    <w:rsid w:val="003E5FEA"/>
    <w:rsid w:val="003E63B2"/>
    <w:rsid w:val="003E6434"/>
    <w:rsid w:val="003E644C"/>
    <w:rsid w:val="003E6C43"/>
    <w:rsid w:val="003F0623"/>
    <w:rsid w:val="003F0BB2"/>
    <w:rsid w:val="003F0BCA"/>
    <w:rsid w:val="003F14E9"/>
    <w:rsid w:val="003F15AD"/>
    <w:rsid w:val="003F168F"/>
    <w:rsid w:val="003F3CAF"/>
    <w:rsid w:val="003F4168"/>
    <w:rsid w:val="003F416E"/>
    <w:rsid w:val="003F5225"/>
    <w:rsid w:val="003F54A3"/>
    <w:rsid w:val="003F55FD"/>
    <w:rsid w:val="003F5CE6"/>
    <w:rsid w:val="003F6A96"/>
    <w:rsid w:val="003F6DDA"/>
    <w:rsid w:val="003F6DDC"/>
    <w:rsid w:val="003F7009"/>
    <w:rsid w:val="003F778E"/>
    <w:rsid w:val="0040058D"/>
    <w:rsid w:val="004007B8"/>
    <w:rsid w:val="0040380B"/>
    <w:rsid w:val="004058F5"/>
    <w:rsid w:val="00405B19"/>
    <w:rsid w:val="00406408"/>
    <w:rsid w:val="00406D86"/>
    <w:rsid w:val="00407006"/>
    <w:rsid w:val="00407976"/>
    <w:rsid w:val="00407A35"/>
    <w:rsid w:val="004100D5"/>
    <w:rsid w:val="004103BF"/>
    <w:rsid w:val="004104FD"/>
    <w:rsid w:val="004106AA"/>
    <w:rsid w:val="004106FE"/>
    <w:rsid w:val="00410885"/>
    <w:rsid w:val="00410A5A"/>
    <w:rsid w:val="00410BAC"/>
    <w:rsid w:val="004112DB"/>
    <w:rsid w:val="00411D06"/>
    <w:rsid w:val="00413BAE"/>
    <w:rsid w:val="00413E5F"/>
    <w:rsid w:val="0041413E"/>
    <w:rsid w:val="004151D7"/>
    <w:rsid w:val="00416785"/>
    <w:rsid w:val="00420D08"/>
    <w:rsid w:val="00420F63"/>
    <w:rsid w:val="00423237"/>
    <w:rsid w:val="00424BE4"/>
    <w:rsid w:val="00424ED2"/>
    <w:rsid w:val="004250A5"/>
    <w:rsid w:val="0042524B"/>
    <w:rsid w:val="00425537"/>
    <w:rsid w:val="00425643"/>
    <w:rsid w:val="00425EA8"/>
    <w:rsid w:val="00426254"/>
    <w:rsid w:val="004276F1"/>
    <w:rsid w:val="00427CBF"/>
    <w:rsid w:val="0043062F"/>
    <w:rsid w:val="00430840"/>
    <w:rsid w:val="0043087F"/>
    <w:rsid w:val="00430A2C"/>
    <w:rsid w:val="00431A31"/>
    <w:rsid w:val="00431D0B"/>
    <w:rsid w:val="00431FE5"/>
    <w:rsid w:val="0043218B"/>
    <w:rsid w:val="004326E3"/>
    <w:rsid w:val="00432883"/>
    <w:rsid w:val="00434113"/>
    <w:rsid w:val="00437030"/>
    <w:rsid w:val="004370A4"/>
    <w:rsid w:val="004374C8"/>
    <w:rsid w:val="00437AD4"/>
    <w:rsid w:val="004403D5"/>
    <w:rsid w:val="0044052F"/>
    <w:rsid w:val="00440BB2"/>
    <w:rsid w:val="00440F8C"/>
    <w:rsid w:val="004414C4"/>
    <w:rsid w:val="0044187C"/>
    <w:rsid w:val="004419AE"/>
    <w:rsid w:val="00443C68"/>
    <w:rsid w:val="0044415F"/>
    <w:rsid w:val="00445228"/>
    <w:rsid w:val="004457B1"/>
    <w:rsid w:val="00445D20"/>
    <w:rsid w:val="004461DC"/>
    <w:rsid w:val="004465B3"/>
    <w:rsid w:val="00446CB3"/>
    <w:rsid w:val="0044724D"/>
    <w:rsid w:val="00447B3F"/>
    <w:rsid w:val="004509A7"/>
    <w:rsid w:val="004517A6"/>
    <w:rsid w:val="0045195C"/>
    <w:rsid w:val="00452063"/>
    <w:rsid w:val="0045254B"/>
    <w:rsid w:val="00452746"/>
    <w:rsid w:val="00453811"/>
    <w:rsid w:val="00453AA9"/>
    <w:rsid w:val="00454116"/>
    <w:rsid w:val="0045443A"/>
    <w:rsid w:val="004549DD"/>
    <w:rsid w:val="00454AED"/>
    <w:rsid w:val="00454D7C"/>
    <w:rsid w:val="00456E6D"/>
    <w:rsid w:val="00456FD9"/>
    <w:rsid w:val="00457203"/>
    <w:rsid w:val="00461527"/>
    <w:rsid w:val="004618E2"/>
    <w:rsid w:val="00461BAF"/>
    <w:rsid w:val="00463671"/>
    <w:rsid w:val="00463BBA"/>
    <w:rsid w:val="00463C82"/>
    <w:rsid w:val="00463CC8"/>
    <w:rsid w:val="00464417"/>
    <w:rsid w:val="004645F7"/>
    <w:rsid w:val="004647A4"/>
    <w:rsid w:val="00464A24"/>
    <w:rsid w:val="00464FF1"/>
    <w:rsid w:val="00465F6F"/>
    <w:rsid w:val="00466384"/>
    <w:rsid w:val="00467282"/>
    <w:rsid w:val="00470D6C"/>
    <w:rsid w:val="0047104C"/>
    <w:rsid w:val="00471592"/>
    <w:rsid w:val="0047277B"/>
    <w:rsid w:val="0047281F"/>
    <w:rsid w:val="00472839"/>
    <w:rsid w:val="00473C4C"/>
    <w:rsid w:val="00473F40"/>
    <w:rsid w:val="0047419F"/>
    <w:rsid w:val="004742B0"/>
    <w:rsid w:val="00476370"/>
    <w:rsid w:val="0047718F"/>
    <w:rsid w:val="00482082"/>
    <w:rsid w:val="00482762"/>
    <w:rsid w:val="00483DEB"/>
    <w:rsid w:val="004846F0"/>
    <w:rsid w:val="00485174"/>
    <w:rsid w:val="00485CB4"/>
    <w:rsid w:val="00486983"/>
    <w:rsid w:val="00486AC9"/>
    <w:rsid w:val="00486AEC"/>
    <w:rsid w:val="004873AA"/>
    <w:rsid w:val="00487A02"/>
    <w:rsid w:val="00487CD7"/>
    <w:rsid w:val="004901CD"/>
    <w:rsid w:val="00490994"/>
    <w:rsid w:val="00490A0E"/>
    <w:rsid w:val="004915F3"/>
    <w:rsid w:val="00491993"/>
    <w:rsid w:val="0049213D"/>
    <w:rsid w:val="00493DF8"/>
    <w:rsid w:val="0049404B"/>
    <w:rsid w:val="00494307"/>
    <w:rsid w:val="004955C1"/>
    <w:rsid w:val="00495EAB"/>
    <w:rsid w:val="0049664E"/>
    <w:rsid w:val="0049680E"/>
    <w:rsid w:val="00496815"/>
    <w:rsid w:val="00496FF0"/>
    <w:rsid w:val="0049701D"/>
    <w:rsid w:val="004971B4"/>
    <w:rsid w:val="004974EB"/>
    <w:rsid w:val="004978F0"/>
    <w:rsid w:val="004979B6"/>
    <w:rsid w:val="004A07F8"/>
    <w:rsid w:val="004A14F6"/>
    <w:rsid w:val="004A1D8A"/>
    <w:rsid w:val="004A1DE3"/>
    <w:rsid w:val="004A2212"/>
    <w:rsid w:val="004A32C4"/>
    <w:rsid w:val="004A3306"/>
    <w:rsid w:val="004A3EDD"/>
    <w:rsid w:val="004A4FD3"/>
    <w:rsid w:val="004A5896"/>
    <w:rsid w:val="004A5A4F"/>
    <w:rsid w:val="004A6F6A"/>
    <w:rsid w:val="004A6FB2"/>
    <w:rsid w:val="004A70BC"/>
    <w:rsid w:val="004B0A0B"/>
    <w:rsid w:val="004B10BE"/>
    <w:rsid w:val="004B1225"/>
    <w:rsid w:val="004B1B07"/>
    <w:rsid w:val="004B1D5E"/>
    <w:rsid w:val="004B23E2"/>
    <w:rsid w:val="004B35FB"/>
    <w:rsid w:val="004B3BA6"/>
    <w:rsid w:val="004B3EF9"/>
    <w:rsid w:val="004B504A"/>
    <w:rsid w:val="004B536E"/>
    <w:rsid w:val="004B550D"/>
    <w:rsid w:val="004B7D31"/>
    <w:rsid w:val="004B7DC4"/>
    <w:rsid w:val="004C2A2F"/>
    <w:rsid w:val="004C36B3"/>
    <w:rsid w:val="004C36BB"/>
    <w:rsid w:val="004C3A7E"/>
    <w:rsid w:val="004C3BF1"/>
    <w:rsid w:val="004C3D0A"/>
    <w:rsid w:val="004C4B96"/>
    <w:rsid w:val="004C4EC2"/>
    <w:rsid w:val="004C5241"/>
    <w:rsid w:val="004C5375"/>
    <w:rsid w:val="004C5F6D"/>
    <w:rsid w:val="004C6932"/>
    <w:rsid w:val="004C7F8A"/>
    <w:rsid w:val="004D07ED"/>
    <w:rsid w:val="004D1A21"/>
    <w:rsid w:val="004D1F17"/>
    <w:rsid w:val="004D2F83"/>
    <w:rsid w:val="004D3175"/>
    <w:rsid w:val="004D31DF"/>
    <w:rsid w:val="004D340D"/>
    <w:rsid w:val="004D34F3"/>
    <w:rsid w:val="004D3E0F"/>
    <w:rsid w:val="004D5C36"/>
    <w:rsid w:val="004D5DE3"/>
    <w:rsid w:val="004D68CC"/>
    <w:rsid w:val="004E0DA2"/>
    <w:rsid w:val="004E1E85"/>
    <w:rsid w:val="004E2765"/>
    <w:rsid w:val="004E29FD"/>
    <w:rsid w:val="004E302C"/>
    <w:rsid w:val="004E3FAA"/>
    <w:rsid w:val="004E47B0"/>
    <w:rsid w:val="004E5302"/>
    <w:rsid w:val="004E53BD"/>
    <w:rsid w:val="004E592A"/>
    <w:rsid w:val="004E6CFB"/>
    <w:rsid w:val="004E708A"/>
    <w:rsid w:val="004E7380"/>
    <w:rsid w:val="004E758C"/>
    <w:rsid w:val="004E799E"/>
    <w:rsid w:val="004E7A10"/>
    <w:rsid w:val="004E7FB4"/>
    <w:rsid w:val="004F0BCF"/>
    <w:rsid w:val="004F0D4B"/>
    <w:rsid w:val="004F2C9E"/>
    <w:rsid w:val="004F30F2"/>
    <w:rsid w:val="004F3CB8"/>
    <w:rsid w:val="004F495B"/>
    <w:rsid w:val="004F4D77"/>
    <w:rsid w:val="004F5164"/>
    <w:rsid w:val="004F5301"/>
    <w:rsid w:val="004F547B"/>
    <w:rsid w:val="004F5D38"/>
    <w:rsid w:val="004F5D44"/>
    <w:rsid w:val="004F72EB"/>
    <w:rsid w:val="004F7534"/>
    <w:rsid w:val="004F7BFD"/>
    <w:rsid w:val="004F7F45"/>
    <w:rsid w:val="00500BA3"/>
    <w:rsid w:val="00501C88"/>
    <w:rsid w:val="00501DE0"/>
    <w:rsid w:val="00502B26"/>
    <w:rsid w:val="00502BFA"/>
    <w:rsid w:val="00502DAD"/>
    <w:rsid w:val="005036C2"/>
    <w:rsid w:val="005039D6"/>
    <w:rsid w:val="00504BDF"/>
    <w:rsid w:val="005050A8"/>
    <w:rsid w:val="00505A18"/>
    <w:rsid w:val="00505AE1"/>
    <w:rsid w:val="00505C73"/>
    <w:rsid w:val="00505F1A"/>
    <w:rsid w:val="0050666F"/>
    <w:rsid w:val="00506A30"/>
    <w:rsid w:val="00506A86"/>
    <w:rsid w:val="0051064E"/>
    <w:rsid w:val="005119F7"/>
    <w:rsid w:val="005120D4"/>
    <w:rsid w:val="005135AA"/>
    <w:rsid w:val="0051423B"/>
    <w:rsid w:val="005145B4"/>
    <w:rsid w:val="00515D02"/>
    <w:rsid w:val="005176CA"/>
    <w:rsid w:val="00517AF3"/>
    <w:rsid w:val="00522E7B"/>
    <w:rsid w:val="00523101"/>
    <w:rsid w:val="0052347F"/>
    <w:rsid w:val="005243A5"/>
    <w:rsid w:val="005252A1"/>
    <w:rsid w:val="00525BC8"/>
    <w:rsid w:val="00526D70"/>
    <w:rsid w:val="00526F68"/>
    <w:rsid w:val="00530A28"/>
    <w:rsid w:val="00531600"/>
    <w:rsid w:val="00531CA1"/>
    <w:rsid w:val="00533A67"/>
    <w:rsid w:val="00533B6B"/>
    <w:rsid w:val="00534271"/>
    <w:rsid w:val="00534733"/>
    <w:rsid w:val="005358B3"/>
    <w:rsid w:val="00536575"/>
    <w:rsid w:val="005368C2"/>
    <w:rsid w:val="00537238"/>
    <w:rsid w:val="0053740B"/>
    <w:rsid w:val="00537CED"/>
    <w:rsid w:val="00540141"/>
    <w:rsid w:val="00540761"/>
    <w:rsid w:val="0054149C"/>
    <w:rsid w:val="00541B25"/>
    <w:rsid w:val="00542348"/>
    <w:rsid w:val="005435A1"/>
    <w:rsid w:val="005436CD"/>
    <w:rsid w:val="00543A59"/>
    <w:rsid w:val="00543CBF"/>
    <w:rsid w:val="00544A92"/>
    <w:rsid w:val="00544B58"/>
    <w:rsid w:val="00544B5A"/>
    <w:rsid w:val="00544D2E"/>
    <w:rsid w:val="00544E5D"/>
    <w:rsid w:val="0054537D"/>
    <w:rsid w:val="00545E39"/>
    <w:rsid w:val="00546DD4"/>
    <w:rsid w:val="00547CBE"/>
    <w:rsid w:val="0055062D"/>
    <w:rsid w:val="00550BC2"/>
    <w:rsid w:val="00551870"/>
    <w:rsid w:val="0055270E"/>
    <w:rsid w:val="00552A56"/>
    <w:rsid w:val="00552C08"/>
    <w:rsid w:val="00552EEF"/>
    <w:rsid w:val="00552FC3"/>
    <w:rsid w:val="00552FD0"/>
    <w:rsid w:val="00554639"/>
    <w:rsid w:val="00554C85"/>
    <w:rsid w:val="005550E5"/>
    <w:rsid w:val="0055516B"/>
    <w:rsid w:val="005552C2"/>
    <w:rsid w:val="00555381"/>
    <w:rsid w:val="00555A13"/>
    <w:rsid w:val="00555F2C"/>
    <w:rsid w:val="0055601B"/>
    <w:rsid w:val="005565C9"/>
    <w:rsid w:val="0055666F"/>
    <w:rsid w:val="00556A03"/>
    <w:rsid w:val="00557E93"/>
    <w:rsid w:val="00560B59"/>
    <w:rsid w:val="00560C9F"/>
    <w:rsid w:val="005616E3"/>
    <w:rsid w:val="00561BD1"/>
    <w:rsid w:val="005621CB"/>
    <w:rsid w:val="00563CF8"/>
    <w:rsid w:val="005643A7"/>
    <w:rsid w:val="0056490B"/>
    <w:rsid w:val="00565375"/>
    <w:rsid w:val="005655D2"/>
    <w:rsid w:val="00566FCD"/>
    <w:rsid w:val="0056784C"/>
    <w:rsid w:val="00567AF1"/>
    <w:rsid w:val="00567B83"/>
    <w:rsid w:val="00567D54"/>
    <w:rsid w:val="00570788"/>
    <w:rsid w:val="00570BB1"/>
    <w:rsid w:val="00571009"/>
    <w:rsid w:val="00571556"/>
    <w:rsid w:val="00571B4E"/>
    <w:rsid w:val="005723FD"/>
    <w:rsid w:val="00572BF8"/>
    <w:rsid w:val="00572DB6"/>
    <w:rsid w:val="00572EF5"/>
    <w:rsid w:val="005732A2"/>
    <w:rsid w:val="00573399"/>
    <w:rsid w:val="0057377B"/>
    <w:rsid w:val="00574190"/>
    <w:rsid w:val="00575FD9"/>
    <w:rsid w:val="005763FC"/>
    <w:rsid w:val="00577477"/>
    <w:rsid w:val="005778A7"/>
    <w:rsid w:val="0058033F"/>
    <w:rsid w:val="00582518"/>
    <w:rsid w:val="005829DC"/>
    <w:rsid w:val="00583542"/>
    <w:rsid w:val="00583F3A"/>
    <w:rsid w:val="005842C6"/>
    <w:rsid w:val="00585772"/>
    <w:rsid w:val="005857B3"/>
    <w:rsid w:val="0058672E"/>
    <w:rsid w:val="005867D2"/>
    <w:rsid w:val="0058765F"/>
    <w:rsid w:val="0059002B"/>
    <w:rsid w:val="005906B2"/>
    <w:rsid w:val="005907BE"/>
    <w:rsid w:val="0059094D"/>
    <w:rsid w:val="005914C2"/>
    <w:rsid w:val="005927FD"/>
    <w:rsid w:val="00592EA6"/>
    <w:rsid w:val="00594CF0"/>
    <w:rsid w:val="0059512B"/>
    <w:rsid w:val="005955CB"/>
    <w:rsid w:val="0059588C"/>
    <w:rsid w:val="0059618D"/>
    <w:rsid w:val="0059638A"/>
    <w:rsid w:val="00597184"/>
    <w:rsid w:val="00597F66"/>
    <w:rsid w:val="005A030B"/>
    <w:rsid w:val="005A1727"/>
    <w:rsid w:val="005A19FA"/>
    <w:rsid w:val="005A1C30"/>
    <w:rsid w:val="005A27A0"/>
    <w:rsid w:val="005A28FF"/>
    <w:rsid w:val="005A3524"/>
    <w:rsid w:val="005A3655"/>
    <w:rsid w:val="005A392B"/>
    <w:rsid w:val="005A3F7F"/>
    <w:rsid w:val="005A4E01"/>
    <w:rsid w:val="005A5571"/>
    <w:rsid w:val="005A647E"/>
    <w:rsid w:val="005B045A"/>
    <w:rsid w:val="005B1E60"/>
    <w:rsid w:val="005B20B8"/>
    <w:rsid w:val="005B2470"/>
    <w:rsid w:val="005B31F6"/>
    <w:rsid w:val="005B36C4"/>
    <w:rsid w:val="005B5745"/>
    <w:rsid w:val="005B5979"/>
    <w:rsid w:val="005B5BA9"/>
    <w:rsid w:val="005B65AC"/>
    <w:rsid w:val="005B7856"/>
    <w:rsid w:val="005C0533"/>
    <w:rsid w:val="005C0E64"/>
    <w:rsid w:val="005C1685"/>
    <w:rsid w:val="005C1EA1"/>
    <w:rsid w:val="005C1FF8"/>
    <w:rsid w:val="005C236C"/>
    <w:rsid w:val="005C3112"/>
    <w:rsid w:val="005C3188"/>
    <w:rsid w:val="005C41D3"/>
    <w:rsid w:val="005C596A"/>
    <w:rsid w:val="005C59EB"/>
    <w:rsid w:val="005C657D"/>
    <w:rsid w:val="005C68CC"/>
    <w:rsid w:val="005C69D8"/>
    <w:rsid w:val="005C6C99"/>
    <w:rsid w:val="005C6EB8"/>
    <w:rsid w:val="005C79D9"/>
    <w:rsid w:val="005D03FE"/>
    <w:rsid w:val="005D04D6"/>
    <w:rsid w:val="005D0A1C"/>
    <w:rsid w:val="005D0FAA"/>
    <w:rsid w:val="005D1849"/>
    <w:rsid w:val="005D1FA3"/>
    <w:rsid w:val="005D244A"/>
    <w:rsid w:val="005D35BC"/>
    <w:rsid w:val="005D3E58"/>
    <w:rsid w:val="005D3E72"/>
    <w:rsid w:val="005D50DE"/>
    <w:rsid w:val="005D5D38"/>
    <w:rsid w:val="005D69FF"/>
    <w:rsid w:val="005D7F7E"/>
    <w:rsid w:val="005E041D"/>
    <w:rsid w:val="005E114F"/>
    <w:rsid w:val="005E1C10"/>
    <w:rsid w:val="005E23C6"/>
    <w:rsid w:val="005E29D1"/>
    <w:rsid w:val="005E4189"/>
    <w:rsid w:val="005E4237"/>
    <w:rsid w:val="005E4D0A"/>
    <w:rsid w:val="005E4F6E"/>
    <w:rsid w:val="005E55AC"/>
    <w:rsid w:val="005E5BAA"/>
    <w:rsid w:val="005E6C6B"/>
    <w:rsid w:val="005E7EBC"/>
    <w:rsid w:val="005F0530"/>
    <w:rsid w:val="005F0B33"/>
    <w:rsid w:val="005F1A0A"/>
    <w:rsid w:val="005F3279"/>
    <w:rsid w:val="005F3A68"/>
    <w:rsid w:val="005F3BD1"/>
    <w:rsid w:val="005F4D9E"/>
    <w:rsid w:val="005F505B"/>
    <w:rsid w:val="005F5145"/>
    <w:rsid w:val="005F59E0"/>
    <w:rsid w:val="005F7265"/>
    <w:rsid w:val="0060212D"/>
    <w:rsid w:val="00602D4B"/>
    <w:rsid w:val="00602EFA"/>
    <w:rsid w:val="00605792"/>
    <w:rsid w:val="00606059"/>
    <w:rsid w:val="00607BFE"/>
    <w:rsid w:val="00607C12"/>
    <w:rsid w:val="00607DE4"/>
    <w:rsid w:val="0061036D"/>
    <w:rsid w:val="00611F66"/>
    <w:rsid w:val="00613A1C"/>
    <w:rsid w:val="00614214"/>
    <w:rsid w:val="00614256"/>
    <w:rsid w:val="00614933"/>
    <w:rsid w:val="00614FB2"/>
    <w:rsid w:val="00615406"/>
    <w:rsid w:val="00615E52"/>
    <w:rsid w:val="00616144"/>
    <w:rsid w:val="00617189"/>
    <w:rsid w:val="00617278"/>
    <w:rsid w:val="00617387"/>
    <w:rsid w:val="006175E7"/>
    <w:rsid w:val="00620F08"/>
    <w:rsid w:val="006219D1"/>
    <w:rsid w:val="00621D49"/>
    <w:rsid w:val="0062211B"/>
    <w:rsid w:val="0062244C"/>
    <w:rsid w:val="00623F9F"/>
    <w:rsid w:val="006242A2"/>
    <w:rsid w:val="0062463B"/>
    <w:rsid w:val="006248B8"/>
    <w:rsid w:val="00624A86"/>
    <w:rsid w:val="00626415"/>
    <w:rsid w:val="00626C74"/>
    <w:rsid w:val="00626E14"/>
    <w:rsid w:val="00627B70"/>
    <w:rsid w:val="00627D7E"/>
    <w:rsid w:val="00630233"/>
    <w:rsid w:val="00630D00"/>
    <w:rsid w:val="00630E00"/>
    <w:rsid w:val="00630ED8"/>
    <w:rsid w:val="006336B5"/>
    <w:rsid w:val="006342EB"/>
    <w:rsid w:val="0063466A"/>
    <w:rsid w:val="00634A6B"/>
    <w:rsid w:val="0063511A"/>
    <w:rsid w:val="0063532E"/>
    <w:rsid w:val="0063638D"/>
    <w:rsid w:val="00636B31"/>
    <w:rsid w:val="0063770D"/>
    <w:rsid w:val="0064002B"/>
    <w:rsid w:val="0064179F"/>
    <w:rsid w:val="00641984"/>
    <w:rsid w:val="006423D5"/>
    <w:rsid w:val="00643AD4"/>
    <w:rsid w:val="0064509F"/>
    <w:rsid w:val="00645542"/>
    <w:rsid w:val="006456EC"/>
    <w:rsid w:val="00645D5F"/>
    <w:rsid w:val="00646E31"/>
    <w:rsid w:val="0065008F"/>
    <w:rsid w:val="00650A2D"/>
    <w:rsid w:val="00650D60"/>
    <w:rsid w:val="00650E37"/>
    <w:rsid w:val="00652537"/>
    <w:rsid w:val="00652829"/>
    <w:rsid w:val="006529B8"/>
    <w:rsid w:val="00652EE1"/>
    <w:rsid w:val="00653919"/>
    <w:rsid w:val="00653AE2"/>
    <w:rsid w:val="00654A1A"/>
    <w:rsid w:val="00654BC0"/>
    <w:rsid w:val="00654F6A"/>
    <w:rsid w:val="00654FC7"/>
    <w:rsid w:val="00655AEC"/>
    <w:rsid w:val="00655BE9"/>
    <w:rsid w:val="00655FDD"/>
    <w:rsid w:val="00660F7D"/>
    <w:rsid w:val="0066106E"/>
    <w:rsid w:val="00661BC3"/>
    <w:rsid w:val="006621AB"/>
    <w:rsid w:val="00663FAA"/>
    <w:rsid w:val="00664014"/>
    <w:rsid w:val="0066474C"/>
    <w:rsid w:val="00665BB1"/>
    <w:rsid w:val="00665BEB"/>
    <w:rsid w:val="00666A5B"/>
    <w:rsid w:val="00666AB3"/>
    <w:rsid w:val="006674A2"/>
    <w:rsid w:val="00667F13"/>
    <w:rsid w:val="0067087C"/>
    <w:rsid w:val="00670F48"/>
    <w:rsid w:val="00671B43"/>
    <w:rsid w:val="0067415B"/>
    <w:rsid w:val="006744F8"/>
    <w:rsid w:val="006756FF"/>
    <w:rsid w:val="00675DC1"/>
    <w:rsid w:val="00676CE2"/>
    <w:rsid w:val="00680395"/>
    <w:rsid w:val="006811F4"/>
    <w:rsid w:val="00681610"/>
    <w:rsid w:val="00681FB1"/>
    <w:rsid w:val="00682FDA"/>
    <w:rsid w:val="0068327B"/>
    <w:rsid w:val="006837D9"/>
    <w:rsid w:val="00684773"/>
    <w:rsid w:val="00684958"/>
    <w:rsid w:val="0068511A"/>
    <w:rsid w:val="0068614B"/>
    <w:rsid w:val="006861DF"/>
    <w:rsid w:val="00687099"/>
    <w:rsid w:val="00687B38"/>
    <w:rsid w:val="00687DFE"/>
    <w:rsid w:val="00690134"/>
    <w:rsid w:val="00690271"/>
    <w:rsid w:val="00690EB7"/>
    <w:rsid w:val="00691107"/>
    <w:rsid w:val="006912A9"/>
    <w:rsid w:val="00691AAD"/>
    <w:rsid w:val="006922A5"/>
    <w:rsid w:val="006930D6"/>
    <w:rsid w:val="00693C8C"/>
    <w:rsid w:val="00693D40"/>
    <w:rsid w:val="00693DAD"/>
    <w:rsid w:val="0069403C"/>
    <w:rsid w:val="00694B0C"/>
    <w:rsid w:val="006950ED"/>
    <w:rsid w:val="006956D6"/>
    <w:rsid w:val="00695B1F"/>
    <w:rsid w:val="00695F84"/>
    <w:rsid w:val="00696172"/>
    <w:rsid w:val="006961B6"/>
    <w:rsid w:val="006972ED"/>
    <w:rsid w:val="0069768D"/>
    <w:rsid w:val="00697E15"/>
    <w:rsid w:val="006A009A"/>
    <w:rsid w:val="006A2AFC"/>
    <w:rsid w:val="006A31BA"/>
    <w:rsid w:val="006A3587"/>
    <w:rsid w:val="006A3CDB"/>
    <w:rsid w:val="006A5AC9"/>
    <w:rsid w:val="006A5B90"/>
    <w:rsid w:val="006A693B"/>
    <w:rsid w:val="006A79C9"/>
    <w:rsid w:val="006B0365"/>
    <w:rsid w:val="006B11B3"/>
    <w:rsid w:val="006B162C"/>
    <w:rsid w:val="006B1DEF"/>
    <w:rsid w:val="006B2B50"/>
    <w:rsid w:val="006B3BF6"/>
    <w:rsid w:val="006B3F62"/>
    <w:rsid w:val="006B4139"/>
    <w:rsid w:val="006B4DF2"/>
    <w:rsid w:val="006B4FA1"/>
    <w:rsid w:val="006B5339"/>
    <w:rsid w:val="006C0116"/>
    <w:rsid w:val="006C02EB"/>
    <w:rsid w:val="006C0D67"/>
    <w:rsid w:val="006C0F9E"/>
    <w:rsid w:val="006C12C8"/>
    <w:rsid w:val="006C146E"/>
    <w:rsid w:val="006C45F9"/>
    <w:rsid w:val="006C6115"/>
    <w:rsid w:val="006C71CF"/>
    <w:rsid w:val="006C7BF1"/>
    <w:rsid w:val="006D1496"/>
    <w:rsid w:val="006D167E"/>
    <w:rsid w:val="006D18E5"/>
    <w:rsid w:val="006D1E05"/>
    <w:rsid w:val="006D2436"/>
    <w:rsid w:val="006D30C2"/>
    <w:rsid w:val="006D362F"/>
    <w:rsid w:val="006D39E6"/>
    <w:rsid w:val="006D3C17"/>
    <w:rsid w:val="006D3EA1"/>
    <w:rsid w:val="006D4F0F"/>
    <w:rsid w:val="006D5E6E"/>
    <w:rsid w:val="006D6D47"/>
    <w:rsid w:val="006D6E04"/>
    <w:rsid w:val="006D79B7"/>
    <w:rsid w:val="006E0E23"/>
    <w:rsid w:val="006E13E3"/>
    <w:rsid w:val="006E196F"/>
    <w:rsid w:val="006E1DD9"/>
    <w:rsid w:val="006E1EBA"/>
    <w:rsid w:val="006E24E1"/>
    <w:rsid w:val="006E33DB"/>
    <w:rsid w:val="006E3539"/>
    <w:rsid w:val="006E3951"/>
    <w:rsid w:val="006E3C95"/>
    <w:rsid w:val="006E4796"/>
    <w:rsid w:val="006E4820"/>
    <w:rsid w:val="006E4AD7"/>
    <w:rsid w:val="006E61AA"/>
    <w:rsid w:val="006E65C1"/>
    <w:rsid w:val="006E6CE2"/>
    <w:rsid w:val="006E6E62"/>
    <w:rsid w:val="006E7381"/>
    <w:rsid w:val="006E7E55"/>
    <w:rsid w:val="006F1A15"/>
    <w:rsid w:val="006F1B99"/>
    <w:rsid w:val="006F2D10"/>
    <w:rsid w:val="006F3968"/>
    <w:rsid w:val="006F3EB0"/>
    <w:rsid w:val="006F4840"/>
    <w:rsid w:val="006F4975"/>
    <w:rsid w:val="006F538A"/>
    <w:rsid w:val="006F576D"/>
    <w:rsid w:val="0070029F"/>
    <w:rsid w:val="00700FE8"/>
    <w:rsid w:val="007012B3"/>
    <w:rsid w:val="007023A3"/>
    <w:rsid w:val="0070240B"/>
    <w:rsid w:val="00702BB7"/>
    <w:rsid w:val="00703C5F"/>
    <w:rsid w:val="007051FF"/>
    <w:rsid w:val="00705F08"/>
    <w:rsid w:val="00706150"/>
    <w:rsid w:val="00706486"/>
    <w:rsid w:val="00706531"/>
    <w:rsid w:val="0070663B"/>
    <w:rsid w:val="00706AA1"/>
    <w:rsid w:val="00706E7C"/>
    <w:rsid w:val="00707BDA"/>
    <w:rsid w:val="0071188A"/>
    <w:rsid w:val="00711AE6"/>
    <w:rsid w:val="00712521"/>
    <w:rsid w:val="0071254D"/>
    <w:rsid w:val="00713E7D"/>
    <w:rsid w:val="00714750"/>
    <w:rsid w:val="007153D6"/>
    <w:rsid w:val="0071564C"/>
    <w:rsid w:val="00715C29"/>
    <w:rsid w:val="0071633D"/>
    <w:rsid w:val="00716394"/>
    <w:rsid w:val="00717AA3"/>
    <w:rsid w:val="007206F2"/>
    <w:rsid w:val="007216BB"/>
    <w:rsid w:val="007222F5"/>
    <w:rsid w:val="007222F9"/>
    <w:rsid w:val="007224C2"/>
    <w:rsid w:val="0072299B"/>
    <w:rsid w:val="0072353D"/>
    <w:rsid w:val="00723A1D"/>
    <w:rsid w:val="007240FE"/>
    <w:rsid w:val="00724315"/>
    <w:rsid w:val="007248A7"/>
    <w:rsid w:val="00725445"/>
    <w:rsid w:val="00726653"/>
    <w:rsid w:val="00726CD6"/>
    <w:rsid w:val="00727095"/>
    <w:rsid w:val="0073053D"/>
    <w:rsid w:val="00731BD2"/>
    <w:rsid w:val="007337DC"/>
    <w:rsid w:val="00734298"/>
    <w:rsid w:val="007347DE"/>
    <w:rsid w:val="00735259"/>
    <w:rsid w:val="00735D1E"/>
    <w:rsid w:val="00736156"/>
    <w:rsid w:val="00736301"/>
    <w:rsid w:val="007365D6"/>
    <w:rsid w:val="00736743"/>
    <w:rsid w:val="00736F61"/>
    <w:rsid w:val="007405DF"/>
    <w:rsid w:val="00741040"/>
    <w:rsid w:val="00743B8C"/>
    <w:rsid w:val="007441F1"/>
    <w:rsid w:val="00744C7A"/>
    <w:rsid w:val="0074594A"/>
    <w:rsid w:val="00746952"/>
    <w:rsid w:val="00746962"/>
    <w:rsid w:val="0074704E"/>
    <w:rsid w:val="00747056"/>
    <w:rsid w:val="00747151"/>
    <w:rsid w:val="00750309"/>
    <w:rsid w:val="00750A45"/>
    <w:rsid w:val="0075164F"/>
    <w:rsid w:val="00751A15"/>
    <w:rsid w:val="007522E0"/>
    <w:rsid w:val="007527FC"/>
    <w:rsid w:val="007530F0"/>
    <w:rsid w:val="007538AE"/>
    <w:rsid w:val="00753CCB"/>
    <w:rsid w:val="00753F0A"/>
    <w:rsid w:val="00754872"/>
    <w:rsid w:val="0075555E"/>
    <w:rsid w:val="00755DB0"/>
    <w:rsid w:val="007569E9"/>
    <w:rsid w:val="00756BC3"/>
    <w:rsid w:val="00757019"/>
    <w:rsid w:val="00757CF4"/>
    <w:rsid w:val="00757E1A"/>
    <w:rsid w:val="00757E4A"/>
    <w:rsid w:val="0076002B"/>
    <w:rsid w:val="00760758"/>
    <w:rsid w:val="00760815"/>
    <w:rsid w:val="00762287"/>
    <w:rsid w:val="00763B7C"/>
    <w:rsid w:val="00763E9F"/>
    <w:rsid w:val="0076403F"/>
    <w:rsid w:val="007643FD"/>
    <w:rsid w:val="00764CC6"/>
    <w:rsid w:val="0076584E"/>
    <w:rsid w:val="00765AF8"/>
    <w:rsid w:val="00765B7E"/>
    <w:rsid w:val="00766468"/>
    <w:rsid w:val="00766E93"/>
    <w:rsid w:val="007677D7"/>
    <w:rsid w:val="0077031C"/>
    <w:rsid w:val="0077092D"/>
    <w:rsid w:val="00770A7A"/>
    <w:rsid w:val="00770BD0"/>
    <w:rsid w:val="00771068"/>
    <w:rsid w:val="0077192E"/>
    <w:rsid w:val="00771D8C"/>
    <w:rsid w:val="00772D3A"/>
    <w:rsid w:val="00773618"/>
    <w:rsid w:val="0077427F"/>
    <w:rsid w:val="007745F5"/>
    <w:rsid w:val="00775D35"/>
    <w:rsid w:val="007766F4"/>
    <w:rsid w:val="00776986"/>
    <w:rsid w:val="007770F8"/>
    <w:rsid w:val="00777A28"/>
    <w:rsid w:val="00777A67"/>
    <w:rsid w:val="0078022D"/>
    <w:rsid w:val="007803B8"/>
    <w:rsid w:val="00780E7D"/>
    <w:rsid w:val="007826AD"/>
    <w:rsid w:val="00783313"/>
    <w:rsid w:val="00785158"/>
    <w:rsid w:val="00785342"/>
    <w:rsid w:val="00785809"/>
    <w:rsid w:val="00786E0E"/>
    <w:rsid w:val="00787292"/>
    <w:rsid w:val="007875DD"/>
    <w:rsid w:val="00787E57"/>
    <w:rsid w:val="00790098"/>
    <w:rsid w:val="00790DE4"/>
    <w:rsid w:val="00790E3F"/>
    <w:rsid w:val="00791332"/>
    <w:rsid w:val="00792185"/>
    <w:rsid w:val="007929A8"/>
    <w:rsid w:val="00792D39"/>
    <w:rsid w:val="00793126"/>
    <w:rsid w:val="007936F5"/>
    <w:rsid w:val="00793F2F"/>
    <w:rsid w:val="00795845"/>
    <w:rsid w:val="00795E0C"/>
    <w:rsid w:val="00795EB8"/>
    <w:rsid w:val="007960FA"/>
    <w:rsid w:val="007967CF"/>
    <w:rsid w:val="00797ADA"/>
    <w:rsid w:val="007A32D9"/>
    <w:rsid w:val="007A3D6D"/>
    <w:rsid w:val="007A3FFC"/>
    <w:rsid w:val="007A446D"/>
    <w:rsid w:val="007A4519"/>
    <w:rsid w:val="007A583D"/>
    <w:rsid w:val="007A6203"/>
    <w:rsid w:val="007A6400"/>
    <w:rsid w:val="007A6585"/>
    <w:rsid w:val="007A6D9C"/>
    <w:rsid w:val="007A73AC"/>
    <w:rsid w:val="007A752D"/>
    <w:rsid w:val="007A75A4"/>
    <w:rsid w:val="007A7819"/>
    <w:rsid w:val="007B040E"/>
    <w:rsid w:val="007B044A"/>
    <w:rsid w:val="007B0E13"/>
    <w:rsid w:val="007B1EB1"/>
    <w:rsid w:val="007B23B6"/>
    <w:rsid w:val="007B2608"/>
    <w:rsid w:val="007B45A6"/>
    <w:rsid w:val="007B4670"/>
    <w:rsid w:val="007B586C"/>
    <w:rsid w:val="007B5E18"/>
    <w:rsid w:val="007B603C"/>
    <w:rsid w:val="007B709A"/>
    <w:rsid w:val="007B7594"/>
    <w:rsid w:val="007C13EA"/>
    <w:rsid w:val="007C19C3"/>
    <w:rsid w:val="007C31F5"/>
    <w:rsid w:val="007C345B"/>
    <w:rsid w:val="007C38C9"/>
    <w:rsid w:val="007C39DF"/>
    <w:rsid w:val="007C3C47"/>
    <w:rsid w:val="007C3D3A"/>
    <w:rsid w:val="007C478E"/>
    <w:rsid w:val="007C4B85"/>
    <w:rsid w:val="007C4CF2"/>
    <w:rsid w:val="007C5B7B"/>
    <w:rsid w:val="007C7BF1"/>
    <w:rsid w:val="007D07A0"/>
    <w:rsid w:val="007D124E"/>
    <w:rsid w:val="007D12B8"/>
    <w:rsid w:val="007D1873"/>
    <w:rsid w:val="007D26C6"/>
    <w:rsid w:val="007D34CA"/>
    <w:rsid w:val="007D4016"/>
    <w:rsid w:val="007D44A5"/>
    <w:rsid w:val="007D46CB"/>
    <w:rsid w:val="007D4786"/>
    <w:rsid w:val="007D679D"/>
    <w:rsid w:val="007D6863"/>
    <w:rsid w:val="007D78E3"/>
    <w:rsid w:val="007D7C73"/>
    <w:rsid w:val="007D7DBA"/>
    <w:rsid w:val="007E053E"/>
    <w:rsid w:val="007E0C0D"/>
    <w:rsid w:val="007E0EC6"/>
    <w:rsid w:val="007E0ED1"/>
    <w:rsid w:val="007E10FD"/>
    <w:rsid w:val="007E20B7"/>
    <w:rsid w:val="007E28A0"/>
    <w:rsid w:val="007E3424"/>
    <w:rsid w:val="007E3F4C"/>
    <w:rsid w:val="007E453F"/>
    <w:rsid w:val="007E4883"/>
    <w:rsid w:val="007E4C36"/>
    <w:rsid w:val="007E4D07"/>
    <w:rsid w:val="007E5806"/>
    <w:rsid w:val="007E6824"/>
    <w:rsid w:val="007E712C"/>
    <w:rsid w:val="007E7475"/>
    <w:rsid w:val="007E74CF"/>
    <w:rsid w:val="007E7DA7"/>
    <w:rsid w:val="007F035A"/>
    <w:rsid w:val="007F142D"/>
    <w:rsid w:val="007F2154"/>
    <w:rsid w:val="007F28E3"/>
    <w:rsid w:val="007F30AB"/>
    <w:rsid w:val="007F4089"/>
    <w:rsid w:val="007F491D"/>
    <w:rsid w:val="007F6178"/>
    <w:rsid w:val="007F667E"/>
    <w:rsid w:val="00800FEF"/>
    <w:rsid w:val="00801144"/>
    <w:rsid w:val="00801694"/>
    <w:rsid w:val="00802335"/>
    <w:rsid w:val="00802616"/>
    <w:rsid w:val="00802856"/>
    <w:rsid w:val="00802901"/>
    <w:rsid w:val="00802B1A"/>
    <w:rsid w:val="008034A0"/>
    <w:rsid w:val="00804079"/>
    <w:rsid w:val="0080472B"/>
    <w:rsid w:val="00804EA4"/>
    <w:rsid w:val="00806A8D"/>
    <w:rsid w:val="00810770"/>
    <w:rsid w:val="008109C1"/>
    <w:rsid w:val="00810C57"/>
    <w:rsid w:val="00812530"/>
    <w:rsid w:val="00813E21"/>
    <w:rsid w:val="00814089"/>
    <w:rsid w:val="00814E15"/>
    <w:rsid w:val="00815755"/>
    <w:rsid w:val="00815D36"/>
    <w:rsid w:val="00816291"/>
    <w:rsid w:val="008178D3"/>
    <w:rsid w:val="00817C3C"/>
    <w:rsid w:val="00821779"/>
    <w:rsid w:val="0082285D"/>
    <w:rsid w:val="0082331F"/>
    <w:rsid w:val="00823DAC"/>
    <w:rsid w:val="008240CF"/>
    <w:rsid w:val="008245F5"/>
    <w:rsid w:val="0082493F"/>
    <w:rsid w:val="00824C78"/>
    <w:rsid w:val="008252A2"/>
    <w:rsid w:val="00826C9B"/>
    <w:rsid w:val="00827184"/>
    <w:rsid w:val="0082751E"/>
    <w:rsid w:val="00827B78"/>
    <w:rsid w:val="008302D0"/>
    <w:rsid w:val="00831027"/>
    <w:rsid w:val="00832444"/>
    <w:rsid w:val="00832E2B"/>
    <w:rsid w:val="00833A06"/>
    <w:rsid w:val="00834955"/>
    <w:rsid w:val="00834AC7"/>
    <w:rsid w:val="00834D14"/>
    <w:rsid w:val="00834F62"/>
    <w:rsid w:val="00835298"/>
    <w:rsid w:val="00835BF3"/>
    <w:rsid w:val="00836205"/>
    <w:rsid w:val="00836272"/>
    <w:rsid w:val="008363F4"/>
    <w:rsid w:val="00836C67"/>
    <w:rsid w:val="00840261"/>
    <w:rsid w:val="00840A02"/>
    <w:rsid w:val="00840CBE"/>
    <w:rsid w:val="00840FFD"/>
    <w:rsid w:val="00841356"/>
    <w:rsid w:val="0084140C"/>
    <w:rsid w:val="0084145D"/>
    <w:rsid w:val="00842CAD"/>
    <w:rsid w:val="00842E10"/>
    <w:rsid w:val="00842F1A"/>
    <w:rsid w:val="008430FF"/>
    <w:rsid w:val="008433DA"/>
    <w:rsid w:val="00843464"/>
    <w:rsid w:val="00844263"/>
    <w:rsid w:val="008445DA"/>
    <w:rsid w:val="00844886"/>
    <w:rsid w:val="0084592E"/>
    <w:rsid w:val="00846767"/>
    <w:rsid w:val="00846EB8"/>
    <w:rsid w:val="00846FED"/>
    <w:rsid w:val="008475FE"/>
    <w:rsid w:val="00847B3F"/>
    <w:rsid w:val="00850864"/>
    <w:rsid w:val="00850D31"/>
    <w:rsid w:val="0085161C"/>
    <w:rsid w:val="00851999"/>
    <w:rsid w:val="00851F67"/>
    <w:rsid w:val="00851FF5"/>
    <w:rsid w:val="00853CF1"/>
    <w:rsid w:val="00853D16"/>
    <w:rsid w:val="008543A1"/>
    <w:rsid w:val="00854F1C"/>
    <w:rsid w:val="00855431"/>
    <w:rsid w:val="00856DCD"/>
    <w:rsid w:val="00857A8E"/>
    <w:rsid w:val="00857D7F"/>
    <w:rsid w:val="0086069E"/>
    <w:rsid w:val="00861213"/>
    <w:rsid w:val="00861580"/>
    <w:rsid w:val="00863C0C"/>
    <w:rsid w:val="0086454A"/>
    <w:rsid w:val="008653A5"/>
    <w:rsid w:val="00870343"/>
    <w:rsid w:val="00870BF4"/>
    <w:rsid w:val="00870F7C"/>
    <w:rsid w:val="00872620"/>
    <w:rsid w:val="00873F21"/>
    <w:rsid w:val="00877EF5"/>
    <w:rsid w:val="0088033A"/>
    <w:rsid w:val="008806CF"/>
    <w:rsid w:val="0088078E"/>
    <w:rsid w:val="00880954"/>
    <w:rsid w:val="0088178D"/>
    <w:rsid w:val="00881894"/>
    <w:rsid w:val="00881B12"/>
    <w:rsid w:val="00881EEB"/>
    <w:rsid w:val="0088240C"/>
    <w:rsid w:val="008827EB"/>
    <w:rsid w:val="00882B18"/>
    <w:rsid w:val="0088314B"/>
    <w:rsid w:val="008837D8"/>
    <w:rsid w:val="00883CF1"/>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48E9"/>
    <w:rsid w:val="00894CA7"/>
    <w:rsid w:val="00895608"/>
    <w:rsid w:val="0089579F"/>
    <w:rsid w:val="00896629"/>
    <w:rsid w:val="0089666C"/>
    <w:rsid w:val="008967E7"/>
    <w:rsid w:val="00897661"/>
    <w:rsid w:val="008A0082"/>
    <w:rsid w:val="008A1700"/>
    <w:rsid w:val="008A2915"/>
    <w:rsid w:val="008A2B9F"/>
    <w:rsid w:val="008A2DF8"/>
    <w:rsid w:val="008A302A"/>
    <w:rsid w:val="008A5275"/>
    <w:rsid w:val="008A5FE5"/>
    <w:rsid w:val="008A61C6"/>
    <w:rsid w:val="008A6943"/>
    <w:rsid w:val="008B0B9D"/>
    <w:rsid w:val="008B0C92"/>
    <w:rsid w:val="008B25FB"/>
    <w:rsid w:val="008B27D0"/>
    <w:rsid w:val="008B2E0B"/>
    <w:rsid w:val="008B331A"/>
    <w:rsid w:val="008B4026"/>
    <w:rsid w:val="008B4EF3"/>
    <w:rsid w:val="008B63A3"/>
    <w:rsid w:val="008B7A5D"/>
    <w:rsid w:val="008B7EBB"/>
    <w:rsid w:val="008C08C9"/>
    <w:rsid w:val="008C14F3"/>
    <w:rsid w:val="008C1EDE"/>
    <w:rsid w:val="008C2CEE"/>
    <w:rsid w:val="008C3274"/>
    <w:rsid w:val="008C328A"/>
    <w:rsid w:val="008C3356"/>
    <w:rsid w:val="008C39E8"/>
    <w:rsid w:val="008C41CA"/>
    <w:rsid w:val="008C44A1"/>
    <w:rsid w:val="008C47AB"/>
    <w:rsid w:val="008C4BE2"/>
    <w:rsid w:val="008C4DFF"/>
    <w:rsid w:val="008C55B3"/>
    <w:rsid w:val="008C56D8"/>
    <w:rsid w:val="008C5963"/>
    <w:rsid w:val="008C5EBB"/>
    <w:rsid w:val="008C6C3C"/>
    <w:rsid w:val="008C7556"/>
    <w:rsid w:val="008C76C8"/>
    <w:rsid w:val="008C780B"/>
    <w:rsid w:val="008D02E0"/>
    <w:rsid w:val="008D0B42"/>
    <w:rsid w:val="008D0F82"/>
    <w:rsid w:val="008D295B"/>
    <w:rsid w:val="008D2C09"/>
    <w:rsid w:val="008D319B"/>
    <w:rsid w:val="008D3706"/>
    <w:rsid w:val="008D3A2B"/>
    <w:rsid w:val="008D3BDC"/>
    <w:rsid w:val="008D4293"/>
    <w:rsid w:val="008D4FAD"/>
    <w:rsid w:val="008D54E2"/>
    <w:rsid w:val="008D59CD"/>
    <w:rsid w:val="008D59D5"/>
    <w:rsid w:val="008D5E48"/>
    <w:rsid w:val="008D5FB4"/>
    <w:rsid w:val="008E0605"/>
    <w:rsid w:val="008E0704"/>
    <w:rsid w:val="008E1A59"/>
    <w:rsid w:val="008E2166"/>
    <w:rsid w:val="008E2353"/>
    <w:rsid w:val="008E2907"/>
    <w:rsid w:val="008E4285"/>
    <w:rsid w:val="008E57BE"/>
    <w:rsid w:val="008E5973"/>
    <w:rsid w:val="008E5AD7"/>
    <w:rsid w:val="008E5C7F"/>
    <w:rsid w:val="008E5CFF"/>
    <w:rsid w:val="008E6788"/>
    <w:rsid w:val="008E6E26"/>
    <w:rsid w:val="008E7213"/>
    <w:rsid w:val="008E7649"/>
    <w:rsid w:val="008E7F9E"/>
    <w:rsid w:val="008F11E1"/>
    <w:rsid w:val="008F1C33"/>
    <w:rsid w:val="008F216B"/>
    <w:rsid w:val="008F2CA9"/>
    <w:rsid w:val="008F3866"/>
    <w:rsid w:val="008F41B8"/>
    <w:rsid w:val="008F494C"/>
    <w:rsid w:val="008F4DE2"/>
    <w:rsid w:val="008F5642"/>
    <w:rsid w:val="008F66A7"/>
    <w:rsid w:val="008F66F7"/>
    <w:rsid w:val="008F766D"/>
    <w:rsid w:val="008F7EC2"/>
    <w:rsid w:val="00900079"/>
    <w:rsid w:val="00900E5D"/>
    <w:rsid w:val="009018CF"/>
    <w:rsid w:val="00901CC1"/>
    <w:rsid w:val="00902AA8"/>
    <w:rsid w:val="009041CC"/>
    <w:rsid w:val="00905DDB"/>
    <w:rsid w:val="0090615F"/>
    <w:rsid w:val="0090666C"/>
    <w:rsid w:val="009075E1"/>
    <w:rsid w:val="00907F7D"/>
    <w:rsid w:val="00910FB0"/>
    <w:rsid w:val="00912550"/>
    <w:rsid w:val="00912F7B"/>
    <w:rsid w:val="00913A29"/>
    <w:rsid w:val="009145B2"/>
    <w:rsid w:val="009145E2"/>
    <w:rsid w:val="0091483B"/>
    <w:rsid w:val="00914FFD"/>
    <w:rsid w:val="00915D70"/>
    <w:rsid w:val="009166E5"/>
    <w:rsid w:val="00917019"/>
    <w:rsid w:val="0091747B"/>
    <w:rsid w:val="00917AF0"/>
    <w:rsid w:val="0092144C"/>
    <w:rsid w:val="00921510"/>
    <w:rsid w:val="009219DD"/>
    <w:rsid w:val="00922324"/>
    <w:rsid w:val="009227B3"/>
    <w:rsid w:val="0092363F"/>
    <w:rsid w:val="00923901"/>
    <w:rsid w:val="009239F5"/>
    <w:rsid w:val="00923AE5"/>
    <w:rsid w:val="00925043"/>
    <w:rsid w:val="00925609"/>
    <w:rsid w:val="00925E4A"/>
    <w:rsid w:val="009267E3"/>
    <w:rsid w:val="00926E3E"/>
    <w:rsid w:val="00927A1D"/>
    <w:rsid w:val="00927BE1"/>
    <w:rsid w:val="00930A07"/>
    <w:rsid w:val="00930AFB"/>
    <w:rsid w:val="00931065"/>
    <w:rsid w:val="00931347"/>
    <w:rsid w:val="009313C9"/>
    <w:rsid w:val="00931B0D"/>
    <w:rsid w:val="009320E8"/>
    <w:rsid w:val="00932B29"/>
    <w:rsid w:val="0093332C"/>
    <w:rsid w:val="0093337B"/>
    <w:rsid w:val="00934191"/>
    <w:rsid w:val="009342C2"/>
    <w:rsid w:val="00934753"/>
    <w:rsid w:val="00934C6A"/>
    <w:rsid w:val="00935672"/>
    <w:rsid w:val="00935698"/>
    <w:rsid w:val="00935E71"/>
    <w:rsid w:val="00935FCD"/>
    <w:rsid w:val="0093656C"/>
    <w:rsid w:val="00936D91"/>
    <w:rsid w:val="00937392"/>
    <w:rsid w:val="0093773C"/>
    <w:rsid w:val="00941074"/>
    <w:rsid w:val="00941251"/>
    <w:rsid w:val="009417A9"/>
    <w:rsid w:val="00942248"/>
    <w:rsid w:val="0094265C"/>
    <w:rsid w:val="00943260"/>
    <w:rsid w:val="009448C1"/>
    <w:rsid w:val="00944C73"/>
    <w:rsid w:val="0094515A"/>
    <w:rsid w:val="009460E6"/>
    <w:rsid w:val="00946148"/>
    <w:rsid w:val="009464E1"/>
    <w:rsid w:val="00947216"/>
    <w:rsid w:val="00951235"/>
    <w:rsid w:val="00951F20"/>
    <w:rsid w:val="009522EB"/>
    <w:rsid w:val="009538E6"/>
    <w:rsid w:val="00954085"/>
    <w:rsid w:val="0095444F"/>
    <w:rsid w:val="00954BCC"/>
    <w:rsid w:val="009564A8"/>
    <w:rsid w:val="00956956"/>
    <w:rsid w:val="00956AB6"/>
    <w:rsid w:val="009606FC"/>
    <w:rsid w:val="00960B05"/>
    <w:rsid w:val="00962AEA"/>
    <w:rsid w:val="0096420F"/>
    <w:rsid w:val="00964438"/>
    <w:rsid w:val="00965FEE"/>
    <w:rsid w:val="009666A9"/>
    <w:rsid w:val="0096689D"/>
    <w:rsid w:val="0096764F"/>
    <w:rsid w:val="00970694"/>
    <w:rsid w:val="00971570"/>
    <w:rsid w:val="00972B2E"/>
    <w:rsid w:val="00972C56"/>
    <w:rsid w:val="00972C9A"/>
    <w:rsid w:val="009732C0"/>
    <w:rsid w:val="009732D5"/>
    <w:rsid w:val="00973DE3"/>
    <w:rsid w:val="00974289"/>
    <w:rsid w:val="00974680"/>
    <w:rsid w:val="00974A38"/>
    <w:rsid w:val="00974B54"/>
    <w:rsid w:val="00975F26"/>
    <w:rsid w:val="009769B8"/>
    <w:rsid w:val="00977365"/>
    <w:rsid w:val="0097778C"/>
    <w:rsid w:val="00977CCB"/>
    <w:rsid w:val="0098193A"/>
    <w:rsid w:val="00981D96"/>
    <w:rsid w:val="0098299E"/>
    <w:rsid w:val="00983575"/>
    <w:rsid w:val="00984906"/>
    <w:rsid w:val="00984B98"/>
    <w:rsid w:val="00984E11"/>
    <w:rsid w:val="00985ADA"/>
    <w:rsid w:val="009863A5"/>
    <w:rsid w:val="00987842"/>
    <w:rsid w:val="0099090C"/>
    <w:rsid w:val="009910FB"/>
    <w:rsid w:val="00992275"/>
    <w:rsid w:val="009924D3"/>
    <w:rsid w:val="0099382D"/>
    <w:rsid w:val="00993D1A"/>
    <w:rsid w:val="00994262"/>
    <w:rsid w:val="00994610"/>
    <w:rsid w:val="00994DF6"/>
    <w:rsid w:val="009956EE"/>
    <w:rsid w:val="00996727"/>
    <w:rsid w:val="009969D8"/>
    <w:rsid w:val="009975CA"/>
    <w:rsid w:val="00997DAE"/>
    <w:rsid w:val="009A10BE"/>
    <w:rsid w:val="009A264F"/>
    <w:rsid w:val="009A286B"/>
    <w:rsid w:val="009A2AB7"/>
    <w:rsid w:val="009A31BD"/>
    <w:rsid w:val="009A4FE5"/>
    <w:rsid w:val="009A549D"/>
    <w:rsid w:val="009A5886"/>
    <w:rsid w:val="009A58B1"/>
    <w:rsid w:val="009A6A83"/>
    <w:rsid w:val="009A6DBB"/>
    <w:rsid w:val="009A6E55"/>
    <w:rsid w:val="009A71D8"/>
    <w:rsid w:val="009A7A2F"/>
    <w:rsid w:val="009A7D78"/>
    <w:rsid w:val="009A7F7D"/>
    <w:rsid w:val="009B0279"/>
    <w:rsid w:val="009B14CE"/>
    <w:rsid w:val="009B253C"/>
    <w:rsid w:val="009B256E"/>
    <w:rsid w:val="009B2B7B"/>
    <w:rsid w:val="009B3D33"/>
    <w:rsid w:val="009B3DC8"/>
    <w:rsid w:val="009B52EC"/>
    <w:rsid w:val="009B5743"/>
    <w:rsid w:val="009B6362"/>
    <w:rsid w:val="009B653B"/>
    <w:rsid w:val="009B69BB"/>
    <w:rsid w:val="009B731B"/>
    <w:rsid w:val="009B7FCE"/>
    <w:rsid w:val="009C0CFD"/>
    <w:rsid w:val="009C1C4F"/>
    <w:rsid w:val="009C1D6F"/>
    <w:rsid w:val="009C1D77"/>
    <w:rsid w:val="009C27C2"/>
    <w:rsid w:val="009C2820"/>
    <w:rsid w:val="009C3318"/>
    <w:rsid w:val="009C3468"/>
    <w:rsid w:val="009C43A7"/>
    <w:rsid w:val="009C4A09"/>
    <w:rsid w:val="009C505E"/>
    <w:rsid w:val="009C5587"/>
    <w:rsid w:val="009C65D4"/>
    <w:rsid w:val="009C66A3"/>
    <w:rsid w:val="009D0289"/>
    <w:rsid w:val="009D12CD"/>
    <w:rsid w:val="009D1F6D"/>
    <w:rsid w:val="009D25A2"/>
    <w:rsid w:val="009D25C3"/>
    <w:rsid w:val="009D2718"/>
    <w:rsid w:val="009D3728"/>
    <w:rsid w:val="009D4988"/>
    <w:rsid w:val="009D5B81"/>
    <w:rsid w:val="009D5D26"/>
    <w:rsid w:val="009D5D2A"/>
    <w:rsid w:val="009D68C2"/>
    <w:rsid w:val="009D6C36"/>
    <w:rsid w:val="009D6CA6"/>
    <w:rsid w:val="009D72F4"/>
    <w:rsid w:val="009E0C8B"/>
    <w:rsid w:val="009E0FBF"/>
    <w:rsid w:val="009E25EA"/>
    <w:rsid w:val="009E3A70"/>
    <w:rsid w:val="009E4CF5"/>
    <w:rsid w:val="009E4F2B"/>
    <w:rsid w:val="009E6513"/>
    <w:rsid w:val="009E7A88"/>
    <w:rsid w:val="009F057F"/>
    <w:rsid w:val="009F0828"/>
    <w:rsid w:val="009F14E8"/>
    <w:rsid w:val="009F1F21"/>
    <w:rsid w:val="009F2DE9"/>
    <w:rsid w:val="009F2F79"/>
    <w:rsid w:val="009F3094"/>
    <w:rsid w:val="009F40F3"/>
    <w:rsid w:val="009F43E5"/>
    <w:rsid w:val="009F494E"/>
    <w:rsid w:val="009F5613"/>
    <w:rsid w:val="009F5982"/>
    <w:rsid w:val="009F5B89"/>
    <w:rsid w:val="009F6DF8"/>
    <w:rsid w:val="009F71CC"/>
    <w:rsid w:val="009F75A8"/>
    <w:rsid w:val="00A02D54"/>
    <w:rsid w:val="00A02EA4"/>
    <w:rsid w:val="00A03254"/>
    <w:rsid w:val="00A04962"/>
    <w:rsid w:val="00A05DCC"/>
    <w:rsid w:val="00A06094"/>
    <w:rsid w:val="00A0619B"/>
    <w:rsid w:val="00A06743"/>
    <w:rsid w:val="00A06FA7"/>
    <w:rsid w:val="00A07BC4"/>
    <w:rsid w:val="00A07D16"/>
    <w:rsid w:val="00A105E9"/>
    <w:rsid w:val="00A109AD"/>
    <w:rsid w:val="00A10A7A"/>
    <w:rsid w:val="00A10BC1"/>
    <w:rsid w:val="00A120B2"/>
    <w:rsid w:val="00A12146"/>
    <w:rsid w:val="00A12A96"/>
    <w:rsid w:val="00A12B52"/>
    <w:rsid w:val="00A1441B"/>
    <w:rsid w:val="00A14E37"/>
    <w:rsid w:val="00A1557C"/>
    <w:rsid w:val="00A155FA"/>
    <w:rsid w:val="00A15C8B"/>
    <w:rsid w:val="00A16886"/>
    <w:rsid w:val="00A16B12"/>
    <w:rsid w:val="00A202D0"/>
    <w:rsid w:val="00A20831"/>
    <w:rsid w:val="00A218BE"/>
    <w:rsid w:val="00A2304C"/>
    <w:rsid w:val="00A23490"/>
    <w:rsid w:val="00A236E9"/>
    <w:rsid w:val="00A23713"/>
    <w:rsid w:val="00A23E52"/>
    <w:rsid w:val="00A23F8D"/>
    <w:rsid w:val="00A2445B"/>
    <w:rsid w:val="00A247D4"/>
    <w:rsid w:val="00A24D61"/>
    <w:rsid w:val="00A25767"/>
    <w:rsid w:val="00A25A37"/>
    <w:rsid w:val="00A26012"/>
    <w:rsid w:val="00A266F4"/>
    <w:rsid w:val="00A26CD4"/>
    <w:rsid w:val="00A27360"/>
    <w:rsid w:val="00A30306"/>
    <w:rsid w:val="00A30308"/>
    <w:rsid w:val="00A30CE1"/>
    <w:rsid w:val="00A31184"/>
    <w:rsid w:val="00A31FEB"/>
    <w:rsid w:val="00A32067"/>
    <w:rsid w:val="00A326F0"/>
    <w:rsid w:val="00A32D93"/>
    <w:rsid w:val="00A3346B"/>
    <w:rsid w:val="00A3382D"/>
    <w:rsid w:val="00A33AFD"/>
    <w:rsid w:val="00A33FEC"/>
    <w:rsid w:val="00A347E2"/>
    <w:rsid w:val="00A35636"/>
    <w:rsid w:val="00A362B7"/>
    <w:rsid w:val="00A369CC"/>
    <w:rsid w:val="00A379AC"/>
    <w:rsid w:val="00A40665"/>
    <w:rsid w:val="00A40833"/>
    <w:rsid w:val="00A40BA6"/>
    <w:rsid w:val="00A42670"/>
    <w:rsid w:val="00A42689"/>
    <w:rsid w:val="00A44A3C"/>
    <w:rsid w:val="00A44DE5"/>
    <w:rsid w:val="00A45010"/>
    <w:rsid w:val="00A450C8"/>
    <w:rsid w:val="00A454A8"/>
    <w:rsid w:val="00A457AE"/>
    <w:rsid w:val="00A45D3B"/>
    <w:rsid w:val="00A45E0F"/>
    <w:rsid w:val="00A4714D"/>
    <w:rsid w:val="00A4721D"/>
    <w:rsid w:val="00A47447"/>
    <w:rsid w:val="00A47797"/>
    <w:rsid w:val="00A47E4E"/>
    <w:rsid w:val="00A50977"/>
    <w:rsid w:val="00A50FA4"/>
    <w:rsid w:val="00A5152F"/>
    <w:rsid w:val="00A51D39"/>
    <w:rsid w:val="00A522BC"/>
    <w:rsid w:val="00A524DA"/>
    <w:rsid w:val="00A52CA1"/>
    <w:rsid w:val="00A52E6D"/>
    <w:rsid w:val="00A5341D"/>
    <w:rsid w:val="00A53987"/>
    <w:rsid w:val="00A543DA"/>
    <w:rsid w:val="00A54664"/>
    <w:rsid w:val="00A54FDF"/>
    <w:rsid w:val="00A5611C"/>
    <w:rsid w:val="00A56677"/>
    <w:rsid w:val="00A568AB"/>
    <w:rsid w:val="00A578C7"/>
    <w:rsid w:val="00A60149"/>
    <w:rsid w:val="00A6071A"/>
    <w:rsid w:val="00A60AF2"/>
    <w:rsid w:val="00A60B7A"/>
    <w:rsid w:val="00A60F46"/>
    <w:rsid w:val="00A60F8D"/>
    <w:rsid w:val="00A616D5"/>
    <w:rsid w:val="00A6242F"/>
    <w:rsid w:val="00A6252A"/>
    <w:rsid w:val="00A6254C"/>
    <w:rsid w:val="00A62782"/>
    <w:rsid w:val="00A632CC"/>
    <w:rsid w:val="00A638C8"/>
    <w:rsid w:val="00A63A48"/>
    <w:rsid w:val="00A63C28"/>
    <w:rsid w:val="00A65065"/>
    <w:rsid w:val="00A65278"/>
    <w:rsid w:val="00A6533B"/>
    <w:rsid w:val="00A65D79"/>
    <w:rsid w:val="00A660F0"/>
    <w:rsid w:val="00A66338"/>
    <w:rsid w:val="00A6697E"/>
    <w:rsid w:val="00A677E6"/>
    <w:rsid w:val="00A7010E"/>
    <w:rsid w:val="00A711C2"/>
    <w:rsid w:val="00A71714"/>
    <w:rsid w:val="00A725EC"/>
    <w:rsid w:val="00A726A0"/>
    <w:rsid w:val="00A72B47"/>
    <w:rsid w:val="00A733D8"/>
    <w:rsid w:val="00A733FB"/>
    <w:rsid w:val="00A73D44"/>
    <w:rsid w:val="00A743CA"/>
    <w:rsid w:val="00A7451C"/>
    <w:rsid w:val="00A74910"/>
    <w:rsid w:val="00A7518A"/>
    <w:rsid w:val="00A759A6"/>
    <w:rsid w:val="00A76054"/>
    <w:rsid w:val="00A764DF"/>
    <w:rsid w:val="00A768E3"/>
    <w:rsid w:val="00A76CC4"/>
    <w:rsid w:val="00A773A8"/>
    <w:rsid w:val="00A77974"/>
    <w:rsid w:val="00A80573"/>
    <w:rsid w:val="00A81C7A"/>
    <w:rsid w:val="00A821D1"/>
    <w:rsid w:val="00A822E8"/>
    <w:rsid w:val="00A832CE"/>
    <w:rsid w:val="00A83F38"/>
    <w:rsid w:val="00A84008"/>
    <w:rsid w:val="00A84FBB"/>
    <w:rsid w:val="00A851E7"/>
    <w:rsid w:val="00A8584F"/>
    <w:rsid w:val="00A8673B"/>
    <w:rsid w:val="00A86C0B"/>
    <w:rsid w:val="00A872BA"/>
    <w:rsid w:val="00A878EB"/>
    <w:rsid w:val="00A87CE4"/>
    <w:rsid w:val="00A904D5"/>
    <w:rsid w:val="00A90CD5"/>
    <w:rsid w:val="00A91AB3"/>
    <w:rsid w:val="00A9242D"/>
    <w:rsid w:val="00A927B4"/>
    <w:rsid w:val="00A945E8"/>
    <w:rsid w:val="00A954D4"/>
    <w:rsid w:val="00A9585B"/>
    <w:rsid w:val="00A95A2D"/>
    <w:rsid w:val="00A95F5D"/>
    <w:rsid w:val="00A96369"/>
    <w:rsid w:val="00A968B3"/>
    <w:rsid w:val="00A96FA3"/>
    <w:rsid w:val="00AA0571"/>
    <w:rsid w:val="00AA077C"/>
    <w:rsid w:val="00AA08FD"/>
    <w:rsid w:val="00AA0C8B"/>
    <w:rsid w:val="00AA0F51"/>
    <w:rsid w:val="00AA1507"/>
    <w:rsid w:val="00AA1C1F"/>
    <w:rsid w:val="00AA31FF"/>
    <w:rsid w:val="00AA7076"/>
    <w:rsid w:val="00AA783A"/>
    <w:rsid w:val="00AA7C3C"/>
    <w:rsid w:val="00AA7FA1"/>
    <w:rsid w:val="00AB0E20"/>
    <w:rsid w:val="00AB16D7"/>
    <w:rsid w:val="00AB1C08"/>
    <w:rsid w:val="00AB1CF5"/>
    <w:rsid w:val="00AB21D7"/>
    <w:rsid w:val="00AB246F"/>
    <w:rsid w:val="00AB252E"/>
    <w:rsid w:val="00AB258F"/>
    <w:rsid w:val="00AB4019"/>
    <w:rsid w:val="00AB4D3A"/>
    <w:rsid w:val="00AB4D4A"/>
    <w:rsid w:val="00AB4E46"/>
    <w:rsid w:val="00AB5210"/>
    <w:rsid w:val="00AB5262"/>
    <w:rsid w:val="00AB5375"/>
    <w:rsid w:val="00AB6A0C"/>
    <w:rsid w:val="00AB6C08"/>
    <w:rsid w:val="00AB6CF0"/>
    <w:rsid w:val="00AB6E44"/>
    <w:rsid w:val="00AB6F27"/>
    <w:rsid w:val="00AB7168"/>
    <w:rsid w:val="00AB783D"/>
    <w:rsid w:val="00AB791B"/>
    <w:rsid w:val="00AB7BAE"/>
    <w:rsid w:val="00AC12A2"/>
    <w:rsid w:val="00AC1440"/>
    <w:rsid w:val="00AC15C3"/>
    <w:rsid w:val="00AC26EA"/>
    <w:rsid w:val="00AC2D76"/>
    <w:rsid w:val="00AC3B8E"/>
    <w:rsid w:val="00AC3E40"/>
    <w:rsid w:val="00AC4232"/>
    <w:rsid w:val="00AC4D64"/>
    <w:rsid w:val="00AC4FC4"/>
    <w:rsid w:val="00AC5000"/>
    <w:rsid w:val="00AC5340"/>
    <w:rsid w:val="00AC614D"/>
    <w:rsid w:val="00AC64AF"/>
    <w:rsid w:val="00AC68AB"/>
    <w:rsid w:val="00AC6E43"/>
    <w:rsid w:val="00AC7D3F"/>
    <w:rsid w:val="00AD00CA"/>
    <w:rsid w:val="00AD0AE7"/>
    <w:rsid w:val="00AD0CF5"/>
    <w:rsid w:val="00AD105A"/>
    <w:rsid w:val="00AD1621"/>
    <w:rsid w:val="00AD2FC6"/>
    <w:rsid w:val="00AD3FC6"/>
    <w:rsid w:val="00AD4EA7"/>
    <w:rsid w:val="00AD5788"/>
    <w:rsid w:val="00AD5992"/>
    <w:rsid w:val="00AD5BCD"/>
    <w:rsid w:val="00AD5C9E"/>
    <w:rsid w:val="00AE0039"/>
    <w:rsid w:val="00AE04F7"/>
    <w:rsid w:val="00AE06AA"/>
    <w:rsid w:val="00AE16FA"/>
    <w:rsid w:val="00AE1CC8"/>
    <w:rsid w:val="00AE408C"/>
    <w:rsid w:val="00AE499C"/>
    <w:rsid w:val="00AE4FE8"/>
    <w:rsid w:val="00AE64C4"/>
    <w:rsid w:val="00AE66BF"/>
    <w:rsid w:val="00AE675E"/>
    <w:rsid w:val="00AE683B"/>
    <w:rsid w:val="00AE6D55"/>
    <w:rsid w:val="00AE7B92"/>
    <w:rsid w:val="00AF09F1"/>
    <w:rsid w:val="00AF1A0C"/>
    <w:rsid w:val="00AF1B7B"/>
    <w:rsid w:val="00AF28F6"/>
    <w:rsid w:val="00AF30A5"/>
    <w:rsid w:val="00AF3DFB"/>
    <w:rsid w:val="00AF4996"/>
    <w:rsid w:val="00AF58E1"/>
    <w:rsid w:val="00AF6A69"/>
    <w:rsid w:val="00AF6BAA"/>
    <w:rsid w:val="00AF78D8"/>
    <w:rsid w:val="00B00B93"/>
    <w:rsid w:val="00B01592"/>
    <w:rsid w:val="00B01D05"/>
    <w:rsid w:val="00B02A41"/>
    <w:rsid w:val="00B02AAC"/>
    <w:rsid w:val="00B0460F"/>
    <w:rsid w:val="00B0494F"/>
    <w:rsid w:val="00B0504C"/>
    <w:rsid w:val="00B053EF"/>
    <w:rsid w:val="00B054DF"/>
    <w:rsid w:val="00B0551E"/>
    <w:rsid w:val="00B055FA"/>
    <w:rsid w:val="00B059A9"/>
    <w:rsid w:val="00B05CD5"/>
    <w:rsid w:val="00B06260"/>
    <w:rsid w:val="00B063A7"/>
    <w:rsid w:val="00B07069"/>
    <w:rsid w:val="00B073D5"/>
    <w:rsid w:val="00B128E2"/>
    <w:rsid w:val="00B1303D"/>
    <w:rsid w:val="00B140C6"/>
    <w:rsid w:val="00B16313"/>
    <w:rsid w:val="00B16C63"/>
    <w:rsid w:val="00B200AA"/>
    <w:rsid w:val="00B20E02"/>
    <w:rsid w:val="00B21A7B"/>
    <w:rsid w:val="00B21DE1"/>
    <w:rsid w:val="00B2294C"/>
    <w:rsid w:val="00B22951"/>
    <w:rsid w:val="00B22E33"/>
    <w:rsid w:val="00B2384B"/>
    <w:rsid w:val="00B2531C"/>
    <w:rsid w:val="00B26448"/>
    <w:rsid w:val="00B26AF8"/>
    <w:rsid w:val="00B27A66"/>
    <w:rsid w:val="00B31657"/>
    <w:rsid w:val="00B31D41"/>
    <w:rsid w:val="00B322DF"/>
    <w:rsid w:val="00B325D4"/>
    <w:rsid w:val="00B32B36"/>
    <w:rsid w:val="00B3463E"/>
    <w:rsid w:val="00B36727"/>
    <w:rsid w:val="00B3700E"/>
    <w:rsid w:val="00B370EF"/>
    <w:rsid w:val="00B37B34"/>
    <w:rsid w:val="00B4085C"/>
    <w:rsid w:val="00B411A7"/>
    <w:rsid w:val="00B41977"/>
    <w:rsid w:val="00B4210F"/>
    <w:rsid w:val="00B430E7"/>
    <w:rsid w:val="00B43360"/>
    <w:rsid w:val="00B44032"/>
    <w:rsid w:val="00B44DEE"/>
    <w:rsid w:val="00B45283"/>
    <w:rsid w:val="00B45330"/>
    <w:rsid w:val="00B45981"/>
    <w:rsid w:val="00B465BD"/>
    <w:rsid w:val="00B47E88"/>
    <w:rsid w:val="00B520D0"/>
    <w:rsid w:val="00B52F38"/>
    <w:rsid w:val="00B55077"/>
    <w:rsid w:val="00B553C3"/>
    <w:rsid w:val="00B55824"/>
    <w:rsid w:val="00B56A7E"/>
    <w:rsid w:val="00B56F9D"/>
    <w:rsid w:val="00B57DCF"/>
    <w:rsid w:val="00B57DDC"/>
    <w:rsid w:val="00B6016A"/>
    <w:rsid w:val="00B61A1C"/>
    <w:rsid w:val="00B62903"/>
    <w:rsid w:val="00B64865"/>
    <w:rsid w:val="00B65E77"/>
    <w:rsid w:val="00B674E1"/>
    <w:rsid w:val="00B67BE8"/>
    <w:rsid w:val="00B67EF2"/>
    <w:rsid w:val="00B70FCC"/>
    <w:rsid w:val="00B7113B"/>
    <w:rsid w:val="00B71C8B"/>
    <w:rsid w:val="00B72629"/>
    <w:rsid w:val="00B726EB"/>
    <w:rsid w:val="00B72883"/>
    <w:rsid w:val="00B72F8C"/>
    <w:rsid w:val="00B736A3"/>
    <w:rsid w:val="00B7397A"/>
    <w:rsid w:val="00B73E12"/>
    <w:rsid w:val="00B74F98"/>
    <w:rsid w:val="00B76F56"/>
    <w:rsid w:val="00B772DC"/>
    <w:rsid w:val="00B7742F"/>
    <w:rsid w:val="00B77495"/>
    <w:rsid w:val="00B77545"/>
    <w:rsid w:val="00B809ED"/>
    <w:rsid w:val="00B80D70"/>
    <w:rsid w:val="00B8118B"/>
    <w:rsid w:val="00B81433"/>
    <w:rsid w:val="00B81793"/>
    <w:rsid w:val="00B8196F"/>
    <w:rsid w:val="00B821FF"/>
    <w:rsid w:val="00B8225E"/>
    <w:rsid w:val="00B82710"/>
    <w:rsid w:val="00B82766"/>
    <w:rsid w:val="00B82D23"/>
    <w:rsid w:val="00B84E21"/>
    <w:rsid w:val="00B86437"/>
    <w:rsid w:val="00B8669F"/>
    <w:rsid w:val="00B866CD"/>
    <w:rsid w:val="00B87008"/>
    <w:rsid w:val="00B87615"/>
    <w:rsid w:val="00B876B5"/>
    <w:rsid w:val="00B876B6"/>
    <w:rsid w:val="00B877AC"/>
    <w:rsid w:val="00B877F7"/>
    <w:rsid w:val="00B87D5F"/>
    <w:rsid w:val="00B91625"/>
    <w:rsid w:val="00B919E6"/>
    <w:rsid w:val="00B9261B"/>
    <w:rsid w:val="00B92CDA"/>
    <w:rsid w:val="00B93021"/>
    <w:rsid w:val="00B9445E"/>
    <w:rsid w:val="00B94EB5"/>
    <w:rsid w:val="00B951C7"/>
    <w:rsid w:val="00B9566F"/>
    <w:rsid w:val="00B966E8"/>
    <w:rsid w:val="00B970AD"/>
    <w:rsid w:val="00B97E6B"/>
    <w:rsid w:val="00BA02F8"/>
    <w:rsid w:val="00BA09B9"/>
    <w:rsid w:val="00BA0B4C"/>
    <w:rsid w:val="00BA1AF9"/>
    <w:rsid w:val="00BA1B67"/>
    <w:rsid w:val="00BA250C"/>
    <w:rsid w:val="00BA2777"/>
    <w:rsid w:val="00BA2F6C"/>
    <w:rsid w:val="00BA2F9E"/>
    <w:rsid w:val="00BA31CC"/>
    <w:rsid w:val="00BA414E"/>
    <w:rsid w:val="00BA4DAC"/>
    <w:rsid w:val="00BA58BC"/>
    <w:rsid w:val="00BA67A5"/>
    <w:rsid w:val="00BA7A10"/>
    <w:rsid w:val="00BA7EF2"/>
    <w:rsid w:val="00BB0619"/>
    <w:rsid w:val="00BB09F8"/>
    <w:rsid w:val="00BB0B91"/>
    <w:rsid w:val="00BB0DF1"/>
    <w:rsid w:val="00BB200D"/>
    <w:rsid w:val="00BB23E5"/>
    <w:rsid w:val="00BB2D18"/>
    <w:rsid w:val="00BB49BA"/>
    <w:rsid w:val="00BB4AE7"/>
    <w:rsid w:val="00BB4F39"/>
    <w:rsid w:val="00BB4FB7"/>
    <w:rsid w:val="00BB5129"/>
    <w:rsid w:val="00BB5179"/>
    <w:rsid w:val="00BB71FF"/>
    <w:rsid w:val="00BC09A5"/>
    <w:rsid w:val="00BC10BF"/>
    <w:rsid w:val="00BC255F"/>
    <w:rsid w:val="00BC3B42"/>
    <w:rsid w:val="00BC4C40"/>
    <w:rsid w:val="00BC4DBC"/>
    <w:rsid w:val="00BC4DCA"/>
    <w:rsid w:val="00BC7181"/>
    <w:rsid w:val="00BC785F"/>
    <w:rsid w:val="00BC7ECA"/>
    <w:rsid w:val="00BD05EF"/>
    <w:rsid w:val="00BD07B0"/>
    <w:rsid w:val="00BD0B3B"/>
    <w:rsid w:val="00BD0D9C"/>
    <w:rsid w:val="00BD0FC2"/>
    <w:rsid w:val="00BD32A7"/>
    <w:rsid w:val="00BD3F02"/>
    <w:rsid w:val="00BD4638"/>
    <w:rsid w:val="00BD486A"/>
    <w:rsid w:val="00BD4DE7"/>
    <w:rsid w:val="00BD4FA2"/>
    <w:rsid w:val="00BD58F9"/>
    <w:rsid w:val="00BD5A9C"/>
    <w:rsid w:val="00BD6B08"/>
    <w:rsid w:val="00BD76A4"/>
    <w:rsid w:val="00BD772E"/>
    <w:rsid w:val="00BE0AC2"/>
    <w:rsid w:val="00BE2083"/>
    <w:rsid w:val="00BE2601"/>
    <w:rsid w:val="00BE304E"/>
    <w:rsid w:val="00BE3C37"/>
    <w:rsid w:val="00BE3C45"/>
    <w:rsid w:val="00BE3C5B"/>
    <w:rsid w:val="00BE41F4"/>
    <w:rsid w:val="00BE47E9"/>
    <w:rsid w:val="00BE71CB"/>
    <w:rsid w:val="00BE7375"/>
    <w:rsid w:val="00BE775B"/>
    <w:rsid w:val="00BE7C20"/>
    <w:rsid w:val="00BE7FBE"/>
    <w:rsid w:val="00BF03A0"/>
    <w:rsid w:val="00BF03FB"/>
    <w:rsid w:val="00BF088A"/>
    <w:rsid w:val="00BF0F73"/>
    <w:rsid w:val="00BF14FB"/>
    <w:rsid w:val="00BF2D81"/>
    <w:rsid w:val="00BF2EA9"/>
    <w:rsid w:val="00BF486F"/>
    <w:rsid w:val="00BF49E1"/>
    <w:rsid w:val="00BF4A7B"/>
    <w:rsid w:val="00BF4B10"/>
    <w:rsid w:val="00BF4C46"/>
    <w:rsid w:val="00BF515F"/>
    <w:rsid w:val="00BF5961"/>
    <w:rsid w:val="00BF5C04"/>
    <w:rsid w:val="00BF6E2F"/>
    <w:rsid w:val="00BF7176"/>
    <w:rsid w:val="00BF74E5"/>
    <w:rsid w:val="00BF751D"/>
    <w:rsid w:val="00BF7959"/>
    <w:rsid w:val="00BF7BF3"/>
    <w:rsid w:val="00C00C23"/>
    <w:rsid w:val="00C016F6"/>
    <w:rsid w:val="00C02B30"/>
    <w:rsid w:val="00C032E3"/>
    <w:rsid w:val="00C03953"/>
    <w:rsid w:val="00C04C75"/>
    <w:rsid w:val="00C04CA6"/>
    <w:rsid w:val="00C04F9E"/>
    <w:rsid w:val="00C0526E"/>
    <w:rsid w:val="00C0560A"/>
    <w:rsid w:val="00C063C6"/>
    <w:rsid w:val="00C06468"/>
    <w:rsid w:val="00C070BC"/>
    <w:rsid w:val="00C076ED"/>
    <w:rsid w:val="00C10758"/>
    <w:rsid w:val="00C109B2"/>
    <w:rsid w:val="00C1263B"/>
    <w:rsid w:val="00C13671"/>
    <w:rsid w:val="00C139D5"/>
    <w:rsid w:val="00C13A2F"/>
    <w:rsid w:val="00C13C02"/>
    <w:rsid w:val="00C141D8"/>
    <w:rsid w:val="00C14C39"/>
    <w:rsid w:val="00C1553E"/>
    <w:rsid w:val="00C1612C"/>
    <w:rsid w:val="00C16291"/>
    <w:rsid w:val="00C1700F"/>
    <w:rsid w:val="00C171B2"/>
    <w:rsid w:val="00C1765E"/>
    <w:rsid w:val="00C177F5"/>
    <w:rsid w:val="00C20625"/>
    <w:rsid w:val="00C20931"/>
    <w:rsid w:val="00C2097C"/>
    <w:rsid w:val="00C21A8A"/>
    <w:rsid w:val="00C21BAF"/>
    <w:rsid w:val="00C22B1A"/>
    <w:rsid w:val="00C22E02"/>
    <w:rsid w:val="00C23B5C"/>
    <w:rsid w:val="00C23DEB"/>
    <w:rsid w:val="00C24137"/>
    <w:rsid w:val="00C244B1"/>
    <w:rsid w:val="00C244C8"/>
    <w:rsid w:val="00C24949"/>
    <w:rsid w:val="00C25992"/>
    <w:rsid w:val="00C25CCC"/>
    <w:rsid w:val="00C25E39"/>
    <w:rsid w:val="00C260B4"/>
    <w:rsid w:val="00C267CD"/>
    <w:rsid w:val="00C2682D"/>
    <w:rsid w:val="00C2718A"/>
    <w:rsid w:val="00C309F3"/>
    <w:rsid w:val="00C30CEF"/>
    <w:rsid w:val="00C31011"/>
    <w:rsid w:val="00C322B1"/>
    <w:rsid w:val="00C33157"/>
    <w:rsid w:val="00C33DD7"/>
    <w:rsid w:val="00C33E04"/>
    <w:rsid w:val="00C3459A"/>
    <w:rsid w:val="00C34786"/>
    <w:rsid w:val="00C34D66"/>
    <w:rsid w:val="00C34DF1"/>
    <w:rsid w:val="00C3588D"/>
    <w:rsid w:val="00C36293"/>
    <w:rsid w:val="00C364B9"/>
    <w:rsid w:val="00C372DC"/>
    <w:rsid w:val="00C37CB0"/>
    <w:rsid w:val="00C40AC5"/>
    <w:rsid w:val="00C4135A"/>
    <w:rsid w:val="00C414B5"/>
    <w:rsid w:val="00C43FD1"/>
    <w:rsid w:val="00C446A2"/>
    <w:rsid w:val="00C450B8"/>
    <w:rsid w:val="00C4534D"/>
    <w:rsid w:val="00C455EB"/>
    <w:rsid w:val="00C45E98"/>
    <w:rsid w:val="00C46538"/>
    <w:rsid w:val="00C46539"/>
    <w:rsid w:val="00C46685"/>
    <w:rsid w:val="00C4685F"/>
    <w:rsid w:val="00C46D9E"/>
    <w:rsid w:val="00C47558"/>
    <w:rsid w:val="00C4774F"/>
    <w:rsid w:val="00C507DD"/>
    <w:rsid w:val="00C50C84"/>
    <w:rsid w:val="00C51AA5"/>
    <w:rsid w:val="00C51BC3"/>
    <w:rsid w:val="00C52B09"/>
    <w:rsid w:val="00C52BA4"/>
    <w:rsid w:val="00C52F22"/>
    <w:rsid w:val="00C53244"/>
    <w:rsid w:val="00C53568"/>
    <w:rsid w:val="00C53A0A"/>
    <w:rsid w:val="00C5476B"/>
    <w:rsid w:val="00C54819"/>
    <w:rsid w:val="00C548E5"/>
    <w:rsid w:val="00C54BFE"/>
    <w:rsid w:val="00C560C8"/>
    <w:rsid w:val="00C564BB"/>
    <w:rsid w:val="00C57261"/>
    <w:rsid w:val="00C5796F"/>
    <w:rsid w:val="00C579A8"/>
    <w:rsid w:val="00C57E4F"/>
    <w:rsid w:val="00C600C9"/>
    <w:rsid w:val="00C60503"/>
    <w:rsid w:val="00C60715"/>
    <w:rsid w:val="00C60C8C"/>
    <w:rsid w:val="00C61E34"/>
    <w:rsid w:val="00C6212B"/>
    <w:rsid w:val="00C621FA"/>
    <w:rsid w:val="00C636AF"/>
    <w:rsid w:val="00C640A2"/>
    <w:rsid w:val="00C6413A"/>
    <w:rsid w:val="00C643E7"/>
    <w:rsid w:val="00C64C16"/>
    <w:rsid w:val="00C65151"/>
    <w:rsid w:val="00C65558"/>
    <w:rsid w:val="00C65D0B"/>
    <w:rsid w:val="00C66A76"/>
    <w:rsid w:val="00C67DAD"/>
    <w:rsid w:val="00C7084E"/>
    <w:rsid w:val="00C70E50"/>
    <w:rsid w:val="00C729E5"/>
    <w:rsid w:val="00C72DDD"/>
    <w:rsid w:val="00C73993"/>
    <w:rsid w:val="00C73A63"/>
    <w:rsid w:val="00C73C13"/>
    <w:rsid w:val="00C7451C"/>
    <w:rsid w:val="00C75204"/>
    <w:rsid w:val="00C75E75"/>
    <w:rsid w:val="00C765DA"/>
    <w:rsid w:val="00C8105A"/>
    <w:rsid w:val="00C82979"/>
    <w:rsid w:val="00C82DAF"/>
    <w:rsid w:val="00C83156"/>
    <w:rsid w:val="00C83EB0"/>
    <w:rsid w:val="00C8431F"/>
    <w:rsid w:val="00C84995"/>
    <w:rsid w:val="00C8570D"/>
    <w:rsid w:val="00C85769"/>
    <w:rsid w:val="00C86F83"/>
    <w:rsid w:val="00C8718C"/>
    <w:rsid w:val="00C87C3C"/>
    <w:rsid w:val="00C90067"/>
    <w:rsid w:val="00C90BEB"/>
    <w:rsid w:val="00C90C07"/>
    <w:rsid w:val="00C90DEF"/>
    <w:rsid w:val="00C91529"/>
    <w:rsid w:val="00C91966"/>
    <w:rsid w:val="00C920FE"/>
    <w:rsid w:val="00C92A46"/>
    <w:rsid w:val="00C92FC0"/>
    <w:rsid w:val="00C93E00"/>
    <w:rsid w:val="00C9402D"/>
    <w:rsid w:val="00C94039"/>
    <w:rsid w:val="00C94836"/>
    <w:rsid w:val="00C957B2"/>
    <w:rsid w:val="00C95E46"/>
    <w:rsid w:val="00C9609D"/>
    <w:rsid w:val="00C9637C"/>
    <w:rsid w:val="00C96692"/>
    <w:rsid w:val="00C96C9B"/>
    <w:rsid w:val="00C976AA"/>
    <w:rsid w:val="00C97BE9"/>
    <w:rsid w:val="00CA08CE"/>
    <w:rsid w:val="00CA29C7"/>
    <w:rsid w:val="00CA2A0D"/>
    <w:rsid w:val="00CA2B81"/>
    <w:rsid w:val="00CA3FE2"/>
    <w:rsid w:val="00CA41A8"/>
    <w:rsid w:val="00CA4C6D"/>
    <w:rsid w:val="00CA5523"/>
    <w:rsid w:val="00CA5EED"/>
    <w:rsid w:val="00CA6660"/>
    <w:rsid w:val="00CA6823"/>
    <w:rsid w:val="00CA6EBA"/>
    <w:rsid w:val="00CA77CA"/>
    <w:rsid w:val="00CA7A25"/>
    <w:rsid w:val="00CB03F7"/>
    <w:rsid w:val="00CB0669"/>
    <w:rsid w:val="00CB0978"/>
    <w:rsid w:val="00CB0EC1"/>
    <w:rsid w:val="00CB1DBD"/>
    <w:rsid w:val="00CB20D0"/>
    <w:rsid w:val="00CB2742"/>
    <w:rsid w:val="00CB3DB8"/>
    <w:rsid w:val="00CB44D3"/>
    <w:rsid w:val="00CB4D84"/>
    <w:rsid w:val="00CB5DB2"/>
    <w:rsid w:val="00CB61FE"/>
    <w:rsid w:val="00CB6411"/>
    <w:rsid w:val="00CB6E24"/>
    <w:rsid w:val="00CB71CB"/>
    <w:rsid w:val="00CB7433"/>
    <w:rsid w:val="00CB7459"/>
    <w:rsid w:val="00CB78EE"/>
    <w:rsid w:val="00CB7936"/>
    <w:rsid w:val="00CB7A3D"/>
    <w:rsid w:val="00CC0160"/>
    <w:rsid w:val="00CC0C35"/>
    <w:rsid w:val="00CC0F22"/>
    <w:rsid w:val="00CC26A9"/>
    <w:rsid w:val="00CC2C4E"/>
    <w:rsid w:val="00CC2F38"/>
    <w:rsid w:val="00CC2FA6"/>
    <w:rsid w:val="00CC3F1F"/>
    <w:rsid w:val="00CC3F34"/>
    <w:rsid w:val="00CC426E"/>
    <w:rsid w:val="00CC5DA3"/>
    <w:rsid w:val="00CC6206"/>
    <w:rsid w:val="00CC67C5"/>
    <w:rsid w:val="00CC6B9F"/>
    <w:rsid w:val="00CC6BE9"/>
    <w:rsid w:val="00CC7753"/>
    <w:rsid w:val="00CD19E2"/>
    <w:rsid w:val="00CD1E5A"/>
    <w:rsid w:val="00CD23CE"/>
    <w:rsid w:val="00CD3215"/>
    <w:rsid w:val="00CD3561"/>
    <w:rsid w:val="00CD3FF3"/>
    <w:rsid w:val="00CD4FE0"/>
    <w:rsid w:val="00CD5ACE"/>
    <w:rsid w:val="00CD6316"/>
    <w:rsid w:val="00CD63A1"/>
    <w:rsid w:val="00CD6A81"/>
    <w:rsid w:val="00CD70F7"/>
    <w:rsid w:val="00CD75E6"/>
    <w:rsid w:val="00CD77B5"/>
    <w:rsid w:val="00CE01EB"/>
    <w:rsid w:val="00CE0330"/>
    <w:rsid w:val="00CE1DD3"/>
    <w:rsid w:val="00CE2152"/>
    <w:rsid w:val="00CE2189"/>
    <w:rsid w:val="00CE2315"/>
    <w:rsid w:val="00CE2C57"/>
    <w:rsid w:val="00CE2DA8"/>
    <w:rsid w:val="00CE33A0"/>
    <w:rsid w:val="00CE3484"/>
    <w:rsid w:val="00CE376D"/>
    <w:rsid w:val="00CE42D0"/>
    <w:rsid w:val="00CE48DF"/>
    <w:rsid w:val="00CE6A0A"/>
    <w:rsid w:val="00CE7ACC"/>
    <w:rsid w:val="00CE7CEE"/>
    <w:rsid w:val="00CF005B"/>
    <w:rsid w:val="00CF0594"/>
    <w:rsid w:val="00CF13B8"/>
    <w:rsid w:val="00CF1C61"/>
    <w:rsid w:val="00CF1E73"/>
    <w:rsid w:val="00CF2735"/>
    <w:rsid w:val="00CF28B5"/>
    <w:rsid w:val="00CF3309"/>
    <w:rsid w:val="00CF3784"/>
    <w:rsid w:val="00CF4EA2"/>
    <w:rsid w:val="00CF5041"/>
    <w:rsid w:val="00CF53A3"/>
    <w:rsid w:val="00CF6A3F"/>
    <w:rsid w:val="00CF6B92"/>
    <w:rsid w:val="00CF6FA9"/>
    <w:rsid w:val="00CF7459"/>
    <w:rsid w:val="00CF7678"/>
    <w:rsid w:val="00CF777E"/>
    <w:rsid w:val="00D00B45"/>
    <w:rsid w:val="00D01726"/>
    <w:rsid w:val="00D017F4"/>
    <w:rsid w:val="00D019D6"/>
    <w:rsid w:val="00D02439"/>
    <w:rsid w:val="00D02C8B"/>
    <w:rsid w:val="00D02E65"/>
    <w:rsid w:val="00D0355B"/>
    <w:rsid w:val="00D04279"/>
    <w:rsid w:val="00D042E4"/>
    <w:rsid w:val="00D046F9"/>
    <w:rsid w:val="00D04B59"/>
    <w:rsid w:val="00D0515E"/>
    <w:rsid w:val="00D05419"/>
    <w:rsid w:val="00D05889"/>
    <w:rsid w:val="00D06209"/>
    <w:rsid w:val="00D071CA"/>
    <w:rsid w:val="00D07F30"/>
    <w:rsid w:val="00D1022A"/>
    <w:rsid w:val="00D10F9C"/>
    <w:rsid w:val="00D1170B"/>
    <w:rsid w:val="00D13089"/>
    <w:rsid w:val="00D142B7"/>
    <w:rsid w:val="00D14393"/>
    <w:rsid w:val="00D14E23"/>
    <w:rsid w:val="00D15A96"/>
    <w:rsid w:val="00D15B43"/>
    <w:rsid w:val="00D15FB6"/>
    <w:rsid w:val="00D174ED"/>
    <w:rsid w:val="00D20604"/>
    <w:rsid w:val="00D20C14"/>
    <w:rsid w:val="00D2155A"/>
    <w:rsid w:val="00D22043"/>
    <w:rsid w:val="00D23C32"/>
    <w:rsid w:val="00D23D35"/>
    <w:rsid w:val="00D242D6"/>
    <w:rsid w:val="00D24981"/>
    <w:rsid w:val="00D24A5E"/>
    <w:rsid w:val="00D24C6A"/>
    <w:rsid w:val="00D2508B"/>
    <w:rsid w:val="00D27021"/>
    <w:rsid w:val="00D273F2"/>
    <w:rsid w:val="00D3007A"/>
    <w:rsid w:val="00D302C0"/>
    <w:rsid w:val="00D30A06"/>
    <w:rsid w:val="00D30B76"/>
    <w:rsid w:val="00D31020"/>
    <w:rsid w:val="00D31076"/>
    <w:rsid w:val="00D31412"/>
    <w:rsid w:val="00D31414"/>
    <w:rsid w:val="00D3199E"/>
    <w:rsid w:val="00D32F62"/>
    <w:rsid w:val="00D33790"/>
    <w:rsid w:val="00D33CFE"/>
    <w:rsid w:val="00D346D2"/>
    <w:rsid w:val="00D3601A"/>
    <w:rsid w:val="00D3608D"/>
    <w:rsid w:val="00D36370"/>
    <w:rsid w:val="00D36463"/>
    <w:rsid w:val="00D36C25"/>
    <w:rsid w:val="00D3771F"/>
    <w:rsid w:val="00D379EF"/>
    <w:rsid w:val="00D37FAB"/>
    <w:rsid w:val="00D40709"/>
    <w:rsid w:val="00D41914"/>
    <w:rsid w:val="00D41FCE"/>
    <w:rsid w:val="00D422C4"/>
    <w:rsid w:val="00D44A67"/>
    <w:rsid w:val="00D46FC3"/>
    <w:rsid w:val="00D47749"/>
    <w:rsid w:val="00D47823"/>
    <w:rsid w:val="00D47AFA"/>
    <w:rsid w:val="00D47FB6"/>
    <w:rsid w:val="00D51887"/>
    <w:rsid w:val="00D51BCF"/>
    <w:rsid w:val="00D5262B"/>
    <w:rsid w:val="00D53368"/>
    <w:rsid w:val="00D535B9"/>
    <w:rsid w:val="00D539DA"/>
    <w:rsid w:val="00D53D55"/>
    <w:rsid w:val="00D54C5E"/>
    <w:rsid w:val="00D551BB"/>
    <w:rsid w:val="00D55B36"/>
    <w:rsid w:val="00D566F5"/>
    <w:rsid w:val="00D57153"/>
    <w:rsid w:val="00D611E2"/>
    <w:rsid w:val="00D6135D"/>
    <w:rsid w:val="00D635EB"/>
    <w:rsid w:val="00D6421D"/>
    <w:rsid w:val="00D6489B"/>
    <w:rsid w:val="00D65737"/>
    <w:rsid w:val="00D658C0"/>
    <w:rsid w:val="00D65CE3"/>
    <w:rsid w:val="00D65EC3"/>
    <w:rsid w:val="00D66349"/>
    <w:rsid w:val="00D66466"/>
    <w:rsid w:val="00D67922"/>
    <w:rsid w:val="00D7138B"/>
    <w:rsid w:val="00D7177C"/>
    <w:rsid w:val="00D717A8"/>
    <w:rsid w:val="00D71D79"/>
    <w:rsid w:val="00D734A7"/>
    <w:rsid w:val="00D75552"/>
    <w:rsid w:val="00D75FAC"/>
    <w:rsid w:val="00D76DF0"/>
    <w:rsid w:val="00D76F31"/>
    <w:rsid w:val="00D77AE4"/>
    <w:rsid w:val="00D802B6"/>
    <w:rsid w:val="00D80D2D"/>
    <w:rsid w:val="00D81C4E"/>
    <w:rsid w:val="00D82888"/>
    <w:rsid w:val="00D829CF"/>
    <w:rsid w:val="00D82EC0"/>
    <w:rsid w:val="00D8338C"/>
    <w:rsid w:val="00D83650"/>
    <w:rsid w:val="00D83BC9"/>
    <w:rsid w:val="00D84459"/>
    <w:rsid w:val="00D848AA"/>
    <w:rsid w:val="00D84C0F"/>
    <w:rsid w:val="00D85463"/>
    <w:rsid w:val="00D8603E"/>
    <w:rsid w:val="00D8629B"/>
    <w:rsid w:val="00D866AE"/>
    <w:rsid w:val="00D86D52"/>
    <w:rsid w:val="00D87017"/>
    <w:rsid w:val="00D8765E"/>
    <w:rsid w:val="00D90F8C"/>
    <w:rsid w:val="00D910C9"/>
    <w:rsid w:val="00D92B2A"/>
    <w:rsid w:val="00D92CCE"/>
    <w:rsid w:val="00D92DEB"/>
    <w:rsid w:val="00D956FB"/>
    <w:rsid w:val="00D96050"/>
    <w:rsid w:val="00D960B7"/>
    <w:rsid w:val="00D963A1"/>
    <w:rsid w:val="00D968FC"/>
    <w:rsid w:val="00D97B43"/>
    <w:rsid w:val="00DA01B3"/>
    <w:rsid w:val="00DA0E28"/>
    <w:rsid w:val="00DA12A4"/>
    <w:rsid w:val="00DA16B2"/>
    <w:rsid w:val="00DA1E29"/>
    <w:rsid w:val="00DA2448"/>
    <w:rsid w:val="00DA2F32"/>
    <w:rsid w:val="00DA325E"/>
    <w:rsid w:val="00DA3D47"/>
    <w:rsid w:val="00DA3DAC"/>
    <w:rsid w:val="00DA41AE"/>
    <w:rsid w:val="00DA57FC"/>
    <w:rsid w:val="00DA59CC"/>
    <w:rsid w:val="00DA5F54"/>
    <w:rsid w:val="00DA6B66"/>
    <w:rsid w:val="00DA7EA2"/>
    <w:rsid w:val="00DB0FA2"/>
    <w:rsid w:val="00DB1F56"/>
    <w:rsid w:val="00DB2204"/>
    <w:rsid w:val="00DB22EE"/>
    <w:rsid w:val="00DB272A"/>
    <w:rsid w:val="00DB2E17"/>
    <w:rsid w:val="00DB3F2E"/>
    <w:rsid w:val="00DB429A"/>
    <w:rsid w:val="00DB4D7F"/>
    <w:rsid w:val="00DB5713"/>
    <w:rsid w:val="00DC07B7"/>
    <w:rsid w:val="00DC2BAE"/>
    <w:rsid w:val="00DC2E5F"/>
    <w:rsid w:val="00DC3323"/>
    <w:rsid w:val="00DC34F0"/>
    <w:rsid w:val="00DC4433"/>
    <w:rsid w:val="00DC516A"/>
    <w:rsid w:val="00DC5351"/>
    <w:rsid w:val="00DC53CC"/>
    <w:rsid w:val="00DC5A19"/>
    <w:rsid w:val="00DC5AB6"/>
    <w:rsid w:val="00DC7C4C"/>
    <w:rsid w:val="00DD0487"/>
    <w:rsid w:val="00DD04EC"/>
    <w:rsid w:val="00DD0508"/>
    <w:rsid w:val="00DD099C"/>
    <w:rsid w:val="00DD1444"/>
    <w:rsid w:val="00DD2240"/>
    <w:rsid w:val="00DD31ED"/>
    <w:rsid w:val="00DD3AAC"/>
    <w:rsid w:val="00DD40C0"/>
    <w:rsid w:val="00DD446A"/>
    <w:rsid w:val="00DD45C1"/>
    <w:rsid w:val="00DD48A7"/>
    <w:rsid w:val="00DD4C5F"/>
    <w:rsid w:val="00DD6F66"/>
    <w:rsid w:val="00DE0279"/>
    <w:rsid w:val="00DE17D0"/>
    <w:rsid w:val="00DE2175"/>
    <w:rsid w:val="00DE222D"/>
    <w:rsid w:val="00DE34E3"/>
    <w:rsid w:val="00DE436B"/>
    <w:rsid w:val="00DE4720"/>
    <w:rsid w:val="00DE4FC4"/>
    <w:rsid w:val="00DE4FF7"/>
    <w:rsid w:val="00DE5090"/>
    <w:rsid w:val="00DE57B7"/>
    <w:rsid w:val="00DE5A6D"/>
    <w:rsid w:val="00DE628B"/>
    <w:rsid w:val="00DE6322"/>
    <w:rsid w:val="00DE6817"/>
    <w:rsid w:val="00DE6C91"/>
    <w:rsid w:val="00DE7250"/>
    <w:rsid w:val="00DE7ACD"/>
    <w:rsid w:val="00DE7FBB"/>
    <w:rsid w:val="00DF013D"/>
    <w:rsid w:val="00DF0356"/>
    <w:rsid w:val="00DF0B1B"/>
    <w:rsid w:val="00DF1093"/>
    <w:rsid w:val="00DF1252"/>
    <w:rsid w:val="00DF3540"/>
    <w:rsid w:val="00DF3A1D"/>
    <w:rsid w:val="00DF3C56"/>
    <w:rsid w:val="00DF55A7"/>
    <w:rsid w:val="00DF580A"/>
    <w:rsid w:val="00DF59BE"/>
    <w:rsid w:val="00DF5E16"/>
    <w:rsid w:val="00DF5E88"/>
    <w:rsid w:val="00DF63B6"/>
    <w:rsid w:val="00DF6733"/>
    <w:rsid w:val="00E00466"/>
    <w:rsid w:val="00E00770"/>
    <w:rsid w:val="00E00DB6"/>
    <w:rsid w:val="00E02337"/>
    <w:rsid w:val="00E02357"/>
    <w:rsid w:val="00E033F8"/>
    <w:rsid w:val="00E03677"/>
    <w:rsid w:val="00E03A2F"/>
    <w:rsid w:val="00E03C86"/>
    <w:rsid w:val="00E03F2E"/>
    <w:rsid w:val="00E04249"/>
    <w:rsid w:val="00E04401"/>
    <w:rsid w:val="00E0470C"/>
    <w:rsid w:val="00E049D2"/>
    <w:rsid w:val="00E04C10"/>
    <w:rsid w:val="00E0621C"/>
    <w:rsid w:val="00E07AA6"/>
    <w:rsid w:val="00E10B82"/>
    <w:rsid w:val="00E11B56"/>
    <w:rsid w:val="00E123CE"/>
    <w:rsid w:val="00E12C27"/>
    <w:rsid w:val="00E12E77"/>
    <w:rsid w:val="00E1341D"/>
    <w:rsid w:val="00E13C66"/>
    <w:rsid w:val="00E13C75"/>
    <w:rsid w:val="00E13CA0"/>
    <w:rsid w:val="00E14C9F"/>
    <w:rsid w:val="00E15940"/>
    <w:rsid w:val="00E15D46"/>
    <w:rsid w:val="00E16325"/>
    <w:rsid w:val="00E17246"/>
    <w:rsid w:val="00E17BC0"/>
    <w:rsid w:val="00E20112"/>
    <w:rsid w:val="00E2030D"/>
    <w:rsid w:val="00E205B0"/>
    <w:rsid w:val="00E207FF"/>
    <w:rsid w:val="00E20C4D"/>
    <w:rsid w:val="00E20FEE"/>
    <w:rsid w:val="00E21692"/>
    <w:rsid w:val="00E21E16"/>
    <w:rsid w:val="00E22450"/>
    <w:rsid w:val="00E2298A"/>
    <w:rsid w:val="00E23493"/>
    <w:rsid w:val="00E2356B"/>
    <w:rsid w:val="00E23843"/>
    <w:rsid w:val="00E239FF"/>
    <w:rsid w:val="00E23B66"/>
    <w:rsid w:val="00E23B69"/>
    <w:rsid w:val="00E24092"/>
    <w:rsid w:val="00E243DC"/>
    <w:rsid w:val="00E24A75"/>
    <w:rsid w:val="00E24FAE"/>
    <w:rsid w:val="00E25241"/>
    <w:rsid w:val="00E25903"/>
    <w:rsid w:val="00E25DE4"/>
    <w:rsid w:val="00E30695"/>
    <w:rsid w:val="00E30E55"/>
    <w:rsid w:val="00E310A2"/>
    <w:rsid w:val="00E312C1"/>
    <w:rsid w:val="00E315D4"/>
    <w:rsid w:val="00E31CD4"/>
    <w:rsid w:val="00E31DC1"/>
    <w:rsid w:val="00E322C5"/>
    <w:rsid w:val="00E32A4C"/>
    <w:rsid w:val="00E33381"/>
    <w:rsid w:val="00E33A82"/>
    <w:rsid w:val="00E33D0A"/>
    <w:rsid w:val="00E33EBC"/>
    <w:rsid w:val="00E33ECD"/>
    <w:rsid w:val="00E34760"/>
    <w:rsid w:val="00E34B39"/>
    <w:rsid w:val="00E35828"/>
    <w:rsid w:val="00E358E9"/>
    <w:rsid w:val="00E360E5"/>
    <w:rsid w:val="00E36324"/>
    <w:rsid w:val="00E3675C"/>
    <w:rsid w:val="00E369FF"/>
    <w:rsid w:val="00E3727D"/>
    <w:rsid w:val="00E378B4"/>
    <w:rsid w:val="00E37FF5"/>
    <w:rsid w:val="00E40213"/>
    <w:rsid w:val="00E4185B"/>
    <w:rsid w:val="00E41934"/>
    <w:rsid w:val="00E423AA"/>
    <w:rsid w:val="00E42755"/>
    <w:rsid w:val="00E43399"/>
    <w:rsid w:val="00E43582"/>
    <w:rsid w:val="00E43C5C"/>
    <w:rsid w:val="00E43CF8"/>
    <w:rsid w:val="00E43EED"/>
    <w:rsid w:val="00E4440D"/>
    <w:rsid w:val="00E44B44"/>
    <w:rsid w:val="00E44EEF"/>
    <w:rsid w:val="00E45304"/>
    <w:rsid w:val="00E45BBE"/>
    <w:rsid w:val="00E46472"/>
    <w:rsid w:val="00E466A2"/>
    <w:rsid w:val="00E47104"/>
    <w:rsid w:val="00E47740"/>
    <w:rsid w:val="00E47EA0"/>
    <w:rsid w:val="00E51AB2"/>
    <w:rsid w:val="00E5369C"/>
    <w:rsid w:val="00E53724"/>
    <w:rsid w:val="00E53C8F"/>
    <w:rsid w:val="00E5438D"/>
    <w:rsid w:val="00E54CCA"/>
    <w:rsid w:val="00E56110"/>
    <w:rsid w:val="00E568B5"/>
    <w:rsid w:val="00E56D1B"/>
    <w:rsid w:val="00E5779D"/>
    <w:rsid w:val="00E6010F"/>
    <w:rsid w:val="00E60795"/>
    <w:rsid w:val="00E60A51"/>
    <w:rsid w:val="00E60EA1"/>
    <w:rsid w:val="00E61E1A"/>
    <w:rsid w:val="00E621A3"/>
    <w:rsid w:val="00E6377B"/>
    <w:rsid w:val="00E64627"/>
    <w:rsid w:val="00E64637"/>
    <w:rsid w:val="00E654C0"/>
    <w:rsid w:val="00E66087"/>
    <w:rsid w:val="00E66ECA"/>
    <w:rsid w:val="00E67F75"/>
    <w:rsid w:val="00E7041A"/>
    <w:rsid w:val="00E7078C"/>
    <w:rsid w:val="00E70A78"/>
    <w:rsid w:val="00E71EE2"/>
    <w:rsid w:val="00E72992"/>
    <w:rsid w:val="00E72B66"/>
    <w:rsid w:val="00E72BD8"/>
    <w:rsid w:val="00E72EF2"/>
    <w:rsid w:val="00E73158"/>
    <w:rsid w:val="00E73428"/>
    <w:rsid w:val="00E735AC"/>
    <w:rsid w:val="00E74ACA"/>
    <w:rsid w:val="00E7619B"/>
    <w:rsid w:val="00E765D0"/>
    <w:rsid w:val="00E7674A"/>
    <w:rsid w:val="00E77AA8"/>
    <w:rsid w:val="00E801BE"/>
    <w:rsid w:val="00E8065F"/>
    <w:rsid w:val="00E807CF"/>
    <w:rsid w:val="00E81A9C"/>
    <w:rsid w:val="00E82420"/>
    <w:rsid w:val="00E8302D"/>
    <w:rsid w:val="00E83620"/>
    <w:rsid w:val="00E83ED5"/>
    <w:rsid w:val="00E84ACE"/>
    <w:rsid w:val="00E85111"/>
    <w:rsid w:val="00E85277"/>
    <w:rsid w:val="00E85FE2"/>
    <w:rsid w:val="00E86632"/>
    <w:rsid w:val="00E8691A"/>
    <w:rsid w:val="00E86FBA"/>
    <w:rsid w:val="00E87BAF"/>
    <w:rsid w:val="00E87D9E"/>
    <w:rsid w:val="00E901BC"/>
    <w:rsid w:val="00E901D5"/>
    <w:rsid w:val="00E918D1"/>
    <w:rsid w:val="00E921AB"/>
    <w:rsid w:val="00E92447"/>
    <w:rsid w:val="00E9395F"/>
    <w:rsid w:val="00E93DBC"/>
    <w:rsid w:val="00E93F0B"/>
    <w:rsid w:val="00E94E84"/>
    <w:rsid w:val="00E9502F"/>
    <w:rsid w:val="00E95439"/>
    <w:rsid w:val="00E9596A"/>
    <w:rsid w:val="00E96582"/>
    <w:rsid w:val="00EA0374"/>
    <w:rsid w:val="00EA1182"/>
    <w:rsid w:val="00EA1F33"/>
    <w:rsid w:val="00EA2470"/>
    <w:rsid w:val="00EA3AA1"/>
    <w:rsid w:val="00EA3AF3"/>
    <w:rsid w:val="00EA3CE8"/>
    <w:rsid w:val="00EA4118"/>
    <w:rsid w:val="00EA4C9A"/>
    <w:rsid w:val="00EA5744"/>
    <w:rsid w:val="00EA71C2"/>
    <w:rsid w:val="00EA77C5"/>
    <w:rsid w:val="00EB0137"/>
    <w:rsid w:val="00EB115F"/>
    <w:rsid w:val="00EB130D"/>
    <w:rsid w:val="00EB15F3"/>
    <w:rsid w:val="00EB1FDF"/>
    <w:rsid w:val="00EB217C"/>
    <w:rsid w:val="00EB3332"/>
    <w:rsid w:val="00EB37A7"/>
    <w:rsid w:val="00EB3900"/>
    <w:rsid w:val="00EB4C37"/>
    <w:rsid w:val="00EB4D22"/>
    <w:rsid w:val="00EB55EF"/>
    <w:rsid w:val="00EB5A67"/>
    <w:rsid w:val="00EB6137"/>
    <w:rsid w:val="00EB6B22"/>
    <w:rsid w:val="00EB7246"/>
    <w:rsid w:val="00EB744A"/>
    <w:rsid w:val="00EB7D34"/>
    <w:rsid w:val="00EC1AF4"/>
    <w:rsid w:val="00EC1F35"/>
    <w:rsid w:val="00EC3F68"/>
    <w:rsid w:val="00EC447E"/>
    <w:rsid w:val="00EC51DB"/>
    <w:rsid w:val="00EC52CA"/>
    <w:rsid w:val="00EC5CDC"/>
    <w:rsid w:val="00EC5E09"/>
    <w:rsid w:val="00EC6C73"/>
    <w:rsid w:val="00ED0181"/>
    <w:rsid w:val="00ED04C0"/>
    <w:rsid w:val="00ED099E"/>
    <w:rsid w:val="00ED0A7C"/>
    <w:rsid w:val="00ED2F51"/>
    <w:rsid w:val="00ED3825"/>
    <w:rsid w:val="00ED3B38"/>
    <w:rsid w:val="00ED4018"/>
    <w:rsid w:val="00ED4537"/>
    <w:rsid w:val="00ED528B"/>
    <w:rsid w:val="00ED5322"/>
    <w:rsid w:val="00ED5679"/>
    <w:rsid w:val="00ED5974"/>
    <w:rsid w:val="00ED5F98"/>
    <w:rsid w:val="00ED60C3"/>
    <w:rsid w:val="00ED6247"/>
    <w:rsid w:val="00ED62BD"/>
    <w:rsid w:val="00ED7C85"/>
    <w:rsid w:val="00ED7DAC"/>
    <w:rsid w:val="00EE0698"/>
    <w:rsid w:val="00EE2057"/>
    <w:rsid w:val="00EE2804"/>
    <w:rsid w:val="00EE280A"/>
    <w:rsid w:val="00EE2866"/>
    <w:rsid w:val="00EE37C0"/>
    <w:rsid w:val="00EE3835"/>
    <w:rsid w:val="00EE3958"/>
    <w:rsid w:val="00EE3E5C"/>
    <w:rsid w:val="00EE40DF"/>
    <w:rsid w:val="00EE4676"/>
    <w:rsid w:val="00EE4C18"/>
    <w:rsid w:val="00EE51BC"/>
    <w:rsid w:val="00EE57FA"/>
    <w:rsid w:val="00EE61D5"/>
    <w:rsid w:val="00EE6366"/>
    <w:rsid w:val="00EE6711"/>
    <w:rsid w:val="00EE6808"/>
    <w:rsid w:val="00EE6CA8"/>
    <w:rsid w:val="00EE7251"/>
    <w:rsid w:val="00EE790C"/>
    <w:rsid w:val="00EF0042"/>
    <w:rsid w:val="00EF048B"/>
    <w:rsid w:val="00EF04CD"/>
    <w:rsid w:val="00EF0A71"/>
    <w:rsid w:val="00EF1220"/>
    <w:rsid w:val="00EF1570"/>
    <w:rsid w:val="00EF26F8"/>
    <w:rsid w:val="00EF2A6B"/>
    <w:rsid w:val="00EF2DFC"/>
    <w:rsid w:val="00EF34AA"/>
    <w:rsid w:val="00EF3F3D"/>
    <w:rsid w:val="00EF3FB5"/>
    <w:rsid w:val="00EF4B7E"/>
    <w:rsid w:val="00EF5370"/>
    <w:rsid w:val="00EF5A20"/>
    <w:rsid w:val="00EF5FD9"/>
    <w:rsid w:val="00EF656E"/>
    <w:rsid w:val="00EF797C"/>
    <w:rsid w:val="00EF7EF6"/>
    <w:rsid w:val="00F00549"/>
    <w:rsid w:val="00F00D69"/>
    <w:rsid w:val="00F013AE"/>
    <w:rsid w:val="00F01980"/>
    <w:rsid w:val="00F01A71"/>
    <w:rsid w:val="00F021E3"/>
    <w:rsid w:val="00F0245B"/>
    <w:rsid w:val="00F02DE7"/>
    <w:rsid w:val="00F03026"/>
    <w:rsid w:val="00F04591"/>
    <w:rsid w:val="00F05982"/>
    <w:rsid w:val="00F05AB1"/>
    <w:rsid w:val="00F06388"/>
    <w:rsid w:val="00F0674A"/>
    <w:rsid w:val="00F0680F"/>
    <w:rsid w:val="00F075A2"/>
    <w:rsid w:val="00F10872"/>
    <w:rsid w:val="00F11244"/>
    <w:rsid w:val="00F11E2C"/>
    <w:rsid w:val="00F12245"/>
    <w:rsid w:val="00F12545"/>
    <w:rsid w:val="00F127FB"/>
    <w:rsid w:val="00F129D2"/>
    <w:rsid w:val="00F129E8"/>
    <w:rsid w:val="00F12A2F"/>
    <w:rsid w:val="00F12EF3"/>
    <w:rsid w:val="00F133EF"/>
    <w:rsid w:val="00F13B2B"/>
    <w:rsid w:val="00F1448B"/>
    <w:rsid w:val="00F14F72"/>
    <w:rsid w:val="00F1590C"/>
    <w:rsid w:val="00F15FF9"/>
    <w:rsid w:val="00F165E3"/>
    <w:rsid w:val="00F17D61"/>
    <w:rsid w:val="00F212AD"/>
    <w:rsid w:val="00F21322"/>
    <w:rsid w:val="00F21712"/>
    <w:rsid w:val="00F2184C"/>
    <w:rsid w:val="00F2389D"/>
    <w:rsid w:val="00F23A29"/>
    <w:rsid w:val="00F23BE7"/>
    <w:rsid w:val="00F23DBD"/>
    <w:rsid w:val="00F23F5C"/>
    <w:rsid w:val="00F242B0"/>
    <w:rsid w:val="00F255D3"/>
    <w:rsid w:val="00F259B1"/>
    <w:rsid w:val="00F318CF"/>
    <w:rsid w:val="00F31D01"/>
    <w:rsid w:val="00F322EE"/>
    <w:rsid w:val="00F32C3F"/>
    <w:rsid w:val="00F32D89"/>
    <w:rsid w:val="00F32EE9"/>
    <w:rsid w:val="00F32FA2"/>
    <w:rsid w:val="00F332A4"/>
    <w:rsid w:val="00F33746"/>
    <w:rsid w:val="00F33DDC"/>
    <w:rsid w:val="00F33EC3"/>
    <w:rsid w:val="00F34FEF"/>
    <w:rsid w:val="00F3561D"/>
    <w:rsid w:val="00F36763"/>
    <w:rsid w:val="00F36CC7"/>
    <w:rsid w:val="00F36D68"/>
    <w:rsid w:val="00F37A2C"/>
    <w:rsid w:val="00F400C8"/>
    <w:rsid w:val="00F405F5"/>
    <w:rsid w:val="00F4154F"/>
    <w:rsid w:val="00F418FE"/>
    <w:rsid w:val="00F41935"/>
    <w:rsid w:val="00F41E84"/>
    <w:rsid w:val="00F4201B"/>
    <w:rsid w:val="00F42080"/>
    <w:rsid w:val="00F430EA"/>
    <w:rsid w:val="00F4315F"/>
    <w:rsid w:val="00F4587C"/>
    <w:rsid w:val="00F46411"/>
    <w:rsid w:val="00F46D01"/>
    <w:rsid w:val="00F46EC7"/>
    <w:rsid w:val="00F471B0"/>
    <w:rsid w:val="00F4770C"/>
    <w:rsid w:val="00F47BB4"/>
    <w:rsid w:val="00F47E16"/>
    <w:rsid w:val="00F51208"/>
    <w:rsid w:val="00F51877"/>
    <w:rsid w:val="00F51D4A"/>
    <w:rsid w:val="00F51EBD"/>
    <w:rsid w:val="00F527DF"/>
    <w:rsid w:val="00F541B7"/>
    <w:rsid w:val="00F54582"/>
    <w:rsid w:val="00F56091"/>
    <w:rsid w:val="00F56F2E"/>
    <w:rsid w:val="00F573A3"/>
    <w:rsid w:val="00F57AD3"/>
    <w:rsid w:val="00F61699"/>
    <w:rsid w:val="00F61CD0"/>
    <w:rsid w:val="00F62810"/>
    <w:rsid w:val="00F63591"/>
    <w:rsid w:val="00F63EEB"/>
    <w:rsid w:val="00F65362"/>
    <w:rsid w:val="00F658DB"/>
    <w:rsid w:val="00F65A83"/>
    <w:rsid w:val="00F66A6C"/>
    <w:rsid w:val="00F66B64"/>
    <w:rsid w:val="00F66C02"/>
    <w:rsid w:val="00F66F3F"/>
    <w:rsid w:val="00F6708C"/>
    <w:rsid w:val="00F67B7E"/>
    <w:rsid w:val="00F7049A"/>
    <w:rsid w:val="00F706BE"/>
    <w:rsid w:val="00F7092F"/>
    <w:rsid w:val="00F7097A"/>
    <w:rsid w:val="00F70B8B"/>
    <w:rsid w:val="00F71409"/>
    <w:rsid w:val="00F71526"/>
    <w:rsid w:val="00F717E0"/>
    <w:rsid w:val="00F72477"/>
    <w:rsid w:val="00F72FC7"/>
    <w:rsid w:val="00F73403"/>
    <w:rsid w:val="00F7354E"/>
    <w:rsid w:val="00F742BC"/>
    <w:rsid w:val="00F75937"/>
    <w:rsid w:val="00F75996"/>
    <w:rsid w:val="00F761F5"/>
    <w:rsid w:val="00F773B5"/>
    <w:rsid w:val="00F77AF8"/>
    <w:rsid w:val="00F77B96"/>
    <w:rsid w:val="00F77E47"/>
    <w:rsid w:val="00F77E9D"/>
    <w:rsid w:val="00F80DEF"/>
    <w:rsid w:val="00F81B74"/>
    <w:rsid w:val="00F82600"/>
    <w:rsid w:val="00F82613"/>
    <w:rsid w:val="00F831B2"/>
    <w:rsid w:val="00F841B5"/>
    <w:rsid w:val="00F84B69"/>
    <w:rsid w:val="00F84EF1"/>
    <w:rsid w:val="00F86221"/>
    <w:rsid w:val="00F86646"/>
    <w:rsid w:val="00F86FBB"/>
    <w:rsid w:val="00F87930"/>
    <w:rsid w:val="00F9038C"/>
    <w:rsid w:val="00F9087F"/>
    <w:rsid w:val="00F91184"/>
    <w:rsid w:val="00F91527"/>
    <w:rsid w:val="00F916DB"/>
    <w:rsid w:val="00F91843"/>
    <w:rsid w:val="00F91B79"/>
    <w:rsid w:val="00F92B5B"/>
    <w:rsid w:val="00F9417B"/>
    <w:rsid w:val="00F942D1"/>
    <w:rsid w:val="00F94A47"/>
    <w:rsid w:val="00F94D75"/>
    <w:rsid w:val="00F953C6"/>
    <w:rsid w:val="00F957A4"/>
    <w:rsid w:val="00F9644C"/>
    <w:rsid w:val="00F96638"/>
    <w:rsid w:val="00F96A5D"/>
    <w:rsid w:val="00F96D8A"/>
    <w:rsid w:val="00F97A95"/>
    <w:rsid w:val="00FA02B5"/>
    <w:rsid w:val="00FA1253"/>
    <w:rsid w:val="00FA174A"/>
    <w:rsid w:val="00FA181D"/>
    <w:rsid w:val="00FA18B1"/>
    <w:rsid w:val="00FA19E5"/>
    <w:rsid w:val="00FA2C7C"/>
    <w:rsid w:val="00FA2D8D"/>
    <w:rsid w:val="00FA4AD5"/>
    <w:rsid w:val="00FA5C30"/>
    <w:rsid w:val="00FA5CBE"/>
    <w:rsid w:val="00FA6485"/>
    <w:rsid w:val="00FA6A90"/>
    <w:rsid w:val="00FA72B5"/>
    <w:rsid w:val="00FB01F3"/>
    <w:rsid w:val="00FB179C"/>
    <w:rsid w:val="00FB1A4F"/>
    <w:rsid w:val="00FB3018"/>
    <w:rsid w:val="00FB3D8D"/>
    <w:rsid w:val="00FB5514"/>
    <w:rsid w:val="00FB5898"/>
    <w:rsid w:val="00FB5A2E"/>
    <w:rsid w:val="00FB5C28"/>
    <w:rsid w:val="00FB702A"/>
    <w:rsid w:val="00FB732E"/>
    <w:rsid w:val="00FB7412"/>
    <w:rsid w:val="00FC0092"/>
    <w:rsid w:val="00FC0874"/>
    <w:rsid w:val="00FC0DC2"/>
    <w:rsid w:val="00FC3966"/>
    <w:rsid w:val="00FC3D1D"/>
    <w:rsid w:val="00FC3E5D"/>
    <w:rsid w:val="00FC49AB"/>
    <w:rsid w:val="00FC5648"/>
    <w:rsid w:val="00FC59D9"/>
    <w:rsid w:val="00FC6EE3"/>
    <w:rsid w:val="00FC7025"/>
    <w:rsid w:val="00FC7B08"/>
    <w:rsid w:val="00FD045E"/>
    <w:rsid w:val="00FD1E49"/>
    <w:rsid w:val="00FD2BCD"/>
    <w:rsid w:val="00FD37C1"/>
    <w:rsid w:val="00FD430F"/>
    <w:rsid w:val="00FD4483"/>
    <w:rsid w:val="00FD5CEE"/>
    <w:rsid w:val="00FD62A1"/>
    <w:rsid w:val="00FE01F5"/>
    <w:rsid w:val="00FE051B"/>
    <w:rsid w:val="00FE1934"/>
    <w:rsid w:val="00FE21E6"/>
    <w:rsid w:val="00FE2904"/>
    <w:rsid w:val="00FE2C11"/>
    <w:rsid w:val="00FE31FC"/>
    <w:rsid w:val="00FE4074"/>
    <w:rsid w:val="00FE4EAF"/>
    <w:rsid w:val="00FE5338"/>
    <w:rsid w:val="00FE54EF"/>
    <w:rsid w:val="00FE5605"/>
    <w:rsid w:val="00FE5B92"/>
    <w:rsid w:val="00FE6072"/>
    <w:rsid w:val="00FE6711"/>
    <w:rsid w:val="00FE6D0F"/>
    <w:rsid w:val="00FE7C56"/>
    <w:rsid w:val="00FF0AB4"/>
    <w:rsid w:val="00FF0D1C"/>
    <w:rsid w:val="00FF0E6F"/>
    <w:rsid w:val="00FF13DE"/>
    <w:rsid w:val="00FF1437"/>
    <w:rsid w:val="00FF16AB"/>
    <w:rsid w:val="00FF1749"/>
    <w:rsid w:val="00FF21B4"/>
    <w:rsid w:val="00FF3436"/>
    <w:rsid w:val="00FF45DA"/>
    <w:rsid w:val="00FF4695"/>
    <w:rsid w:val="00FF48B5"/>
    <w:rsid w:val="00FF5EC7"/>
    <w:rsid w:val="06C21D35"/>
    <w:rsid w:val="07A807CE"/>
    <w:rsid w:val="09751534"/>
    <w:rsid w:val="0BC301D9"/>
    <w:rsid w:val="13B43E61"/>
    <w:rsid w:val="163661A2"/>
    <w:rsid w:val="1CD85B48"/>
    <w:rsid w:val="2DF9578C"/>
    <w:rsid w:val="2E562491"/>
    <w:rsid w:val="34227099"/>
    <w:rsid w:val="34F00BCD"/>
    <w:rsid w:val="363B262E"/>
    <w:rsid w:val="36806BDD"/>
    <w:rsid w:val="3AAF7CB7"/>
    <w:rsid w:val="3DA34A23"/>
    <w:rsid w:val="3E9E167F"/>
    <w:rsid w:val="3EEA369B"/>
    <w:rsid w:val="46351EDD"/>
    <w:rsid w:val="4B1174FD"/>
    <w:rsid w:val="4C0A50E9"/>
    <w:rsid w:val="4FFB3B35"/>
    <w:rsid w:val="50AC5631"/>
    <w:rsid w:val="51AF3DD2"/>
    <w:rsid w:val="57E0612C"/>
    <w:rsid w:val="59722FB6"/>
    <w:rsid w:val="5A951F7E"/>
    <w:rsid w:val="5BD62CB8"/>
    <w:rsid w:val="5C346B6A"/>
    <w:rsid w:val="612E74FF"/>
    <w:rsid w:val="6325013A"/>
    <w:rsid w:val="63F45E22"/>
    <w:rsid w:val="67690F79"/>
    <w:rsid w:val="68F65D68"/>
    <w:rsid w:val="6BC74F20"/>
    <w:rsid w:val="6CED37EA"/>
    <w:rsid w:val="6E1301FE"/>
    <w:rsid w:val="70100BE2"/>
    <w:rsid w:val="724D7729"/>
    <w:rsid w:val="75390902"/>
    <w:rsid w:val="75D93861"/>
    <w:rsid w:val="76C05F0D"/>
    <w:rsid w:val="76CA3CF8"/>
    <w:rsid w:val="7D595B32"/>
    <w:rsid w:val="7F114822"/>
    <w:rsid w:val="7F7E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3">
    <w:name w:val="heading 2"/>
    <w:basedOn w:val="1"/>
    <w:next w:val="4"/>
    <w:qFormat/>
    <w:uiPriority w:val="0"/>
    <w:pPr>
      <w:keepNext/>
      <w:keepLines/>
      <w:tabs>
        <w:tab w:val="left" w:pos="456"/>
      </w:tabs>
      <w:spacing w:beforeLines="100" w:afterLines="100" w:line="360" w:lineRule="auto"/>
      <w:ind w:left="456" w:hanging="454"/>
      <w:outlineLvl w:val="1"/>
    </w:pPr>
    <w:rPr>
      <w:b/>
      <w:sz w:val="24"/>
    </w:rPr>
  </w:style>
  <w:style w:type="paragraph" w:styleId="5">
    <w:name w:val="heading 3"/>
    <w:basedOn w:val="1"/>
    <w:next w:val="4"/>
    <w:qFormat/>
    <w:uiPriority w:val="0"/>
    <w:pPr>
      <w:keepNext/>
      <w:keepLines/>
      <w:tabs>
        <w:tab w:val="left" w:pos="475"/>
      </w:tabs>
      <w:spacing w:beforeLines="50" w:afterLines="50" w:line="360" w:lineRule="auto"/>
      <w:ind w:left="102" w:firstLine="13"/>
      <w:outlineLvl w:val="2"/>
    </w:pPr>
    <w:rPr>
      <w:b/>
      <w:sz w:val="24"/>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tabs>
        <w:tab w:val="left" w:pos="462"/>
      </w:tabs>
      <w:spacing w:before="100" w:beforeAutospacing="1" w:after="100" w:afterAutospacing="1" w:line="360" w:lineRule="auto"/>
      <w:ind w:left="102"/>
      <w:outlineLvl w:val="4"/>
    </w:pPr>
    <w:rPr>
      <w:b/>
      <w:sz w:val="24"/>
    </w:rPr>
  </w:style>
  <w:style w:type="paragraph" w:styleId="8">
    <w:name w:val="heading 6"/>
    <w:basedOn w:val="1"/>
    <w:next w:val="4"/>
    <w:qFormat/>
    <w:uiPriority w:val="0"/>
    <w:pPr>
      <w:keepNext/>
      <w:keepLines/>
      <w:tabs>
        <w:tab w:val="left" w:pos="462"/>
      </w:tabs>
      <w:spacing w:before="100" w:beforeAutospacing="1" w:after="100" w:afterAutospacing="1" w:line="360" w:lineRule="auto"/>
      <w:ind w:left="102"/>
      <w:outlineLvl w:val="5"/>
    </w:pPr>
    <w:rPr>
      <w:b/>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9"/>
    <w:semiHidden/>
    <w:unhideWhenUsed/>
    <w:qFormat/>
    <w:uiPriority w:val="99"/>
    <w:rPr>
      <w:rFonts w:ascii="宋体"/>
      <w:sz w:val="18"/>
      <w:szCs w:val="18"/>
      <w:lang w:val="zh-CN"/>
    </w:rPr>
  </w:style>
  <w:style w:type="paragraph" w:styleId="13">
    <w:name w:val="annotation text"/>
    <w:basedOn w:val="1"/>
    <w:link w:val="51"/>
    <w:qFormat/>
    <w:uiPriority w:val="0"/>
    <w:pPr>
      <w:jc w:val="left"/>
    </w:pPr>
    <w:rPr>
      <w:lang w:val="zh-CN"/>
    </w:rPr>
  </w:style>
  <w:style w:type="paragraph" w:styleId="14">
    <w:name w:val="Body Text"/>
    <w:basedOn w:val="1"/>
    <w:qFormat/>
    <w:uiPriority w:val="0"/>
    <w:pPr>
      <w:spacing w:after="120"/>
    </w:pPr>
  </w:style>
  <w:style w:type="paragraph" w:styleId="15">
    <w:name w:val="Body Text Indent"/>
    <w:basedOn w:val="1"/>
    <w:qFormat/>
    <w:uiPriority w:val="0"/>
    <w:pPr>
      <w:widowControl/>
      <w:spacing w:line="360" w:lineRule="auto"/>
      <w:ind w:right="-85" w:rightChars="-85" w:firstLine="360" w:firstLineChars="150"/>
      <w:jc w:val="left"/>
    </w:pPr>
    <w:rPr>
      <w:rFonts w:ascii="宋体" w:hAnsi="宋体"/>
      <w:sz w:val="24"/>
    </w:rPr>
  </w:style>
  <w:style w:type="paragraph" w:styleId="16">
    <w:name w:val="Plain Text"/>
    <w:basedOn w:val="1"/>
    <w:link w:val="36"/>
    <w:qFormat/>
    <w:uiPriority w:val="99"/>
    <w:pPr>
      <w:widowControl/>
      <w:jc w:val="left"/>
    </w:pPr>
    <w:rPr>
      <w:rFonts w:ascii="Courier New" w:hAnsi="Courier New"/>
      <w:kern w:val="0"/>
      <w:sz w:val="20"/>
      <w:lang w:val="zh-CN"/>
    </w:rPr>
  </w:style>
  <w:style w:type="paragraph" w:styleId="17">
    <w:name w:val="Date"/>
    <w:basedOn w:val="1"/>
    <w:next w:val="1"/>
    <w:link w:val="63"/>
    <w:semiHidden/>
    <w:unhideWhenUsed/>
    <w:qFormat/>
    <w:uiPriority w:val="99"/>
    <w:pPr>
      <w:ind w:left="100" w:leftChars="2500"/>
    </w:pPr>
    <w:rPr>
      <w:lang w:val="zh-CN"/>
    </w:rPr>
  </w:style>
  <w:style w:type="paragraph" w:styleId="18">
    <w:name w:val="Body Text Indent 2"/>
    <w:basedOn w:val="1"/>
    <w:qFormat/>
    <w:uiPriority w:val="0"/>
    <w:pPr>
      <w:widowControl/>
      <w:spacing w:before="100" w:beforeAutospacing="1" w:after="100" w:afterAutospacing="1"/>
      <w:ind w:right="-85" w:rightChars="-85" w:firstLine="480"/>
      <w:outlineLvl w:val="0"/>
    </w:pPr>
    <w:rPr>
      <w:rFonts w:ascii="宋体" w:hAnsi="宋体"/>
      <w:color w:val="000000"/>
      <w:sz w:val="24"/>
    </w:rPr>
  </w:style>
  <w:style w:type="paragraph" w:styleId="19">
    <w:name w:val="Balloon Text"/>
    <w:basedOn w:val="1"/>
    <w:qFormat/>
    <w:uiPriority w:val="0"/>
    <w:rPr>
      <w:sz w:val="18"/>
    </w:rPr>
  </w:style>
  <w:style w:type="paragraph" w:styleId="20">
    <w:name w:val="footer"/>
    <w:basedOn w:val="1"/>
    <w:link w:val="57"/>
    <w:qFormat/>
    <w:uiPriority w:val="99"/>
    <w:pPr>
      <w:tabs>
        <w:tab w:val="center" w:pos="4153"/>
        <w:tab w:val="right" w:pos="8306"/>
      </w:tabs>
      <w:snapToGrid w:val="0"/>
      <w:jc w:val="left"/>
    </w:pPr>
    <w:rPr>
      <w:sz w:val="18"/>
      <w:lang w:val="zh-CN"/>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450"/>
      </w:tabs>
      <w:spacing w:line="360" w:lineRule="auto"/>
    </w:pPr>
    <w:rPr>
      <w:rFonts w:ascii="黑体" w:hAnsi="宋体" w:eastAsia="黑体"/>
      <w:sz w:val="24"/>
    </w:rPr>
  </w:style>
  <w:style w:type="paragraph" w:styleId="23">
    <w:name w:val="toc 2"/>
    <w:basedOn w:val="1"/>
    <w:next w:val="1"/>
    <w:qFormat/>
    <w:uiPriority w:val="0"/>
    <w:pPr>
      <w:ind w:left="420" w:leftChars="200"/>
    </w:pPr>
  </w:style>
  <w:style w:type="paragraph" w:styleId="24">
    <w:name w:val="Normal (Web)"/>
    <w:basedOn w:val="1"/>
    <w:qFormat/>
    <w:uiPriority w:val="0"/>
    <w:pPr>
      <w:widowControl/>
      <w:tabs>
        <w:tab w:val="left" w:pos="360"/>
      </w:tabs>
      <w:spacing w:before="100" w:beforeAutospacing="1" w:after="100" w:afterAutospacing="1"/>
      <w:jc w:val="left"/>
    </w:pPr>
    <w:rPr>
      <w:rFonts w:ascii="Arial Unicode MS" w:hAnsi="Arial Unicode MS" w:eastAsia="Arial Unicode MS"/>
      <w:kern w:val="0"/>
      <w:sz w:val="24"/>
    </w:rPr>
  </w:style>
  <w:style w:type="paragraph" w:styleId="25">
    <w:name w:val="Title"/>
    <w:basedOn w:val="14"/>
    <w:next w:val="14"/>
    <w:qFormat/>
    <w:uiPriority w:val="0"/>
    <w:pPr>
      <w:tabs>
        <w:tab w:val="left" w:pos="-540"/>
        <w:tab w:val="left" w:pos="1182"/>
      </w:tabs>
      <w:snapToGrid w:val="0"/>
      <w:spacing w:before="240" w:after="60" w:line="360" w:lineRule="auto"/>
      <w:ind w:left="527" w:hanging="425"/>
      <w:jc w:val="center"/>
      <w:outlineLvl w:val="0"/>
    </w:pPr>
    <w:rPr>
      <w:b/>
      <w:sz w:val="36"/>
    </w:rPr>
  </w:style>
  <w:style w:type="paragraph" w:styleId="26">
    <w:name w:val="annotation subject"/>
    <w:basedOn w:val="13"/>
    <w:next w:val="13"/>
    <w:qFormat/>
    <w:uiPriority w:val="0"/>
    <w:rPr>
      <w:b/>
    </w:rPr>
  </w:style>
  <w:style w:type="paragraph" w:styleId="27">
    <w:name w:val="Body Text First Indent"/>
    <w:basedOn w:val="14"/>
    <w:qFormat/>
    <w:uiPriority w:val="0"/>
    <w:pPr>
      <w:spacing w:line="300" w:lineRule="auto"/>
      <w:ind w:firstLine="425"/>
    </w:p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rPr>
  </w:style>
  <w:style w:type="character" w:customStyle="1" w:styleId="33">
    <w:name w:val="read"/>
    <w:basedOn w:val="29"/>
    <w:qFormat/>
    <w:uiPriority w:val="0"/>
  </w:style>
  <w:style w:type="character" w:customStyle="1" w:styleId="34">
    <w:name w:val="已访问的超链接1"/>
    <w:qFormat/>
    <w:uiPriority w:val="0"/>
    <w:rPr>
      <w:color w:val="800080"/>
      <w:u w:val="single"/>
    </w:rPr>
  </w:style>
  <w:style w:type="character" w:customStyle="1" w:styleId="35">
    <w:name w:val="big1"/>
    <w:qFormat/>
    <w:uiPriority w:val="0"/>
    <w:rPr>
      <w:sz w:val="22"/>
    </w:rPr>
  </w:style>
  <w:style w:type="character" w:customStyle="1" w:styleId="36">
    <w:name w:val="纯文本 字符"/>
    <w:link w:val="16"/>
    <w:qFormat/>
    <w:uiPriority w:val="99"/>
    <w:rPr>
      <w:rFonts w:ascii="Courier New" w:hAnsi="Courier New"/>
    </w:rPr>
  </w:style>
  <w:style w:type="character" w:customStyle="1" w:styleId="37">
    <w:name w:val="ten51"/>
    <w:qFormat/>
    <w:uiPriority w:val="0"/>
    <w:rPr>
      <w:sz w:val="21"/>
    </w:rPr>
  </w:style>
  <w:style w:type="paragraph" w:customStyle="1" w:styleId="38">
    <w:name w:val="Char Char Char Char Char Char Char"/>
    <w:basedOn w:val="1"/>
    <w:qFormat/>
    <w:uiPriority w:val="0"/>
  </w:style>
  <w:style w:type="paragraph" w:customStyle="1" w:styleId="39">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40">
    <w:name w:val="xl22"/>
    <w:basedOn w:val="1"/>
    <w:qFormat/>
    <w:uiPriority w:val="0"/>
    <w:pPr>
      <w:widowControl/>
      <w:spacing w:before="100" w:beforeAutospacing="1" w:after="100" w:afterAutospacing="1"/>
      <w:textAlignment w:val="top"/>
    </w:pPr>
    <w:rPr>
      <w:rFonts w:hint="eastAsia" w:ascii="宋体" w:hAnsi="宋体"/>
      <w:kern w:val="0"/>
      <w:sz w:val="18"/>
    </w:rPr>
  </w:style>
  <w:style w:type="paragraph" w:customStyle="1" w:styleId="41">
    <w:name w:val="项目"/>
    <w:basedOn w:val="6"/>
    <w:qFormat/>
    <w:uiPriority w:val="0"/>
    <w:pPr>
      <w:snapToGrid w:val="0"/>
      <w:spacing w:before="120" w:after="120" w:line="360" w:lineRule="auto"/>
    </w:pPr>
    <w:rPr>
      <w:rFonts w:ascii="Times New Roman" w:hAnsi="Times New Roman" w:eastAsia="楷体_GB2312"/>
      <w:b w:val="0"/>
      <w:sz w:val="24"/>
    </w:rPr>
  </w:style>
  <w:style w:type="paragraph" w:customStyle="1" w:styleId="4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43">
    <w:name w:val="表格正文"/>
    <w:basedOn w:val="4"/>
    <w:qFormat/>
    <w:uiPriority w:val="0"/>
    <w:pPr>
      <w:spacing w:beforeLines="50"/>
      <w:ind w:firstLine="0" w:firstLineChars="0"/>
      <w:jc w:val="center"/>
    </w:pPr>
    <w:rPr>
      <w:sz w:val="24"/>
    </w:rPr>
  </w:style>
  <w:style w:type="paragraph" w:customStyle="1" w:styleId="44">
    <w:name w:val="Char"/>
    <w:basedOn w:val="1"/>
    <w:qFormat/>
    <w:uiPriority w:val="0"/>
  </w:style>
  <w:style w:type="paragraph" w:customStyle="1" w:styleId="45">
    <w:name w:val="Char Char Char Char1 Char Char Char"/>
    <w:basedOn w:val="1"/>
    <w:qFormat/>
    <w:uiPriority w:val="0"/>
  </w:style>
  <w:style w:type="paragraph" w:customStyle="1" w:styleId="46">
    <w:name w:val="默认段落字体 Para Char Char Char Char Char Char"/>
    <w:basedOn w:val="1"/>
    <w:qFormat/>
    <w:uiPriority w:val="0"/>
    <w:pPr>
      <w:tabs>
        <w:tab w:val="left" w:pos="840"/>
      </w:tabs>
      <w:ind w:left="840" w:hanging="360"/>
    </w:pPr>
    <w:rPr>
      <w:sz w:val="24"/>
    </w:rPr>
  </w:style>
  <w:style w:type="paragraph" w:customStyle="1" w:styleId="47">
    <w:name w:val="报告署名"/>
    <w:basedOn w:val="1"/>
    <w:next w:val="1"/>
    <w:qFormat/>
    <w:uiPriority w:val="0"/>
    <w:pPr>
      <w:spacing w:line="360" w:lineRule="auto"/>
      <w:jc w:val="center"/>
    </w:pPr>
    <w:rPr>
      <w:rFonts w:ascii="宋体" w:hAnsi="宋体"/>
      <w:sz w:val="24"/>
    </w:rPr>
  </w:style>
  <w:style w:type="paragraph" w:customStyle="1" w:styleId="48">
    <w:name w:val="Char Char Char Char Char"/>
    <w:basedOn w:val="1"/>
    <w:qFormat/>
    <w:uiPriority w:val="0"/>
    <w:pPr>
      <w:tabs>
        <w:tab w:val="left" w:pos="840"/>
      </w:tabs>
      <w:ind w:left="840" w:hanging="360"/>
    </w:pPr>
    <w:rPr>
      <w:sz w:val="24"/>
    </w:rPr>
  </w:style>
  <w:style w:type="paragraph" w:customStyle="1" w:styleId="49">
    <w:name w:val="列表2"/>
    <w:basedOn w:val="1"/>
    <w:next w:val="25"/>
    <w:qFormat/>
    <w:uiPriority w:val="0"/>
    <w:pPr>
      <w:tabs>
        <w:tab w:val="left" w:pos="1125"/>
      </w:tabs>
      <w:spacing w:line="360" w:lineRule="auto"/>
      <w:ind w:left="1125" w:hanging="1125"/>
    </w:pPr>
    <w:rPr>
      <w:rFonts w:ascii="宋体"/>
    </w:rPr>
  </w:style>
  <w:style w:type="paragraph" w:styleId="50">
    <w:name w:val="List Paragraph"/>
    <w:basedOn w:val="1"/>
    <w:qFormat/>
    <w:uiPriority w:val="0"/>
    <w:pPr>
      <w:ind w:firstLine="420" w:firstLineChars="200"/>
    </w:pPr>
  </w:style>
  <w:style w:type="character" w:customStyle="1" w:styleId="51">
    <w:name w:val="批注文字 字符1"/>
    <w:link w:val="13"/>
    <w:qFormat/>
    <w:uiPriority w:val="0"/>
    <w:rPr>
      <w:kern w:val="2"/>
      <w:sz w:val="21"/>
    </w:rPr>
  </w:style>
  <w:style w:type="paragraph" w:customStyle="1" w:styleId="52">
    <w:name w:val="Char Char"/>
    <w:basedOn w:val="1"/>
    <w:qFormat/>
    <w:uiPriority w:val="0"/>
    <w:pPr>
      <w:tabs>
        <w:tab w:val="left" w:pos="840"/>
      </w:tabs>
      <w:ind w:left="840" w:hanging="360"/>
    </w:pPr>
    <w:rPr>
      <w:sz w:val="24"/>
      <w:szCs w:val="24"/>
    </w:rPr>
  </w:style>
  <w:style w:type="paragraph" w:customStyle="1" w:styleId="53">
    <w:name w:val="1 Char"/>
    <w:basedOn w:val="1"/>
    <w:semiHidden/>
    <w:qFormat/>
    <w:uiPriority w:val="0"/>
    <w:pPr>
      <w:tabs>
        <w:tab w:val="left" w:pos="360"/>
      </w:tabs>
    </w:pPr>
    <w:rPr>
      <w:sz w:val="24"/>
      <w:szCs w:val="24"/>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unnamed11"/>
    <w:qFormat/>
    <w:uiPriority w:val="0"/>
    <w:rPr>
      <w:rFonts w:hint="eastAsia" w:ascii="宋体" w:hAnsi="宋体" w:eastAsia="宋体"/>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页脚 字符"/>
    <w:link w:val="20"/>
    <w:qFormat/>
    <w:uiPriority w:val="99"/>
    <w:rPr>
      <w:kern w:val="2"/>
      <w:sz w:val="18"/>
    </w:rPr>
  </w:style>
  <w:style w:type="paragraph" w:customStyle="1" w:styleId="58">
    <w:name w:val="Char1"/>
    <w:basedOn w:val="1"/>
    <w:qFormat/>
    <w:uiPriority w:val="0"/>
  </w:style>
  <w:style w:type="character" w:customStyle="1" w:styleId="59">
    <w:name w:val="文档结构图 字符"/>
    <w:link w:val="12"/>
    <w:semiHidden/>
    <w:qFormat/>
    <w:uiPriority w:val="99"/>
    <w:rPr>
      <w:rFonts w:ascii="宋体"/>
      <w:kern w:val="2"/>
      <w:sz w:val="18"/>
      <w:szCs w:val="18"/>
    </w:rPr>
  </w:style>
  <w:style w:type="character" w:customStyle="1" w:styleId="60">
    <w:name w:val="批注引用1"/>
    <w:qFormat/>
    <w:uiPriority w:val="0"/>
    <w:rPr>
      <w:sz w:val="21"/>
    </w:rPr>
  </w:style>
  <w:style w:type="paragraph" w:customStyle="1" w:styleId="61">
    <w:name w:val="Char Char Char1"/>
    <w:basedOn w:val="1"/>
    <w:qFormat/>
    <w:uiPriority w:val="0"/>
  </w:style>
  <w:style w:type="character" w:customStyle="1" w:styleId="62">
    <w:name w:val="批注引用2"/>
    <w:qFormat/>
    <w:uiPriority w:val="0"/>
    <w:rPr>
      <w:sz w:val="21"/>
      <w:szCs w:val="21"/>
    </w:rPr>
  </w:style>
  <w:style w:type="character" w:customStyle="1" w:styleId="63">
    <w:name w:val="日期 字符"/>
    <w:link w:val="17"/>
    <w:semiHidden/>
    <w:qFormat/>
    <w:uiPriority w:val="99"/>
    <w:rPr>
      <w:kern w:val="2"/>
      <w:sz w:val="21"/>
    </w:rPr>
  </w:style>
  <w:style w:type="character" w:customStyle="1" w:styleId="64">
    <w:name w:val="批注文字 字符"/>
    <w:qFormat/>
    <w:uiPriority w:val="0"/>
    <w:rPr>
      <w:kern w:val="2"/>
      <w:sz w:val="21"/>
    </w:rPr>
  </w:style>
  <w:style w:type="character" w:customStyle="1" w:styleId="65">
    <w:name w:val="批注文字 Char"/>
    <w:qFormat/>
    <w:uiPriority w:val="0"/>
    <w:rPr>
      <w:kern w:val="2"/>
      <w:sz w:val="21"/>
    </w:rPr>
  </w:style>
  <w:style w:type="paragraph" w:customStyle="1" w:styleId="66">
    <w:name w:val="修订2"/>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E9384-0A86-4814-B2FF-843222467C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153</Pages>
  <Words>101940</Words>
  <Characters>104883</Characters>
  <Lines>729</Lines>
  <Paragraphs>205</Paragraphs>
  <TotalTime>3</TotalTime>
  <ScaleCrop>false</ScaleCrop>
  <LinksUpToDate>false</LinksUpToDate>
  <CharactersWithSpaces>104940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2025-10-14T05:43:00Z</dcterms:created>
  <dc:creator>倪俊-2</dc:creator>
  <cp:lastModifiedBy>zhangjing1</cp:lastModifiedBy>
  <cp:lastPrinted>2025-10-17T05:41:00Z</cp:lastPrinted>
  <dcterms:modified xsi:type="dcterms:W3CDTF">2026-06-24T07:13:54Z</dcterms:modified>
  <dc:title>招募说明书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00A4FE713AB745058426CB6286B4F6DC_13</vt:lpwstr>
  </property>
</Properties>
</file>