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1A12A">
      <w:pPr>
        <w:jc w:val="center"/>
        <w:rPr>
          <w:rFonts w:ascii="黑体" w:hAnsi="黑体" w:eastAsia="黑体"/>
          <w:b/>
          <w:sz w:val="36"/>
        </w:rPr>
      </w:pPr>
      <w:bookmarkStart w:id="0" w:name="_GoBack"/>
      <w:bookmarkEnd w:id="0"/>
      <w:r>
        <w:rPr>
          <w:rFonts w:hint="eastAsia" w:ascii="黑体" w:hAnsi="黑体" w:eastAsia="黑体"/>
          <w:b/>
          <w:sz w:val="36"/>
        </w:rPr>
        <w:t>交银施罗德佳宁债券型证券投资基金（A类份额）</w:t>
      </w:r>
    </w:p>
    <w:p w14:paraId="6E553285">
      <w:pPr>
        <w:jc w:val="center"/>
        <w:rPr>
          <w:rFonts w:ascii="黑体" w:hAnsi="黑体" w:eastAsia="黑体"/>
          <w:b/>
          <w:sz w:val="36"/>
        </w:rPr>
      </w:pPr>
      <w:r>
        <w:rPr>
          <w:rFonts w:hint="eastAsia" w:ascii="黑体" w:hAnsi="黑体" w:eastAsia="黑体"/>
          <w:b/>
          <w:sz w:val="36"/>
        </w:rPr>
        <w:t>基金产品资料概要</w:t>
      </w:r>
    </w:p>
    <w:p w14:paraId="07817959">
      <w:pPr>
        <w:wordWrap w:val="0"/>
        <w:jc w:val="right"/>
        <w:rPr>
          <w:rFonts w:hint="default" w:ascii="仿宋_GB2312" w:hAnsi="宋体" w:eastAsia="仿宋_GB2312" w:cs="宋体"/>
          <w:kern w:val="0"/>
          <w:szCs w:val="21"/>
          <w:lang w:val="en-US" w:eastAsia="zh-CN"/>
        </w:rPr>
      </w:pPr>
      <w:r>
        <w:rPr>
          <w:rFonts w:hint="eastAsia" w:ascii="仿宋_GB2312" w:eastAsia="仿宋_GB2312"/>
        </w:rPr>
        <w:t>编制日期：</w:t>
      </w:r>
      <w:r>
        <w:rPr>
          <w:rFonts w:ascii="仿宋_GB2312" w:hAnsi="宋体" w:eastAsia="仿宋_GB2312" w:cs="宋体"/>
          <w:kern w:val="0"/>
          <w:szCs w:val="21"/>
        </w:rPr>
        <w:t>202</w:t>
      </w:r>
      <w:r>
        <w:rPr>
          <w:rFonts w:hint="eastAsia" w:ascii="仿宋_GB2312" w:hAnsi="宋体" w:eastAsia="仿宋_GB2312" w:cs="宋体"/>
          <w:kern w:val="0"/>
          <w:szCs w:val="21"/>
          <w:lang w:val="en-US" w:eastAsia="zh-CN"/>
        </w:rPr>
        <w:t>6</w:t>
      </w:r>
      <w:r>
        <w:rPr>
          <w:rFonts w:ascii="仿宋_GB2312" w:hAnsi="宋体" w:eastAsia="仿宋_GB2312" w:cs="宋体"/>
          <w:kern w:val="0"/>
          <w:szCs w:val="21"/>
        </w:rPr>
        <w:t>-</w:t>
      </w:r>
      <w:r>
        <w:rPr>
          <w:rFonts w:hint="eastAsia" w:ascii="仿宋_GB2312" w:hAnsi="宋体" w:eastAsia="仿宋_GB2312" w:cs="宋体"/>
          <w:kern w:val="0"/>
          <w:szCs w:val="21"/>
          <w:lang w:val="en-US" w:eastAsia="zh-CN"/>
        </w:rPr>
        <w:t>6</w:t>
      </w:r>
      <w:r>
        <w:rPr>
          <w:rFonts w:ascii="仿宋_GB2312" w:hAnsi="宋体" w:eastAsia="仿宋_GB2312" w:cs="宋体"/>
          <w:kern w:val="0"/>
          <w:szCs w:val="21"/>
        </w:rPr>
        <w:t>-</w:t>
      </w:r>
      <w:r>
        <w:rPr>
          <w:rFonts w:hint="eastAsia" w:ascii="仿宋_GB2312" w:hAnsi="宋体" w:eastAsia="仿宋_GB2312" w:cs="宋体"/>
          <w:kern w:val="0"/>
          <w:szCs w:val="21"/>
          <w:lang w:val="en-US" w:eastAsia="zh-CN"/>
        </w:rPr>
        <w:t>24</w:t>
      </w:r>
    </w:p>
    <w:p w14:paraId="5F8C6337">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w:t>
      </w:r>
      <w:r>
        <w:rPr>
          <w:rFonts w:hint="eastAsia" w:ascii="Times New Roman" w:hAnsi="Times New Roman" w:cs="Times New Roman"/>
          <w:lang w:val="en-US" w:eastAsia="zh-CN"/>
        </w:rPr>
        <w:t>25</w:t>
      </w:r>
      <w:r>
        <w:rPr>
          <w:rFonts w:ascii="Times New Roman" w:hAnsi="Times New Roman" w:cs="Times New Roman"/>
        </w:rPr>
        <w:t xml:space="preserve"> </w:t>
      </w:r>
    </w:p>
    <w:p w14:paraId="13359617">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14:paraId="14EBA36C">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14:paraId="641B8506">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059"/>
        <w:gridCol w:w="1773"/>
        <w:gridCol w:w="3340"/>
        <w:gridCol w:w="1900"/>
      </w:tblGrid>
      <w:tr w14:paraId="24E8811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Align w:val="center"/>
          </w:tcPr>
          <w:p w14:paraId="02E5F137">
            <w:pPr>
              <w:keepNext w:val="0"/>
              <w:keepLines w:val="0"/>
              <w:widowControl/>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基金简称</w:t>
            </w:r>
          </w:p>
        </w:tc>
        <w:tc>
          <w:tcPr>
            <w:tcW w:w="1773" w:type="dxa"/>
            <w:vAlign w:val="center"/>
          </w:tcPr>
          <w:p w14:paraId="155814F9">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交银佳宁债券A</w:t>
            </w:r>
          </w:p>
        </w:tc>
        <w:tc>
          <w:tcPr>
            <w:tcW w:w="3340" w:type="dxa"/>
            <w:vAlign w:val="center"/>
          </w:tcPr>
          <w:p w14:paraId="6B85435C">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基金代码</w:t>
            </w:r>
          </w:p>
        </w:tc>
        <w:tc>
          <w:tcPr>
            <w:tcW w:w="1900" w:type="dxa"/>
            <w:vAlign w:val="center"/>
          </w:tcPr>
          <w:p w14:paraId="028F5B73">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027457</w:t>
            </w:r>
          </w:p>
        </w:tc>
      </w:tr>
      <w:tr w14:paraId="27B3AE6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Align w:val="center"/>
          </w:tcPr>
          <w:p w14:paraId="01199B66">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基金管理人</w:t>
            </w:r>
          </w:p>
        </w:tc>
        <w:tc>
          <w:tcPr>
            <w:tcW w:w="1773" w:type="dxa"/>
            <w:vAlign w:val="center"/>
          </w:tcPr>
          <w:p w14:paraId="23E49249">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交银施罗德基金管理有限公司</w:t>
            </w:r>
          </w:p>
        </w:tc>
        <w:tc>
          <w:tcPr>
            <w:tcW w:w="3340" w:type="dxa"/>
            <w:vAlign w:val="center"/>
          </w:tcPr>
          <w:p w14:paraId="27CC6841">
            <w:pPr>
              <w:keepNext w:val="0"/>
              <w:keepLines w:val="0"/>
              <w:suppressLineNumbers w:val="0"/>
              <w:spacing w:before="0" w:beforeAutospacing="0" w:after="0" w:afterAutospacing="0"/>
              <w:ind w:left="0" w:right="0"/>
              <w:rPr>
                <w:rFonts w:hint="default" w:ascii="仿宋_GB2312" w:hAnsi="宋体" w:eastAsia="仿宋_GB2312" w:cs="宋体"/>
                <w:szCs w:val="21"/>
              </w:rPr>
            </w:pPr>
            <w:r>
              <w:rPr>
                <w:rFonts w:hint="eastAsia" w:ascii="仿宋_GB2312" w:eastAsia="仿宋_GB2312"/>
                <w:szCs w:val="21"/>
              </w:rPr>
              <w:t>基金托管人</w:t>
            </w:r>
          </w:p>
        </w:tc>
        <w:tc>
          <w:tcPr>
            <w:tcW w:w="1900" w:type="dxa"/>
            <w:vAlign w:val="center"/>
          </w:tcPr>
          <w:p w14:paraId="151EE4DE">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中信银行股份有限公司</w:t>
            </w:r>
          </w:p>
        </w:tc>
      </w:tr>
      <w:tr w14:paraId="16EE793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40" w:type="dxa"/>
          <w:jc w:val="center"/>
        </w:trPr>
        <w:tc>
          <w:tcPr>
            <w:tcW w:w="2059" w:type="dxa"/>
            <w:vAlign w:val="center"/>
          </w:tcPr>
          <w:p w14:paraId="5291EE2D">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基金合同生效日</w:t>
            </w:r>
          </w:p>
        </w:tc>
        <w:tc>
          <w:tcPr>
            <w:tcW w:w="1773" w:type="dxa"/>
            <w:vAlign w:val="center"/>
          </w:tcPr>
          <w:p w14:paraId="1957686F">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w:t>
            </w:r>
          </w:p>
        </w:tc>
      </w:tr>
      <w:tr w14:paraId="71B2B67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Align w:val="center"/>
          </w:tcPr>
          <w:p w14:paraId="65EEEAD5">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基金类型</w:t>
            </w:r>
          </w:p>
        </w:tc>
        <w:tc>
          <w:tcPr>
            <w:tcW w:w="1773" w:type="dxa"/>
            <w:vAlign w:val="center"/>
          </w:tcPr>
          <w:p w14:paraId="79C42E72">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债券型</w:t>
            </w:r>
          </w:p>
        </w:tc>
        <w:tc>
          <w:tcPr>
            <w:tcW w:w="3340" w:type="dxa"/>
            <w:vAlign w:val="center"/>
          </w:tcPr>
          <w:p w14:paraId="550ED79E">
            <w:pPr>
              <w:keepNext w:val="0"/>
              <w:keepLines w:val="0"/>
              <w:suppressLineNumbers w:val="0"/>
              <w:spacing w:before="0" w:beforeAutospacing="0" w:after="0" w:afterAutospacing="0"/>
              <w:ind w:left="0" w:right="0"/>
              <w:rPr>
                <w:rFonts w:hint="default" w:ascii="仿宋_GB2312" w:hAnsi="宋体" w:eastAsia="仿宋_GB2312" w:cs="宋体"/>
                <w:szCs w:val="21"/>
              </w:rPr>
            </w:pPr>
            <w:r>
              <w:rPr>
                <w:rFonts w:hint="eastAsia" w:ascii="仿宋_GB2312" w:eastAsia="仿宋_GB2312"/>
                <w:szCs w:val="21"/>
              </w:rPr>
              <w:t>交易币种</w:t>
            </w:r>
          </w:p>
        </w:tc>
        <w:tc>
          <w:tcPr>
            <w:tcW w:w="1900" w:type="dxa"/>
            <w:vAlign w:val="center"/>
          </w:tcPr>
          <w:p w14:paraId="52922472">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人民币</w:t>
            </w:r>
          </w:p>
        </w:tc>
      </w:tr>
      <w:tr w14:paraId="37708D0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Align w:val="center"/>
          </w:tcPr>
          <w:p w14:paraId="748C0C26">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运作方式</w:t>
            </w:r>
          </w:p>
        </w:tc>
        <w:tc>
          <w:tcPr>
            <w:tcW w:w="1773" w:type="dxa"/>
            <w:vAlign w:val="center"/>
          </w:tcPr>
          <w:p w14:paraId="17D3F3D7">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普通开放式</w:t>
            </w:r>
          </w:p>
        </w:tc>
        <w:tc>
          <w:tcPr>
            <w:tcW w:w="3340" w:type="dxa"/>
            <w:vAlign w:val="center"/>
          </w:tcPr>
          <w:p w14:paraId="0F05B104">
            <w:pPr>
              <w:keepNext w:val="0"/>
              <w:keepLines w:val="0"/>
              <w:suppressLineNumbers w:val="0"/>
              <w:spacing w:before="0" w:beforeAutospacing="0" w:after="0" w:afterAutospacing="0"/>
              <w:ind w:left="0" w:right="0"/>
              <w:rPr>
                <w:rFonts w:hint="default" w:ascii="仿宋_GB2312" w:hAnsi="宋体" w:eastAsia="仿宋_GB2312" w:cs="宋体"/>
                <w:szCs w:val="21"/>
              </w:rPr>
            </w:pPr>
            <w:r>
              <w:rPr>
                <w:rFonts w:hint="eastAsia" w:ascii="仿宋_GB2312" w:eastAsia="仿宋_GB2312"/>
                <w:szCs w:val="21"/>
              </w:rPr>
              <w:t>开放频率</w:t>
            </w:r>
          </w:p>
        </w:tc>
        <w:tc>
          <w:tcPr>
            <w:tcW w:w="1900" w:type="dxa"/>
            <w:vAlign w:val="center"/>
          </w:tcPr>
          <w:p w14:paraId="7AE8F36C">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每个开放日</w:t>
            </w:r>
          </w:p>
        </w:tc>
      </w:tr>
      <w:tr w14:paraId="134A6AA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Merge w:val="restart"/>
          </w:tcPr>
          <w:p w14:paraId="0268ED8C">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基金经理</w:t>
            </w:r>
          </w:p>
        </w:tc>
        <w:tc>
          <w:tcPr>
            <w:tcW w:w="1773" w:type="dxa"/>
            <w:vMerge w:val="restart"/>
          </w:tcPr>
          <w:p w14:paraId="429E0359">
            <w:pPr>
              <w:keepNext w:val="0"/>
              <w:keepLines w:val="0"/>
              <w:suppressLineNumbers w:val="0"/>
              <w:spacing w:before="0" w:beforeAutospacing="0" w:after="0" w:afterAutospacing="0"/>
              <w:ind w:left="0" w:right="0"/>
              <w:jc w:val="left"/>
              <w:rPr>
                <w:rFonts w:hint="default" w:ascii="仿宋_GB2312" w:eastAsia="仿宋_GB2312"/>
                <w:szCs w:val="21"/>
                <w:lang w:val="en-US" w:eastAsia="zh-CN"/>
              </w:rPr>
            </w:pPr>
            <w:r>
              <w:rPr>
                <w:rFonts w:hint="eastAsia" w:ascii="仿宋_GB2312" w:eastAsia="仿宋_GB2312"/>
                <w:szCs w:val="21"/>
                <w:lang w:val="en-US" w:eastAsia="zh-CN"/>
              </w:rPr>
              <w:t>孙婕衎</w:t>
            </w:r>
          </w:p>
        </w:tc>
        <w:tc>
          <w:tcPr>
            <w:tcW w:w="3340" w:type="dxa"/>
          </w:tcPr>
          <w:p w14:paraId="0A360938">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开始担任本基金基金经理的日期</w:t>
            </w:r>
          </w:p>
        </w:tc>
        <w:tc>
          <w:tcPr>
            <w:tcW w:w="1900" w:type="dxa"/>
          </w:tcPr>
          <w:p w14:paraId="683DC50D">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w:t>
            </w:r>
          </w:p>
        </w:tc>
      </w:tr>
      <w:tr w14:paraId="338257E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Merge w:val="continue"/>
          </w:tcPr>
          <w:p w14:paraId="0E1DE137">
            <w:pPr>
              <w:keepNext w:val="0"/>
              <w:keepLines w:val="0"/>
              <w:suppressLineNumbers w:val="0"/>
              <w:spacing w:before="0" w:beforeAutospacing="0" w:after="0" w:afterAutospacing="0"/>
              <w:ind w:left="0" w:right="0"/>
              <w:jc w:val="left"/>
              <w:rPr>
                <w:rFonts w:hint="default" w:ascii="仿宋_GB2312" w:eastAsia="仿宋_GB2312"/>
                <w:szCs w:val="21"/>
              </w:rPr>
            </w:pPr>
          </w:p>
        </w:tc>
        <w:tc>
          <w:tcPr>
            <w:tcW w:w="1773" w:type="dxa"/>
            <w:vMerge w:val="continue"/>
          </w:tcPr>
          <w:p w14:paraId="3145672A">
            <w:pPr>
              <w:keepNext w:val="0"/>
              <w:keepLines w:val="0"/>
              <w:suppressLineNumbers w:val="0"/>
              <w:spacing w:before="0" w:beforeAutospacing="0" w:after="0" w:afterAutospacing="0"/>
              <w:ind w:left="0" w:right="0"/>
              <w:jc w:val="left"/>
              <w:rPr>
                <w:rFonts w:hint="default" w:ascii="仿宋_GB2312" w:eastAsia="仿宋_GB2312"/>
                <w:szCs w:val="21"/>
              </w:rPr>
            </w:pPr>
          </w:p>
        </w:tc>
        <w:tc>
          <w:tcPr>
            <w:tcW w:w="3340" w:type="dxa"/>
          </w:tcPr>
          <w:p w14:paraId="6ABE3A51">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证券从业日期</w:t>
            </w:r>
          </w:p>
        </w:tc>
        <w:tc>
          <w:tcPr>
            <w:tcW w:w="1900" w:type="dxa"/>
          </w:tcPr>
          <w:p w14:paraId="11925142">
            <w:pPr>
              <w:keepNext w:val="0"/>
              <w:keepLines w:val="0"/>
              <w:suppressLineNumbers w:val="0"/>
              <w:spacing w:before="0" w:beforeAutospacing="0" w:after="0" w:afterAutospacing="0"/>
              <w:ind w:left="0" w:right="0"/>
              <w:jc w:val="left"/>
              <w:rPr>
                <w:rFonts w:hint="default" w:ascii="仿宋_GB2312" w:eastAsia="仿宋_GB2312"/>
                <w:szCs w:val="21"/>
              </w:rPr>
            </w:pPr>
            <w:r>
              <w:rPr>
                <w:rFonts w:hint="default" w:ascii="仿宋_GB2312" w:eastAsia="仿宋_GB2312"/>
                <w:szCs w:val="21"/>
              </w:rPr>
              <w:t>201</w:t>
            </w:r>
            <w:r>
              <w:rPr>
                <w:rFonts w:hint="eastAsia" w:ascii="仿宋_GB2312" w:eastAsia="仿宋_GB2312"/>
                <w:szCs w:val="21"/>
              </w:rPr>
              <w:t>1</w:t>
            </w:r>
            <w:r>
              <w:rPr>
                <w:rFonts w:hint="default" w:ascii="仿宋_GB2312" w:eastAsia="仿宋_GB2312"/>
                <w:szCs w:val="21"/>
              </w:rPr>
              <w:t>-0</w:t>
            </w:r>
            <w:r>
              <w:rPr>
                <w:rFonts w:hint="eastAsia" w:ascii="仿宋_GB2312" w:eastAsia="仿宋_GB2312"/>
                <w:szCs w:val="21"/>
              </w:rPr>
              <w:t>5</w:t>
            </w:r>
            <w:r>
              <w:rPr>
                <w:rFonts w:hint="default" w:ascii="仿宋_GB2312" w:eastAsia="仿宋_GB2312"/>
                <w:szCs w:val="21"/>
              </w:rPr>
              <w:t>-</w:t>
            </w:r>
            <w:r>
              <w:rPr>
                <w:rFonts w:hint="eastAsia" w:ascii="仿宋_GB2312" w:eastAsia="仿宋_GB2312"/>
                <w:szCs w:val="21"/>
              </w:rPr>
              <w:t>11</w:t>
            </w:r>
          </w:p>
        </w:tc>
      </w:tr>
      <w:tr w14:paraId="46B667D7">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Merge w:val="restart"/>
          </w:tcPr>
          <w:p w14:paraId="0BE3C40D">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基金经理</w:t>
            </w:r>
          </w:p>
        </w:tc>
        <w:tc>
          <w:tcPr>
            <w:tcW w:w="1773" w:type="dxa"/>
            <w:vMerge w:val="restart"/>
          </w:tcPr>
          <w:p w14:paraId="1601D9EC">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于海颖</w:t>
            </w:r>
          </w:p>
        </w:tc>
        <w:tc>
          <w:tcPr>
            <w:tcW w:w="3340" w:type="dxa"/>
          </w:tcPr>
          <w:p w14:paraId="760DFD70">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开始担任本基金基金经理的日期</w:t>
            </w:r>
          </w:p>
        </w:tc>
        <w:tc>
          <w:tcPr>
            <w:tcW w:w="1900" w:type="dxa"/>
          </w:tcPr>
          <w:p w14:paraId="2E4CAD31">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w:t>
            </w:r>
          </w:p>
        </w:tc>
      </w:tr>
      <w:tr w14:paraId="4258380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vMerge w:val="continue"/>
          </w:tcPr>
          <w:p w14:paraId="4C6066E7">
            <w:pPr>
              <w:keepNext w:val="0"/>
              <w:keepLines w:val="0"/>
              <w:suppressLineNumbers w:val="0"/>
              <w:spacing w:before="0" w:beforeAutospacing="0" w:after="0" w:afterAutospacing="0"/>
              <w:ind w:left="0" w:right="0"/>
              <w:jc w:val="left"/>
              <w:rPr>
                <w:rFonts w:hint="default" w:ascii="仿宋_GB2312" w:eastAsia="仿宋_GB2312"/>
                <w:szCs w:val="21"/>
              </w:rPr>
            </w:pPr>
          </w:p>
        </w:tc>
        <w:tc>
          <w:tcPr>
            <w:tcW w:w="1773" w:type="dxa"/>
            <w:vMerge w:val="continue"/>
          </w:tcPr>
          <w:p w14:paraId="132C3C07">
            <w:pPr>
              <w:keepNext w:val="0"/>
              <w:keepLines w:val="0"/>
              <w:suppressLineNumbers w:val="0"/>
              <w:spacing w:before="0" w:beforeAutospacing="0" w:after="0" w:afterAutospacing="0"/>
              <w:ind w:left="0" w:right="0"/>
              <w:jc w:val="left"/>
              <w:rPr>
                <w:rFonts w:hint="default" w:ascii="仿宋_GB2312" w:eastAsia="仿宋_GB2312"/>
                <w:szCs w:val="21"/>
              </w:rPr>
            </w:pPr>
          </w:p>
        </w:tc>
        <w:tc>
          <w:tcPr>
            <w:tcW w:w="3340" w:type="dxa"/>
          </w:tcPr>
          <w:p w14:paraId="0CB745C2">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证券从业日期</w:t>
            </w:r>
          </w:p>
        </w:tc>
        <w:tc>
          <w:tcPr>
            <w:tcW w:w="1900" w:type="dxa"/>
          </w:tcPr>
          <w:p w14:paraId="5EDCD04A">
            <w:pPr>
              <w:keepNext w:val="0"/>
              <w:keepLines w:val="0"/>
              <w:suppressLineNumbers w:val="0"/>
              <w:spacing w:before="0" w:beforeAutospacing="0" w:after="0" w:afterAutospacing="0"/>
              <w:ind w:left="0" w:right="0"/>
              <w:jc w:val="left"/>
              <w:rPr>
                <w:rFonts w:hint="default" w:ascii="仿宋_GB2312" w:eastAsia="仿宋_GB2312"/>
                <w:szCs w:val="21"/>
              </w:rPr>
            </w:pPr>
            <w:r>
              <w:rPr>
                <w:rFonts w:hint="default" w:ascii="仿宋_GB2312" w:eastAsia="仿宋_GB2312"/>
                <w:szCs w:val="21"/>
              </w:rPr>
              <w:t>2006-05-01</w:t>
            </w:r>
          </w:p>
        </w:tc>
      </w:tr>
      <w:tr w14:paraId="45F6948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059" w:type="dxa"/>
          </w:tcPr>
          <w:p w14:paraId="20A774B5">
            <w:pPr>
              <w:keepNext w:val="0"/>
              <w:keepLines w:val="0"/>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其他</w:t>
            </w:r>
          </w:p>
        </w:tc>
        <w:tc>
          <w:tcPr>
            <w:tcW w:w="7013" w:type="dxa"/>
            <w:gridSpan w:val="3"/>
          </w:tcPr>
          <w:p w14:paraId="12461DC9">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14:paraId="7FC32852">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14:paraId="4046B516">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14:paraId="7C603C3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5FCA19CC">
            <w:pPr>
              <w:keepNext w:val="0"/>
              <w:keepLines w:val="0"/>
              <w:widowControl/>
              <w:suppressLineNumbers w:val="0"/>
              <w:spacing w:before="0" w:beforeAutospacing="0" w:after="0" w:afterAutospacing="0"/>
              <w:ind w:left="0" w:right="0"/>
              <w:jc w:val="left"/>
              <w:rPr>
                <w:rFonts w:hint="default" w:ascii="仿宋_GB2312" w:eastAsia="仿宋_GB2312"/>
                <w:szCs w:val="21"/>
              </w:rPr>
            </w:pPr>
            <w:r>
              <w:rPr>
                <w:rFonts w:hint="eastAsia" w:ascii="仿宋_GB2312" w:eastAsia="仿宋_GB2312"/>
                <w:szCs w:val="21"/>
              </w:rPr>
              <w:t>投资目标</w:t>
            </w:r>
          </w:p>
        </w:tc>
        <w:tc>
          <w:tcPr>
            <w:tcW w:w="6525" w:type="dxa"/>
            <w:vAlign w:val="center"/>
          </w:tcPr>
          <w:p w14:paraId="73254036">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在合理控制风险并保持基金资产良好流动性的前提下，追求超越业绩比较基准的投资回报，力争实现基金资产的长期稳健增值。</w:t>
            </w:r>
          </w:p>
        </w:tc>
      </w:tr>
      <w:tr w14:paraId="52519F4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7052B498">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投资范围</w:t>
            </w:r>
          </w:p>
        </w:tc>
        <w:tc>
          <w:tcPr>
            <w:tcW w:w="6525" w:type="dxa"/>
            <w:vAlign w:val="center"/>
          </w:tcPr>
          <w:p w14:paraId="7C80204B">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股票型ETF（含可投资境外市场的ETF）、公开募集不动产投资信托基金（以下简称“公募REITs”）及本基金管理人管理的股票型基金、计入权益类资产的混合型基金，不含香港互认基金、QDII基金（可投资境外市场的股票型ETF除外）、基金中基金</w:t>
            </w:r>
            <w:r>
              <w:rPr>
                <w:rFonts w:hint="eastAsia" w:ascii="仿宋_GB2312" w:eastAsia="仿宋_GB2312"/>
                <w:szCs w:val="21"/>
                <w:lang w:val="en-US" w:eastAsia="zh-CN"/>
              </w:rPr>
              <w:t>和</w:t>
            </w:r>
            <w:r>
              <w:rPr>
                <w:rFonts w:hint="eastAsia" w:ascii="仿宋_GB2312" w:eastAsia="仿宋_GB2312"/>
                <w:szCs w:val="21"/>
              </w:rPr>
              <w:t>其他投资范围包含基金的基金、货币市场基金）、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3236B7B7">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14:paraId="0684B7B2">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基金的投资组合比例为：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ascii="仿宋_GB2312" w:eastAsia="仿宋_GB2312"/>
                <w:szCs w:val="21"/>
                <w:lang w:val="en-US" w:eastAsia="zh-CN"/>
              </w:rPr>
              <w:t>5</w:t>
            </w:r>
            <w:r>
              <w:rPr>
                <w:rFonts w:hint="eastAsia" w:ascii="仿宋_GB2312" w:eastAsia="仿宋_GB2312"/>
                <w:szCs w:val="21"/>
              </w:rPr>
              <w:t>%-20%（其中，投资于境内股票资产（含</w:t>
            </w:r>
            <w:r>
              <w:rPr>
                <w:rFonts w:hint="eastAsia" w:ascii="仿宋_GB2312" w:eastAsia="仿宋_GB2312"/>
                <w:szCs w:val="21"/>
                <w:lang w:val="en-US" w:eastAsia="zh-CN"/>
              </w:rPr>
              <w:t>A股</w:t>
            </w:r>
            <w:r>
              <w:rPr>
                <w:rFonts w:hint="eastAsia" w:ascii="仿宋_GB2312" w:eastAsia="仿宋_GB2312"/>
                <w:szCs w:val="21"/>
              </w:rPr>
              <w:t>ETF）的比例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1B84CCB8">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tc>
      </w:tr>
      <w:tr w14:paraId="0FA8BEC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0A77A9D2">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主要投资策略</w:t>
            </w:r>
          </w:p>
        </w:tc>
        <w:tc>
          <w:tcPr>
            <w:tcW w:w="6525" w:type="dxa"/>
            <w:vAlign w:val="center"/>
          </w:tcPr>
          <w:p w14:paraId="39AB714E">
            <w:pPr>
              <w:keepNext w:val="0"/>
              <w:keepLines w:val="0"/>
              <w:suppressLineNumbers w:val="0"/>
              <w:spacing w:before="0" w:beforeAutospacing="0" w:after="0" w:afterAutospacing="0"/>
              <w:ind w:left="0" w:right="0" w:firstLine="420" w:firstLineChars="200"/>
              <w:jc w:val="left"/>
              <w:rPr>
                <w:rFonts w:hint="default" w:ascii="仿宋_GB2312" w:eastAsia="仿宋_GB2312"/>
                <w:szCs w:val="21"/>
              </w:rPr>
            </w:pPr>
            <w:r>
              <w:rPr>
                <w:rFonts w:hint="eastAsia" w:ascii="仿宋_GB2312" w:eastAsia="仿宋_GB2312"/>
                <w:szCs w:val="21"/>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14:paraId="0E9AF015">
            <w:pPr>
              <w:keepNext w:val="0"/>
              <w:keepLines w:val="0"/>
              <w:suppressLineNumbers w:val="0"/>
              <w:spacing w:before="0" w:beforeAutospacing="0" w:after="0" w:afterAutospacing="0"/>
              <w:ind w:left="0" w:right="0" w:firstLine="420" w:firstLineChars="200"/>
              <w:jc w:val="left"/>
              <w:rPr>
                <w:rFonts w:hint="default" w:ascii="仿宋_GB2312" w:eastAsia="仿宋_GB2312"/>
                <w:szCs w:val="21"/>
              </w:rPr>
            </w:pPr>
            <w:r>
              <w:rPr>
                <w:rFonts w:hint="eastAsia" w:ascii="仿宋_GB2312" w:eastAsia="仿宋_GB2312"/>
                <w:szCs w:val="21"/>
              </w:rPr>
              <w:t>本基金采用的主要策略包括：1、大类资产配置；2、股票投资策略；3、基金投资策略；4、债券投资策略；5、国债期货投资策略；6、信用衍生品投资策略。</w:t>
            </w:r>
          </w:p>
        </w:tc>
      </w:tr>
      <w:tr w14:paraId="2DCD9FF3">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1A05CF2B">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业绩比较基准</w:t>
            </w:r>
          </w:p>
        </w:tc>
        <w:tc>
          <w:tcPr>
            <w:tcW w:w="6525" w:type="dxa"/>
            <w:vAlign w:val="center"/>
          </w:tcPr>
          <w:p w14:paraId="73D1058F">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沪深300指数收益率×10%+恒生指数收益率×</w:t>
            </w:r>
            <w:r>
              <w:rPr>
                <w:rFonts w:hint="eastAsia" w:ascii="仿宋_GB2312" w:eastAsia="仿宋_GB2312"/>
                <w:szCs w:val="21"/>
                <w:lang w:val="en-US" w:eastAsia="zh-CN"/>
              </w:rPr>
              <w:t>3</w:t>
            </w:r>
            <w:r>
              <w:rPr>
                <w:rFonts w:hint="eastAsia" w:ascii="仿宋_GB2312" w:eastAsia="仿宋_GB2312"/>
                <w:szCs w:val="21"/>
              </w:rPr>
              <w:t>%+中债-综合全价（总值）指数收益率×</w:t>
            </w:r>
            <w:r>
              <w:rPr>
                <w:rFonts w:hint="eastAsia" w:ascii="仿宋_GB2312" w:eastAsia="仿宋_GB2312"/>
                <w:szCs w:val="21"/>
                <w:lang w:val="en-US" w:eastAsia="zh-CN"/>
              </w:rPr>
              <w:t>87</w:t>
            </w:r>
            <w:r>
              <w:rPr>
                <w:rFonts w:hint="eastAsia" w:ascii="仿宋_GB2312" w:eastAsia="仿宋_GB2312"/>
                <w:szCs w:val="21"/>
              </w:rPr>
              <w:t>%</w:t>
            </w:r>
          </w:p>
        </w:tc>
      </w:tr>
      <w:tr w14:paraId="3595ED5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318AE288">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风险收益特征</w:t>
            </w:r>
          </w:p>
        </w:tc>
        <w:tc>
          <w:tcPr>
            <w:tcW w:w="6525" w:type="dxa"/>
            <w:vAlign w:val="center"/>
          </w:tcPr>
          <w:p w14:paraId="6FA9D86D">
            <w:pPr>
              <w:keepNext w:val="0"/>
              <w:keepLines w:val="0"/>
              <w:suppressLineNumbers w:val="0"/>
              <w:spacing w:before="0" w:beforeAutospacing="0" w:after="0" w:afterAutospacing="0"/>
              <w:ind w:left="0" w:right="0" w:firstLine="420"/>
              <w:jc w:val="left"/>
              <w:rPr>
                <w:rFonts w:hint="default" w:ascii="仿宋_GB2312" w:eastAsia="仿宋_GB2312"/>
                <w:szCs w:val="21"/>
              </w:rPr>
            </w:pPr>
            <w:r>
              <w:rPr>
                <w:rFonts w:hint="eastAsia" w:ascii="仿宋_GB2312" w:eastAsia="仿宋_GB2312"/>
                <w:szCs w:val="21"/>
              </w:rPr>
              <w:t>本基金是一只债券型基金，其预期风险与预期收益理论上高于货币市场基金，低于混合型基金和股票型基金。本基金可投资港股通标的股票，会面临港股通机制下因投资环境、投资标的、市场制度以及交易规则等差异带来的特有风险。</w:t>
            </w:r>
          </w:p>
        </w:tc>
      </w:tr>
    </w:tbl>
    <w:p w14:paraId="62F73983">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详见《交银施罗德佳宁债券型证券投资基金招募说明书》第九部分“基金的投资”。</w:t>
      </w:r>
    </w:p>
    <w:p w14:paraId="56761ED2">
      <w:pPr>
        <w:jc w:val="left"/>
        <w:rPr>
          <w:rFonts w:ascii="仿宋_GB2312" w:eastAsia="仿宋_GB2312"/>
          <w:b/>
          <w:szCs w:val="21"/>
        </w:rPr>
      </w:pPr>
      <w:r>
        <w:rPr>
          <w:rFonts w:hint="eastAsia" w:ascii="仿宋_GB2312" w:eastAsia="仿宋_GB2312"/>
          <w:b/>
          <w:szCs w:val="21"/>
        </w:rPr>
        <w:t>（二）投资组合资产配置图表/区域配置图表</w:t>
      </w:r>
    </w:p>
    <w:p w14:paraId="1A549F2D">
      <w:pPr>
        <w:ind w:left="420" w:firstLine="420" w:firstLineChars="200"/>
        <w:jc w:val="left"/>
        <w:rPr>
          <w:rFonts w:ascii="仿宋_GB2312" w:eastAsia="仿宋_GB2312"/>
          <w:szCs w:val="21"/>
        </w:rPr>
      </w:pPr>
      <w:r>
        <w:rPr>
          <w:rFonts w:hint="eastAsia" w:ascii="仿宋_GB2312" w:eastAsia="仿宋_GB2312"/>
          <w:szCs w:val="21"/>
        </w:rPr>
        <w:t>无。</w:t>
      </w:r>
    </w:p>
    <w:p w14:paraId="1D0655CD">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14:paraId="38839428">
      <w:pPr>
        <w:ind w:left="420" w:firstLine="420" w:firstLineChars="200"/>
        <w:jc w:val="left"/>
        <w:rPr>
          <w:rFonts w:ascii="仿宋_GB2312" w:eastAsia="仿宋_GB2312"/>
          <w:szCs w:val="21"/>
        </w:rPr>
      </w:pPr>
      <w:r>
        <w:rPr>
          <w:rFonts w:hint="eastAsia" w:ascii="仿宋_GB2312" w:eastAsia="仿宋_GB2312"/>
          <w:szCs w:val="21"/>
        </w:rPr>
        <w:t>无。</w:t>
      </w:r>
    </w:p>
    <w:p w14:paraId="5349B813">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14:paraId="605F7A5D">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14:paraId="340EFA01">
      <w:pPr>
        <w:jc w:val="left"/>
        <w:rPr>
          <w:rFonts w:ascii="仿宋_GB2312" w:eastAsia="仿宋_GB2312"/>
          <w:szCs w:val="21"/>
        </w:rPr>
      </w:pPr>
      <w:r>
        <w:rPr>
          <w:rFonts w:hint="eastAsia" w:ascii="仿宋_GB2312" w:eastAsia="仿宋_GB2312"/>
          <w:szCs w:val="21"/>
        </w:rPr>
        <w:t>以下费用在认购/申购/赎回基金过程中收取：</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268"/>
        <w:gridCol w:w="2835"/>
        <w:gridCol w:w="2268"/>
        <w:gridCol w:w="1701"/>
      </w:tblGrid>
      <w:tr w14:paraId="46D88AE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Align w:val="center"/>
          </w:tcPr>
          <w:p w14:paraId="2BA6CBE5">
            <w:pPr>
              <w:keepNext w:val="0"/>
              <w:keepLines w:val="0"/>
              <w:widowControl/>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费用类型</w:t>
            </w:r>
          </w:p>
        </w:tc>
        <w:tc>
          <w:tcPr>
            <w:tcW w:w="2835" w:type="dxa"/>
            <w:vAlign w:val="center"/>
          </w:tcPr>
          <w:p w14:paraId="17264BEC">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份额（S）或金额（M）/持有期限（N）</w:t>
            </w:r>
          </w:p>
        </w:tc>
        <w:tc>
          <w:tcPr>
            <w:tcW w:w="2268" w:type="dxa"/>
            <w:vAlign w:val="center"/>
          </w:tcPr>
          <w:p w14:paraId="7C5175AC">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收费方式/费率</w:t>
            </w:r>
          </w:p>
        </w:tc>
        <w:tc>
          <w:tcPr>
            <w:tcW w:w="1701" w:type="dxa"/>
            <w:vAlign w:val="center"/>
          </w:tcPr>
          <w:p w14:paraId="7D49A88D">
            <w:pPr>
              <w:keepNext w:val="0"/>
              <w:keepLines w:val="0"/>
              <w:widowControl/>
              <w:suppressLineNumbers w:val="0"/>
              <w:spacing w:before="0" w:beforeAutospacing="0" w:after="0" w:afterAutospacing="0"/>
              <w:ind w:left="0" w:right="0"/>
              <w:jc w:val="left"/>
              <w:rPr>
                <w:rFonts w:hint="default" w:ascii="仿宋_GB2312" w:eastAsia="仿宋_GB2312"/>
                <w:szCs w:val="21"/>
              </w:rPr>
            </w:pPr>
            <w:r>
              <w:rPr>
                <w:rFonts w:hint="eastAsia" w:ascii="仿宋_GB2312" w:hAnsi="宋体" w:eastAsia="仿宋_GB2312" w:cs="宋体"/>
                <w:kern w:val="0"/>
                <w:szCs w:val="21"/>
              </w:rPr>
              <w:t>备注</w:t>
            </w:r>
          </w:p>
        </w:tc>
      </w:tr>
      <w:tr w14:paraId="1E9C0918">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restart"/>
            <w:vAlign w:val="center"/>
          </w:tcPr>
          <w:p w14:paraId="73529CD2">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认购费</w:t>
            </w:r>
          </w:p>
        </w:tc>
        <w:tc>
          <w:tcPr>
            <w:tcW w:w="2835" w:type="dxa"/>
          </w:tcPr>
          <w:p w14:paraId="3C52B110">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M＜</w:t>
            </w:r>
            <w:r>
              <w:rPr>
                <w:rFonts w:hint="default" w:ascii="仿宋_GB2312" w:eastAsia="仿宋_GB2312"/>
                <w:szCs w:val="21"/>
              </w:rPr>
              <w:t>100</w:t>
            </w:r>
            <w:r>
              <w:rPr>
                <w:rFonts w:hint="eastAsia" w:ascii="仿宋_GB2312" w:eastAsia="仿宋_GB2312"/>
                <w:szCs w:val="21"/>
                <w:lang w:val="en-US" w:eastAsia="zh-CN"/>
              </w:rPr>
              <w:t>0</w:t>
            </w:r>
            <w:r>
              <w:rPr>
                <w:rFonts w:hint="eastAsia" w:ascii="仿宋_GB2312" w:eastAsia="仿宋_GB2312"/>
                <w:szCs w:val="21"/>
              </w:rPr>
              <w:t>万元</w:t>
            </w:r>
          </w:p>
        </w:tc>
        <w:tc>
          <w:tcPr>
            <w:tcW w:w="2268" w:type="dxa"/>
          </w:tcPr>
          <w:p w14:paraId="33DEF058">
            <w:pPr>
              <w:keepNext w:val="0"/>
              <w:keepLines w:val="0"/>
              <w:suppressLineNumbers w:val="0"/>
              <w:spacing w:before="0" w:beforeAutospacing="0" w:after="0" w:afterAutospacing="0"/>
              <w:ind w:left="0" w:right="0"/>
              <w:rPr>
                <w:rFonts w:hint="default" w:ascii="仿宋_GB2312" w:eastAsia="仿宋_GB2312"/>
                <w:szCs w:val="21"/>
              </w:rPr>
            </w:pPr>
            <w:r>
              <w:rPr>
                <w:rFonts w:hint="default" w:ascii="仿宋_GB2312" w:eastAsia="仿宋_GB2312"/>
                <w:szCs w:val="21"/>
              </w:rPr>
              <w:t>0.</w:t>
            </w:r>
            <w:r>
              <w:rPr>
                <w:rFonts w:hint="eastAsia" w:ascii="仿宋_GB2312" w:eastAsia="仿宋_GB2312"/>
                <w:szCs w:val="21"/>
                <w:lang w:val="en-US" w:eastAsia="zh-CN"/>
              </w:rPr>
              <w:t>3</w:t>
            </w:r>
            <w:r>
              <w:rPr>
                <w:rFonts w:hint="default" w:ascii="仿宋_GB2312" w:eastAsia="仿宋_GB2312"/>
                <w:szCs w:val="21"/>
              </w:rPr>
              <w:t>%</w:t>
            </w:r>
          </w:p>
        </w:tc>
        <w:tc>
          <w:tcPr>
            <w:tcW w:w="1701" w:type="dxa"/>
            <w:vAlign w:val="center"/>
          </w:tcPr>
          <w:p w14:paraId="29AD07AF">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r>
      <w:tr w14:paraId="49489F47">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12151ADE">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tcPr>
          <w:p w14:paraId="7473ABE1">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lang w:val="en-US" w:eastAsia="zh-CN"/>
              </w:rPr>
              <w:t>10</w:t>
            </w:r>
            <w:r>
              <w:rPr>
                <w:rFonts w:hint="eastAsia" w:ascii="仿宋_GB2312" w:eastAsia="仿宋_GB2312"/>
                <w:szCs w:val="21"/>
              </w:rPr>
              <w:t>00万元≤M</w:t>
            </w:r>
          </w:p>
        </w:tc>
        <w:tc>
          <w:tcPr>
            <w:tcW w:w="2268" w:type="dxa"/>
          </w:tcPr>
          <w:p w14:paraId="60A10FC3">
            <w:pPr>
              <w:keepNext w:val="0"/>
              <w:keepLines w:val="0"/>
              <w:suppressLineNumbers w:val="0"/>
              <w:spacing w:before="0" w:beforeAutospacing="0" w:after="0" w:afterAutospacing="0"/>
              <w:ind w:left="0" w:right="0"/>
              <w:rPr>
                <w:rFonts w:hint="default" w:ascii="仿宋_GB2312" w:eastAsia="仿宋_GB2312"/>
                <w:szCs w:val="21"/>
              </w:rPr>
            </w:pPr>
            <w:r>
              <w:rPr>
                <w:rFonts w:hint="default" w:ascii="仿宋_GB2312" w:eastAsia="仿宋_GB2312"/>
                <w:szCs w:val="21"/>
              </w:rPr>
              <w:t>1000</w:t>
            </w:r>
            <w:r>
              <w:rPr>
                <w:rFonts w:hint="eastAsia" w:ascii="仿宋_GB2312" w:eastAsia="仿宋_GB2312"/>
                <w:szCs w:val="21"/>
              </w:rPr>
              <w:t>元每笔</w:t>
            </w:r>
          </w:p>
        </w:tc>
        <w:tc>
          <w:tcPr>
            <w:tcW w:w="1701" w:type="dxa"/>
            <w:vAlign w:val="center"/>
          </w:tcPr>
          <w:p w14:paraId="28E92355">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r>
      <w:tr w14:paraId="3A14473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restart"/>
            <w:vAlign w:val="center"/>
          </w:tcPr>
          <w:p w14:paraId="5FE1F11A">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申购费（前收费）</w:t>
            </w:r>
          </w:p>
        </w:tc>
        <w:tc>
          <w:tcPr>
            <w:tcW w:w="2835" w:type="dxa"/>
          </w:tcPr>
          <w:p w14:paraId="49EEA6CD">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M＜</w:t>
            </w:r>
            <w:r>
              <w:rPr>
                <w:rFonts w:hint="default" w:ascii="仿宋_GB2312" w:eastAsia="仿宋_GB2312"/>
                <w:szCs w:val="21"/>
              </w:rPr>
              <w:t>100</w:t>
            </w:r>
            <w:r>
              <w:rPr>
                <w:rFonts w:hint="eastAsia" w:ascii="仿宋_GB2312" w:eastAsia="仿宋_GB2312"/>
                <w:szCs w:val="21"/>
                <w:lang w:val="en-US" w:eastAsia="zh-CN"/>
              </w:rPr>
              <w:t>0</w:t>
            </w:r>
            <w:r>
              <w:rPr>
                <w:rFonts w:hint="eastAsia" w:ascii="仿宋_GB2312" w:eastAsia="仿宋_GB2312"/>
                <w:szCs w:val="21"/>
              </w:rPr>
              <w:t>万元</w:t>
            </w:r>
          </w:p>
        </w:tc>
        <w:tc>
          <w:tcPr>
            <w:tcW w:w="2268" w:type="dxa"/>
            <w:vAlign w:val="center"/>
          </w:tcPr>
          <w:p w14:paraId="53332050">
            <w:pPr>
              <w:keepNext w:val="0"/>
              <w:keepLines w:val="0"/>
              <w:suppressLineNumbers w:val="0"/>
              <w:spacing w:before="0" w:beforeAutospacing="0" w:after="0" w:afterAutospacing="0"/>
              <w:ind w:left="0" w:right="0"/>
              <w:rPr>
                <w:rFonts w:hint="default" w:ascii="仿宋_GB2312" w:eastAsia="仿宋_GB2312"/>
                <w:szCs w:val="21"/>
              </w:rPr>
            </w:pPr>
            <w:r>
              <w:rPr>
                <w:rFonts w:hint="default" w:ascii="仿宋_GB2312" w:eastAsia="仿宋_GB2312"/>
                <w:szCs w:val="21"/>
              </w:rPr>
              <w:t>0.</w:t>
            </w:r>
            <w:r>
              <w:rPr>
                <w:rFonts w:hint="eastAsia" w:ascii="仿宋_GB2312" w:eastAsia="仿宋_GB2312"/>
                <w:szCs w:val="21"/>
                <w:lang w:val="en-US" w:eastAsia="zh-CN"/>
              </w:rPr>
              <w:t>3</w:t>
            </w:r>
            <w:r>
              <w:rPr>
                <w:rFonts w:hint="eastAsia" w:ascii="仿宋_GB2312" w:eastAsia="仿宋_GB2312"/>
                <w:szCs w:val="21"/>
              </w:rPr>
              <w:t>%</w:t>
            </w:r>
          </w:p>
        </w:tc>
        <w:tc>
          <w:tcPr>
            <w:tcW w:w="1701" w:type="dxa"/>
            <w:vAlign w:val="center"/>
          </w:tcPr>
          <w:p w14:paraId="2DD5D045">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r>
      <w:tr w14:paraId="0DB36C23">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5A102114">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tcPr>
          <w:p w14:paraId="3C6D7224">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lang w:val="en-US" w:eastAsia="zh-CN"/>
              </w:rPr>
              <w:t>10</w:t>
            </w:r>
            <w:r>
              <w:rPr>
                <w:rFonts w:hint="eastAsia" w:ascii="仿宋_GB2312" w:eastAsia="仿宋_GB2312"/>
                <w:szCs w:val="21"/>
              </w:rPr>
              <w:t>00万元≤M</w:t>
            </w:r>
          </w:p>
        </w:tc>
        <w:tc>
          <w:tcPr>
            <w:tcW w:w="2268" w:type="dxa"/>
            <w:vAlign w:val="center"/>
          </w:tcPr>
          <w:p w14:paraId="0E6717F6">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1000元每笔</w:t>
            </w:r>
          </w:p>
        </w:tc>
        <w:tc>
          <w:tcPr>
            <w:tcW w:w="1701" w:type="dxa"/>
            <w:vAlign w:val="center"/>
          </w:tcPr>
          <w:p w14:paraId="07E4A3B1">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r>
      <w:tr w14:paraId="7D5987B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restart"/>
            <w:vAlign w:val="center"/>
          </w:tcPr>
          <w:p w14:paraId="25F4179A">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赎回费</w:t>
            </w:r>
          </w:p>
        </w:tc>
        <w:tc>
          <w:tcPr>
            <w:tcW w:w="2835" w:type="dxa"/>
          </w:tcPr>
          <w:p w14:paraId="5EF3827F">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N＜7天</w:t>
            </w:r>
          </w:p>
        </w:tc>
        <w:tc>
          <w:tcPr>
            <w:tcW w:w="2268" w:type="dxa"/>
            <w:vAlign w:val="center"/>
          </w:tcPr>
          <w:p w14:paraId="0CF8405B">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1</w:t>
            </w:r>
            <w:r>
              <w:rPr>
                <w:rFonts w:hint="default" w:ascii="仿宋_GB2312" w:eastAsia="仿宋_GB2312"/>
                <w:szCs w:val="21"/>
              </w:rPr>
              <w:t>.5</w:t>
            </w:r>
            <w:r>
              <w:rPr>
                <w:rFonts w:hint="eastAsia" w:ascii="仿宋_GB2312" w:eastAsia="仿宋_GB2312"/>
                <w:szCs w:val="21"/>
              </w:rPr>
              <w:t>%</w:t>
            </w:r>
          </w:p>
        </w:tc>
        <w:tc>
          <w:tcPr>
            <w:tcW w:w="1701" w:type="dxa"/>
            <w:vAlign w:val="center"/>
          </w:tcPr>
          <w:p w14:paraId="4F1B9FEE">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个人投资者</w:t>
            </w:r>
          </w:p>
        </w:tc>
      </w:tr>
      <w:tr w14:paraId="191E6DF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0E4C80E3">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tcPr>
          <w:p w14:paraId="00E1794A">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7天≤N</w:t>
            </w:r>
          </w:p>
        </w:tc>
        <w:tc>
          <w:tcPr>
            <w:tcW w:w="2268" w:type="dxa"/>
          </w:tcPr>
          <w:p w14:paraId="602A57EF">
            <w:pPr>
              <w:keepNext w:val="0"/>
              <w:keepLines w:val="0"/>
              <w:suppressLineNumbers w:val="0"/>
              <w:spacing w:before="0" w:beforeAutospacing="0" w:after="0" w:afterAutospacing="0"/>
              <w:ind w:left="0" w:right="0"/>
              <w:rPr>
                <w:rFonts w:hint="default" w:ascii="仿宋_GB2312" w:eastAsia="仿宋_GB2312"/>
                <w:szCs w:val="21"/>
              </w:rPr>
            </w:pPr>
            <w:r>
              <w:rPr>
                <w:rFonts w:hint="eastAsia" w:ascii="仿宋_GB2312" w:eastAsia="仿宋_GB2312"/>
                <w:szCs w:val="21"/>
              </w:rPr>
              <w:t>0%</w:t>
            </w:r>
          </w:p>
        </w:tc>
        <w:tc>
          <w:tcPr>
            <w:tcW w:w="1701" w:type="dxa"/>
            <w:vAlign w:val="center"/>
          </w:tcPr>
          <w:p w14:paraId="114FF582">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个人投资者</w:t>
            </w:r>
          </w:p>
        </w:tc>
      </w:tr>
      <w:tr w14:paraId="0FD3841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132F5CF5">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vAlign w:val="top"/>
          </w:tcPr>
          <w:p w14:paraId="18250D25">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N＜7天</w:t>
            </w:r>
          </w:p>
        </w:tc>
        <w:tc>
          <w:tcPr>
            <w:tcW w:w="2268" w:type="dxa"/>
            <w:vAlign w:val="center"/>
          </w:tcPr>
          <w:p w14:paraId="1A3C6CE6">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w:t>
            </w:r>
            <w:r>
              <w:rPr>
                <w:rFonts w:hint="default" w:ascii="仿宋_GB2312" w:eastAsia="仿宋_GB2312"/>
                <w:szCs w:val="21"/>
              </w:rPr>
              <w:t>.5</w:t>
            </w:r>
            <w:r>
              <w:rPr>
                <w:rFonts w:hint="eastAsia" w:ascii="仿宋_GB2312" w:eastAsia="仿宋_GB2312"/>
                <w:szCs w:val="21"/>
              </w:rPr>
              <w:t>%</w:t>
            </w:r>
          </w:p>
        </w:tc>
        <w:tc>
          <w:tcPr>
            <w:tcW w:w="1701" w:type="dxa"/>
            <w:vAlign w:val="center"/>
          </w:tcPr>
          <w:p w14:paraId="2D83A3C1">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机构投资者</w:t>
            </w:r>
          </w:p>
        </w:tc>
      </w:tr>
      <w:tr w14:paraId="56B6B6A3">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02923590">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vAlign w:val="top"/>
          </w:tcPr>
          <w:p w14:paraId="32CA8121">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7天≤N＜30天</w:t>
            </w:r>
          </w:p>
        </w:tc>
        <w:tc>
          <w:tcPr>
            <w:tcW w:w="2268" w:type="dxa"/>
            <w:vAlign w:val="top"/>
          </w:tcPr>
          <w:p w14:paraId="7736CF27">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1%</w:t>
            </w:r>
          </w:p>
        </w:tc>
        <w:tc>
          <w:tcPr>
            <w:tcW w:w="1701" w:type="dxa"/>
            <w:vAlign w:val="center"/>
          </w:tcPr>
          <w:p w14:paraId="19016A01">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机构投资者</w:t>
            </w:r>
          </w:p>
        </w:tc>
      </w:tr>
      <w:tr w14:paraId="62868B65">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268" w:type="dxa"/>
            <w:vMerge w:val="continue"/>
            <w:vAlign w:val="center"/>
          </w:tcPr>
          <w:p w14:paraId="35E81803">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p>
        </w:tc>
        <w:tc>
          <w:tcPr>
            <w:tcW w:w="2835" w:type="dxa"/>
            <w:vAlign w:val="top"/>
          </w:tcPr>
          <w:p w14:paraId="41627DE9">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30天≤N</w:t>
            </w:r>
          </w:p>
        </w:tc>
        <w:tc>
          <w:tcPr>
            <w:tcW w:w="2268" w:type="dxa"/>
            <w:vAlign w:val="center"/>
          </w:tcPr>
          <w:p w14:paraId="693C5CE2">
            <w:pPr>
              <w:keepNext w:val="0"/>
              <w:keepLines w:val="0"/>
              <w:suppressLineNumbers w:val="0"/>
              <w:spacing w:before="0" w:beforeAutospacing="0" w:after="0" w:afterAutospacing="0"/>
              <w:ind w:left="0" w:right="0"/>
              <w:rPr>
                <w:rFonts w:hint="eastAsia" w:ascii="仿宋_GB2312" w:eastAsia="仿宋_GB2312"/>
                <w:szCs w:val="21"/>
              </w:rPr>
            </w:pPr>
            <w:r>
              <w:rPr>
                <w:rFonts w:hint="eastAsia" w:ascii="仿宋_GB2312" w:eastAsia="仿宋_GB2312"/>
                <w:szCs w:val="21"/>
              </w:rPr>
              <w:t>0%</w:t>
            </w:r>
          </w:p>
        </w:tc>
        <w:tc>
          <w:tcPr>
            <w:tcW w:w="1701" w:type="dxa"/>
            <w:vAlign w:val="center"/>
          </w:tcPr>
          <w:p w14:paraId="477FC2E1">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Cs w:val="21"/>
              </w:rPr>
            </w:pPr>
            <w:r>
              <w:rPr>
                <w:rFonts w:hint="eastAsia" w:ascii="仿宋_GB2312" w:hAnsi="宋体" w:eastAsia="仿宋_GB2312" w:cs="宋体"/>
                <w:kern w:val="0"/>
                <w:szCs w:val="21"/>
              </w:rPr>
              <w:t>机构投资者</w:t>
            </w:r>
          </w:p>
        </w:tc>
      </w:tr>
    </w:tbl>
    <w:p w14:paraId="2547F6B8">
      <w:pPr>
        <w:jc w:val="left"/>
        <w:rPr>
          <w:rFonts w:ascii="仿宋_GB2312" w:eastAsia="仿宋_GB2312"/>
          <w:szCs w:val="21"/>
        </w:rPr>
      </w:pPr>
      <w:r>
        <w:rPr>
          <w:rFonts w:hint="eastAsia" w:ascii="仿宋_GB2312" w:eastAsia="仿宋_GB2312"/>
          <w:szCs w:val="21"/>
        </w:rPr>
        <w:t>注：1、通过直销机构认购/申购的A类基金份额，不收取认购/申购费用。</w:t>
      </w:r>
      <w:r>
        <w:rPr>
          <w:rFonts w:hint="eastAsia" w:ascii="仿宋_GB2312" w:eastAsia="仿宋_GB2312"/>
          <w:szCs w:val="21"/>
          <w:lang w:val="en-US" w:eastAsia="zh-CN"/>
        </w:rPr>
        <w:t>2</w:t>
      </w:r>
      <w:r>
        <w:rPr>
          <w:rFonts w:hint="eastAsia" w:ascii="仿宋_GB2312" w:eastAsia="仿宋_GB2312"/>
          <w:szCs w:val="21"/>
        </w:rPr>
        <w:t>、本基金对持续持有期少于7日的投资人收取1.5%的赎回费，请投资人予以关注。</w:t>
      </w:r>
      <w:r>
        <w:rPr>
          <w:rFonts w:hint="eastAsia" w:ascii="仿宋_GB2312" w:eastAsia="仿宋_GB2312"/>
          <w:szCs w:val="21"/>
          <w:lang w:val="en-US" w:eastAsia="zh-CN"/>
        </w:rPr>
        <w:t>3、</w:t>
      </w:r>
      <w:r>
        <w:rPr>
          <w:rFonts w:hint="eastAsia" w:ascii="仿宋_GB2312" w:eastAsia="仿宋_GB2312"/>
          <w:szCs w:val="21"/>
        </w:rPr>
        <w:t>销售机构若有其他费率优惠请见基金管理人或其他销售机构的有关公告或通知。</w:t>
      </w:r>
    </w:p>
    <w:p w14:paraId="38DDF020">
      <w:pPr>
        <w:jc w:val="left"/>
        <w:rPr>
          <w:rFonts w:ascii="仿宋_GB2312" w:eastAsia="仿宋_GB2312"/>
          <w:b/>
          <w:szCs w:val="21"/>
        </w:rPr>
      </w:pPr>
      <w:r>
        <w:rPr>
          <w:rFonts w:hint="eastAsia" w:ascii="仿宋_GB2312" w:eastAsia="仿宋_GB2312"/>
          <w:b/>
          <w:szCs w:val="21"/>
        </w:rPr>
        <w:t>（二）基金运作相关费用</w:t>
      </w:r>
    </w:p>
    <w:p w14:paraId="4816B93A">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14:paraId="478E666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PrEx>
        <w:trPr>
          <w:jc w:val="center"/>
        </w:trPr>
        <w:tc>
          <w:tcPr>
            <w:tcW w:w="2400" w:type="dxa"/>
          </w:tcPr>
          <w:p w14:paraId="7409C1A0">
            <w:pPr>
              <w:keepNext w:val="0"/>
              <w:keepLines w:val="0"/>
              <w:suppressLineNumbers w:val="0"/>
              <w:spacing w:before="0" w:beforeAutospacing="0" w:after="0" w:afterAutospacing="0"/>
              <w:ind w:left="0" w:right="0"/>
              <w:rPr>
                <w:rFonts w:hint="default" w:ascii="仿宋_GB2312" w:eastAsia="仿宋_GB2312"/>
                <w:b/>
                <w:kern w:val="0"/>
                <w:szCs w:val="21"/>
              </w:rPr>
            </w:pPr>
            <w:r>
              <w:rPr>
                <w:rFonts w:hint="eastAsia" w:ascii="仿宋_GB2312" w:eastAsia="仿宋_GB2312"/>
                <w:b/>
                <w:kern w:val="0"/>
                <w:sz w:val="20"/>
                <w:szCs w:val="21"/>
              </w:rPr>
              <w:t>费用类别</w:t>
            </w:r>
          </w:p>
        </w:tc>
        <w:tc>
          <w:tcPr>
            <w:tcW w:w="3935" w:type="dxa"/>
            <w:vAlign w:val="center"/>
          </w:tcPr>
          <w:p w14:paraId="358E191C">
            <w:pPr>
              <w:keepNext w:val="0"/>
              <w:keepLines w:val="0"/>
              <w:suppressLineNumbers w:val="0"/>
              <w:spacing w:before="0" w:beforeAutospacing="0" w:after="0" w:afterAutospacing="0"/>
              <w:ind w:left="0" w:right="0"/>
              <w:rPr>
                <w:rFonts w:hint="default" w:ascii="仿宋_GB2312" w:eastAsia="仿宋_GB2312"/>
                <w:b/>
                <w:kern w:val="0"/>
                <w:szCs w:val="21"/>
              </w:rPr>
            </w:pPr>
            <w:r>
              <w:rPr>
                <w:rFonts w:hint="eastAsia" w:ascii="仿宋_GB2312" w:hAnsi="宋体" w:eastAsia="仿宋_GB2312" w:cs="宋体"/>
                <w:b/>
                <w:kern w:val="0"/>
                <w:sz w:val="20"/>
                <w:szCs w:val="21"/>
              </w:rPr>
              <w:t>收费方式</w:t>
            </w:r>
            <w:r>
              <w:rPr>
                <w:rFonts w:hint="default" w:ascii="仿宋_GB2312" w:eastAsia="仿宋_GB2312" w:cs="FZFSJW--GB1-0"/>
                <w:b/>
                <w:kern w:val="0"/>
                <w:sz w:val="20"/>
                <w:szCs w:val="21"/>
              </w:rPr>
              <w:t>/</w:t>
            </w:r>
            <w:r>
              <w:rPr>
                <w:rFonts w:hint="eastAsia" w:ascii="仿宋_GB2312" w:hAnsi="宋体" w:eastAsia="仿宋_GB2312" w:cs="宋体"/>
                <w:b/>
                <w:kern w:val="0"/>
                <w:sz w:val="20"/>
                <w:szCs w:val="21"/>
              </w:rPr>
              <w:t>年费率或金额</w:t>
            </w:r>
          </w:p>
        </w:tc>
        <w:tc>
          <w:tcPr>
            <w:tcW w:w="3068" w:type="dxa"/>
            <w:vAlign w:val="center"/>
          </w:tcPr>
          <w:p w14:paraId="469DB6A6">
            <w:pPr>
              <w:keepNext w:val="0"/>
              <w:keepLines w:val="0"/>
              <w:suppressLineNumbers w:val="0"/>
              <w:spacing w:before="0" w:beforeAutospacing="0" w:after="0" w:afterAutospacing="0"/>
              <w:ind w:left="0" w:right="0"/>
              <w:rPr>
                <w:rFonts w:hint="default" w:ascii="仿宋_GB2312" w:hAnsi="宋体" w:eastAsia="仿宋_GB2312" w:cs="宋体"/>
                <w:b/>
                <w:kern w:val="0"/>
                <w:szCs w:val="21"/>
              </w:rPr>
            </w:pPr>
            <w:r>
              <w:rPr>
                <w:rFonts w:hint="eastAsia" w:ascii="仿宋_GB2312" w:hAnsi="宋体" w:eastAsia="仿宋_GB2312" w:cs="宋体"/>
                <w:b/>
                <w:kern w:val="0"/>
                <w:sz w:val="20"/>
                <w:szCs w:val="21"/>
              </w:rPr>
              <w:t>收取方</w:t>
            </w:r>
          </w:p>
        </w:tc>
      </w:tr>
      <w:tr w14:paraId="4C11F51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1FB2D20A">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管理费</w:t>
            </w:r>
          </w:p>
        </w:tc>
        <w:tc>
          <w:tcPr>
            <w:tcW w:w="3935" w:type="dxa"/>
            <w:vAlign w:val="center"/>
          </w:tcPr>
          <w:p w14:paraId="16B9948E">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0.5%</w:t>
            </w:r>
          </w:p>
        </w:tc>
        <w:tc>
          <w:tcPr>
            <w:tcW w:w="3068" w:type="dxa"/>
            <w:vAlign w:val="center"/>
          </w:tcPr>
          <w:p w14:paraId="260A5277">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基金管理人和销售机构</w:t>
            </w:r>
          </w:p>
        </w:tc>
      </w:tr>
      <w:tr w14:paraId="2E96BFE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090986C3">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托管费</w:t>
            </w:r>
          </w:p>
        </w:tc>
        <w:tc>
          <w:tcPr>
            <w:tcW w:w="3935" w:type="dxa"/>
            <w:vAlign w:val="center"/>
          </w:tcPr>
          <w:p w14:paraId="3BE80063">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0.1%</w:t>
            </w:r>
          </w:p>
        </w:tc>
        <w:tc>
          <w:tcPr>
            <w:tcW w:w="3068" w:type="dxa"/>
            <w:vAlign w:val="center"/>
          </w:tcPr>
          <w:p w14:paraId="6E5654C8">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基金托管人</w:t>
            </w:r>
          </w:p>
        </w:tc>
      </w:tr>
      <w:tr w14:paraId="16A082D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5FD972B8">
            <w:pPr>
              <w:keepNext w:val="0"/>
              <w:keepLines w:val="0"/>
              <w:suppressLineNumbers w:val="0"/>
              <w:spacing w:before="0" w:beforeAutospacing="0" w:after="0" w:afterAutospacing="0"/>
              <w:ind w:left="0" w:right="0"/>
              <w:jc w:val="left"/>
              <w:rPr>
                <w:rFonts w:hint="default" w:ascii="仿宋_GB2312" w:eastAsia="仿宋_GB2312"/>
                <w:kern w:val="0"/>
                <w:szCs w:val="21"/>
              </w:rPr>
            </w:pPr>
            <w:r>
              <w:rPr>
                <w:rFonts w:hint="eastAsia" w:ascii="仿宋_GB2312" w:eastAsia="仿宋_GB2312"/>
                <w:kern w:val="0"/>
                <w:sz w:val="20"/>
                <w:szCs w:val="21"/>
              </w:rPr>
              <w:t>销售服务费</w:t>
            </w:r>
          </w:p>
        </w:tc>
        <w:tc>
          <w:tcPr>
            <w:tcW w:w="3935" w:type="dxa"/>
            <w:vAlign w:val="center"/>
          </w:tcPr>
          <w:p w14:paraId="026FD988">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w:t>
            </w:r>
          </w:p>
        </w:tc>
        <w:tc>
          <w:tcPr>
            <w:tcW w:w="3068" w:type="dxa"/>
            <w:vAlign w:val="center"/>
          </w:tcPr>
          <w:p w14:paraId="570B64E9">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销售机构</w:t>
            </w:r>
          </w:p>
        </w:tc>
      </w:tr>
      <w:tr w14:paraId="266119D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5C5F27EC">
            <w:pPr>
              <w:keepNext w:val="0"/>
              <w:keepLines w:val="0"/>
              <w:suppressLineNumbers w:val="0"/>
              <w:spacing w:before="0" w:beforeAutospacing="0" w:after="0" w:afterAutospacing="0"/>
              <w:ind w:left="0" w:right="0"/>
              <w:jc w:val="left"/>
              <w:rPr>
                <w:rFonts w:hint="default" w:ascii="仿宋_GB2312" w:eastAsia="仿宋_GB2312"/>
                <w:kern w:val="0"/>
                <w:szCs w:val="21"/>
              </w:rPr>
            </w:pPr>
            <w:r>
              <w:rPr>
                <w:rFonts w:hint="eastAsia" w:ascii="仿宋_GB2312" w:eastAsia="仿宋_GB2312"/>
                <w:kern w:val="0"/>
                <w:sz w:val="20"/>
                <w:szCs w:val="21"/>
              </w:rPr>
              <w:t>审计费用</w:t>
            </w:r>
          </w:p>
        </w:tc>
        <w:tc>
          <w:tcPr>
            <w:tcW w:w="3935" w:type="dxa"/>
            <w:vAlign w:val="center"/>
          </w:tcPr>
          <w:p w14:paraId="7DA95F34">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w:t>
            </w:r>
          </w:p>
        </w:tc>
        <w:tc>
          <w:tcPr>
            <w:tcW w:w="3068" w:type="dxa"/>
            <w:vAlign w:val="center"/>
          </w:tcPr>
          <w:p w14:paraId="19A18EF2">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会计师事务所</w:t>
            </w:r>
          </w:p>
        </w:tc>
      </w:tr>
      <w:tr w14:paraId="79782DA6">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0EFD62A3">
            <w:pPr>
              <w:keepNext w:val="0"/>
              <w:keepLines w:val="0"/>
              <w:suppressLineNumbers w:val="0"/>
              <w:spacing w:before="0" w:beforeAutospacing="0" w:after="0" w:afterAutospacing="0"/>
              <w:ind w:left="0" w:right="0"/>
              <w:jc w:val="left"/>
              <w:rPr>
                <w:rFonts w:hint="default" w:ascii="仿宋_GB2312" w:eastAsia="仿宋_GB2312"/>
                <w:kern w:val="0"/>
                <w:szCs w:val="21"/>
              </w:rPr>
            </w:pPr>
            <w:r>
              <w:rPr>
                <w:rFonts w:hint="eastAsia" w:ascii="仿宋_GB2312" w:eastAsia="仿宋_GB2312"/>
                <w:kern w:val="0"/>
                <w:sz w:val="20"/>
                <w:szCs w:val="21"/>
              </w:rPr>
              <w:t>信息披露费</w:t>
            </w:r>
          </w:p>
        </w:tc>
        <w:tc>
          <w:tcPr>
            <w:tcW w:w="3935" w:type="dxa"/>
            <w:vAlign w:val="center"/>
          </w:tcPr>
          <w:p w14:paraId="29A21263">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w:t>
            </w:r>
          </w:p>
        </w:tc>
        <w:tc>
          <w:tcPr>
            <w:tcW w:w="3068" w:type="dxa"/>
            <w:vAlign w:val="center"/>
          </w:tcPr>
          <w:p w14:paraId="72A7AB3C">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规定披露报刊</w:t>
            </w:r>
          </w:p>
        </w:tc>
      </w:tr>
      <w:tr w14:paraId="547B08F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675C4FE8">
            <w:pPr>
              <w:keepNext w:val="0"/>
              <w:keepLines w:val="0"/>
              <w:suppressLineNumbers w:val="0"/>
              <w:spacing w:before="0" w:beforeAutospacing="0" w:after="0" w:afterAutospacing="0"/>
              <w:ind w:left="0" w:right="0"/>
              <w:jc w:val="left"/>
              <w:rPr>
                <w:rFonts w:hint="default" w:ascii="仿宋_GB2312" w:eastAsia="仿宋_GB2312"/>
                <w:kern w:val="0"/>
                <w:szCs w:val="21"/>
              </w:rPr>
            </w:pPr>
            <w:r>
              <w:rPr>
                <w:rFonts w:hint="eastAsia" w:ascii="仿宋_GB2312" w:eastAsia="仿宋_GB2312"/>
                <w:kern w:val="0"/>
                <w:sz w:val="20"/>
                <w:szCs w:val="21"/>
              </w:rPr>
              <w:t>指数许可使用费</w:t>
            </w:r>
          </w:p>
        </w:tc>
        <w:tc>
          <w:tcPr>
            <w:tcW w:w="3935" w:type="dxa"/>
            <w:vAlign w:val="center"/>
          </w:tcPr>
          <w:p w14:paraId="41F226AA">
            <w:pPr>
              <w:keepNext w:val="0"/>
              <w:keepLines w:val="0"/>
              <w:suppressLineNumbers w:val="0"/>
              <w:spacing w:before="0" w:beforeAutospacing="0" w:after="0" w:afterAutospacing="0"/>
              <w:ind w:left="0" w:right="0"/>
              <w:rPr>
                <w:rFonts w:hint="default" w:ascii="仿宋_GB2312" w:eastAsia="仿宋_GB2312"/>
                <w:kern w:val="0"/>
                <w:szCs w:val="21"/>
              </w:rPr>
            </w:pPr>
            <w:r>
              <w:rPr>
                <w:rFonts w:hint="default" w:ascii="仿宋_GB2312" w:eastAsia="仿宋_GB2312"/>
                <w:kern w:val="0"/>
                <w:sz w:val="20"/>
                <w:szCs w:val="21"/>
              </w:rPr>
              <w:t>-</w:t>
            </w:r>
          </w:p>
        </w:tc>
        <w:tc>
          <w:tcPr>
            <w:tcW w:w="3068" w:type="dxa"/>
            <w:vAlign w:val="center"/>
          </w:tcPr>
          <w:p w14:paraId="74794D41">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指数编制公司</w:t>
            </w:r>
          </w:p>
        </w:tc>
      </w:tr>
      <w:tr w14:paraId="2162FF27">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14:paraId="3614B0FC">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其他费用</w:t>
            </w:r>
          </w:p>
        </w:tc>
        <w:tc>
          <w:tcPr>
            <w:tcW w:w="3935" w:type="dxa"/>
            <w:vAlign w:val="center"/>
          </w:tcPr>
          <w:p w14:paraId="26209F95">
            <w:pPr>
              <w:keepNext w:val="0"/>
              <w:keepLines w:val="0"/>
              <w:suppressLineNumbers w:val="0"/>
              <w:spacing w:before="0" w:beforeAutospacing="0" w:after="0" w:afterAutospacing="0"/>
              <w:ind w:left="0" w:right="0"/>
              <w:rPr>
                <w:rFonts w:hint="default" w:ascii="仿宋_GB2312" w:eastAsia="仿宋_GB2312"/>
                <w:kern w:val="0"/>
                <w:szCs w:val="21"/>
              </w:rPr>
            </w:pPr>
            <w:r>
              <w:rPr>
                <w:rFonts w:hint="eastAsia" w:ascii="仿宋_GB2312" w:eastAsia="仿宋_GB2312"/>
                <w:kern w:val="0"/>
                <w:sz w:val="20"/>
                <w:szCs w:val="21"/>
              </w:rPr>
              <w:t>详见本基金招募说明书“基金的费用与税收”部分</w:t>
            </w:r>
          </w:p>
        </w:tc>
        <w:tc>
          <w:tcPr>
            <w:tcW w:w="3068" w:type="dxa"/>
            <w:vAlign w:val="center"/>
          </w:tcPr>
          <w:p w14:paraId="438E8E76">
            <w:pPr>
              <w:keepNext w:val="0"/>
              <w:keepLines w:val="0"/>
              <w:suppressLineNumbers w:val="0"/>
              <w:spacing w:before="0" w:beforeAutospacing="0" w:after="0" w:afterAutospacing="0"/>
              <w:ind w:left="0" w:right="0"/>
              <w:rPr>
                <w:rFonts w:hint="default" w:ascii="仿宋_GB2312" w:eastAsia="仿宋_GB2312"/>
                <w:kern w:val="0"/>
                <w:szCs w:val="21"/>
              </w:rPr>
            </w:pPr>
          </w:p>
        </w:tc>
      </w:tr>
    </w:tbl>
    <w:p w14:paraId="16AE1AF7">
      <w:pPr>
        <w:jc w:val="left"/>
        <w:rPr>
          <w:rFonts w:ascii="仿宋_GB2312" w:eastAsia="仿宋_GB2312"/>
          <w:szCs w:val="21"/>
        </w:rPr>
      </w:pPr>
      <w:r>
        <w:rPr>
          <w:rFonts w:hint="eastAsia" w:ascii="仿宋_GB2312" w:eastAsia="仿宋_GB2312"/>
          <w:szCs w:val="21"/>
        </w:rPr>
        <w:t>注：1、本基金基金财产中持有的基金管理人自身管理的基金部分不收取管理费；持有的基金托管人自身托管的基金部分不收取托管费。2、本基金交易证券、基金等产生的费用和税负，按实际发生额从基金资产扣除。</w:t>
      </w:r>
    </w:p>
    <w:p w14:paraId="2883CA18">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14:paraId="028890FB">
      <w:pPr>
        <w:jc w:val="left"/>
        <w:rPr>
          <w:rFonts w:ascii="仿宋_GB2312" w:eastAsia="仿宋_GB2312"/>
          <w:b/>
          <w:szCs w:val="21"/>
        </w:rPr>
      </w:pPr>
      <w:r>
        <w:rPr>
          <w:rFonts w:hint="eastAsia" w:ascii="仿宋_GB2312" w:eastAsia="仿宋_GB2312"/>
          <w:b/>
          <w:szCs w:val="21"/>
        </w:rPr>
        <w:t>（一）风险揭示</w:t>
      </w:r>
    </w:p>
    <w:p w14:paraId="5A4C2D9B">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14:paraId="72EEB530">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14:paraId="1EED83A8">
      <w:pPr>
        <w:ind w:firstLine="420"/>
        <w:jc w:val="left"/>
        <w:rPr>
          <w:rFonts w:ascii="仿宋_GB2312" w:eastAsia="仿宋_GB2312"/>
          <w:szCs w:val="21"/>
        </w:rPr>
      </w:pPr>
      <w:r>
        <w:rPr>
          <w:rFonts w:hint="eastAsia" w:ascii="仿宋_GB2312" w:eastAsia="仿宋_GB2312"/>
          <w:szCs w:val="21"/>
        </w:rPr>
        <w:t>基金份额持有人须了解并承受以下风险：</w:t>
      </w:r>
    </w:p>
    <w:p w14:paraId="14308712">
      <w:pPr>
        <w:ind w:firstLine="420"/>
        <w:jc w:val="left"/>
        <w:rPr>
          <w:rFonts w:ascii="仿宋_GB2312" w:eastAsia="仿宋_GB2312"/>
          <w:szCs w:val="21"/>
        </w:rPr>
      </w:pPr>
      <w:r>
        <w:rPr>
          <w:rFonts w:hint="eastAsia" w:ascii="仿宋_GB2312" w:eastAsia="仿宋_GB2312"/>
          <w:szCs w:val="21"/>
        </w:rPr>
        <w:t>1、市场风险</w:t>
      </w:r>
    </w:p>
    <w:p w14:paraId="048902F3">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14:paraId="0435D59F">
      <w:pPr>
        <w:ind w:firstLine="420"/>
        <w:jc w:val="left"/>
        <w:rPr>
          <w:rFonts w:ascii="仿宋_GB2312" w:eastAsia="仿宋_GB2312"/>
          <w:szCs w:val="21"/>
        </w:rPr>
      </w:pPr>
      <w:r>
        <w:rPr>
          <w:rFonts w:hint="eastAsia" w:ascii="仿宋_GB2312" w:eastAsia="仿宋_GB2312"/>
          <w:szCs w:val="21"/>
        </w:rPr>
        <w:t>2、管理风险</w:t>
      </w:r>
    </w:p>
    <w:p w14:paraId="45D13F20">
      <w:pPr>
        <w:ind w:firstLine="420"/>
        <w:jc w:val="left"/>
        <w:rPr>
          <w:rFonts w:ascii="仿宋_GB2312" w:eastAsia="仿宋_GB2312"/>
          <w:szCs w:val="21"/>
        </w:rPr>
      </w:pPr>
      <w:r>
        <w:rPr>
          <w:rFonts w:hint="eastAsia" w:ascii="仿宋_GB2312" w:eastAsia="仿宋_GB2312"/>
          <w:szCs w:val="21"/>
        </w:rPr>
        <w:t>3、流动性风险</w:t>
      </w:r>
    </w:p>
    <w:p w14:paraId="4F2D400F">
      <w:pPr>
        <w:ind w:firstLine="420"/>
        <w:jc w:val="left"/>
        <w:rPr>
          <w:rFonts w:ascii="仿宋_GB2312" w:eastAsia="仿宋_GB2312"/>
          <w:szCs w:val="21"/>
        </w:rPr>
      </w:pPr>
      <w:r>
        <w:rPr>
          <w:rFonts w:hint="eastAsia" w:ascii="仿宋_GB2312" w:eastAsia="仿宋_GB2312"/>
          <w:szCs w:val="21"/>
        </w:rPr>
        <w:t>4、信用风险</w:t>
      </w:r>
    </w:p>
    <w:p w14:paraId="74DD9D35">
      <w:pPr>
        <w:ind w:firstLine="420"/>
        <w:jc w:val="left"/>
        <w:rPr>
          <w:rFonts w:ascii="仿宋_GB2312" w:eastAsia="仿宋_GB2312"/>
          <w:szCs w:val="21"/>
        </w:rPr>
      </w:pPr>
      <w:r>
        <w:rPr>
          <w:rFonts w:hint="eastAsia" w:ascii="仿宋_GB2312" w:eastAsia="仿宋_GB2312"/>
          <w:szCs w:val="21"/>
        </w:rPr>
        <w:t>5、本基金的特有风险</w:t>
      </w:r>
    </w:p>
    <w:p w14:paraId="03B79996">
      <w:pPr>
        <w:ind w:firstLine="420"/>
        <w:jc w:val="left"/>
        <w:rPr>
          <w:rFonts w:ascii="仿宋_GB2312" w:eastAsia="仿宋_GB2312"/>
          <w:szCs w:val="21"/>
        </w:rPr>
      </w:pPr>
      <w:r>
        <w:rPr>
          <w:rFonts w:hint="eastAsia" w:ascii="仿宋_GB2312" w:eastAsia="仿宋_GB2312"/>
          <w:szCs w:val="21"/>
        </w:rPr>
        <w:t>（1）本基金为债券型基金，投资于债券资产的比例不低于基金资产的80%，因投资固定收益类资产而面临固定收益类资产市场的系统性风险和个券风险；</w:t>
      </w:r>
    </w:p>
    <w:p w14:paraId="185552F6">
      <w:pPr>
        <w:ind w:firstLine="420"/>
        <w:jc w:val="left"/>
        <w:rPr>
          <w:rFonts w:ascii="仿宋_GB2312" w:eastAsia="仿宋_GB2312"/>
          <w:szCs w:val="21"/>
        </w:rPr>
      </w:pPr>
      <w:r>
        <w:rPr>
          <w:rFonts w:hint="eastAsia" w:ascii="仿宋_GB2312" w:eastAsia="仿宋_GB2312"/>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62B5CA45">
      <w:pPr>
        <w:ind w:firstLine="420"/>
        <w:jc w:val="left"/>
        <w:rPr>
          <w:rFonts w:ascii="仿宋_GB2312" w:eastAsia="仿宋_GB2312"/>
          <w:szCs w:val="21"/>
        </w:rPr>
      </w:pPr>
      <w:r>
        <w:rPr>
          <w:rFonts w:hint="eastAsia" w:ascii="仿宋_GB2312" w:eastAsia="仿宋_GB2312"/>
          <w:szCs w:val="21"/>
        </w:rPr>
        <w:t>（3）本基金在主要投资于债券类资产的同时也积极关注股票市场的投资机会，会因投资权益类资产而面临权益类资产市场的系统性风险和个券风险；</w:t>
      </w:r>
    </w:p>
    <w:p w14:paraId="0A6D1968">
      <w:pPr>
        <w:ind w:firstLine="420"/>
        <w:jc w:val="left"/>
        <w:rPr>
          <w:rFonts w:ascii="仿宋_GB2312" w:eastAsia="仿宋_GB2312"/>
          <w:szCs w:val="21"/>
        </w:rPr>
      </w:pPr>
      <w:r>
        <w:rPr>
          <w:rFonts w:hint="eastAsia" w:ascii="仿宋_GB2312" w:eastAsia="仿宋_GB2312"/>
          <w:szCs w:val="21"/>
        </w:rPr>
        <w:t>（4）投资其他基金的特定风险</w:t>
      </w:r>
    </w:p>
    <w:p w14:paraId="77691F6F">
      <w:pPr>
        <w:ind w:firstLine="420"/>
        <w:jc w:val="left"/>
        <w:rPr>
          <w:rFonts w:ascii="仿宋_GB2312" w:eastAsia="仿宋_GB2312"/>
          <w:szCs w:val="21"/>
        </w:rPr>
      </w:pPr>
      <w:r>
        <w:rPr>
          <w:rFonts w:hint="eastAsia" w:ascii="仿宋_GB2312" w:eastAsia="仿宋_GB2312"/>
          <w:szCs w:val="21"/>
        </w:rPr>
        <w:t>本基金可以投资经中国证监会依法核准或注册的公开募集证券投资基金（仅包含全市场的股票型ETF（含可投资境外市场的ETF）、公开募集不动产投资信托基金（以下简称“公募REITs”）及本基金管理人管理的股票型基金、计入权益类资产的混合型基金，不含香港互认基金、QDII基金（可投资境外市场的股票型ETF除外）、基金中基金和其他投资范围包含基金的基金、货币市场基金），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6D71B898">
      <w:pPr>
        <w:ind w:firstLine="420"/>
        <w:jc w:val="left"/>
        <w:rPr>
          <w:rFonts w:ascii="仿宋_GB2312" w:eastAsia="仿宋_GB2312"/>
          <w:szCs w:val="21"/>
        </w:rPr>
      </w:pPr>
      <w:r>
        <w:rPr>
          <w:rFonts w:hint="eastAsia" w:ascii="仿宋_GB2312" w:eastAsia="仿宋_GB2312"/>
          <w:szCs w:val="21"/>
        </w:rPr>
        <w:t>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6D2B546C">
      <w:pPr>
        <w:ind w:firstLine="420"/>
        <w:jc w:val="left"/>
        <w:rPr>
          <w:rFonts w:ascii="仿宋_GB2312" w:eastAsia="仿宋_GB2312"/>
          <w:szCs w:val="21"/>
        </w:rPr>
      </w:pPr>
      <w:r>
        <w:rPr>
          <w:rFonts w:hint="eastAsia" w:ascii="仿宋_GB2312" w:eastAsia="仿宋_GB2312"/>
          <w:szCs w:val="21"/>
        </w:rPr>
        <w:t>（5）投资可上市交易基金的二级市场风险</w:t>
      </w:r>
    </w:p>
    <w:p w14:paraId="7D2D145F">
      <w:pPr>
        <w:ind w:firstLine="420"/>
        <w:jc w:val="left"/>
        <w:rPr>
          <w:rFonts w:ascii="仿宋_GB2312" w:eastAsia="仿宋_GB2312"/>
          <w:szCs w:val="21"/>
        </w:rPr>
      </w:pPr>
      <w:r>
        <w:rPr>
          <w:rFonts w:hint="eastAsia" w:ascii="仿宋_GB2312" w:eastAsia="仿宋_GB2312"/>
          <w:szCs w:val="21"/>
        </w:rPr>
        <w:t>本基金可通过二级市场进行ETF的买卖交易，由此可能面临交易量不足所引起的流动性风险、交易价格与基金份额净值之间的折溢价风险以及被投资基金暂停交易或退市的风险等。</w:t>
      </w:r>
    </w:p>
    <w:p w14:paraId="56FE4FA6">
      <w:pPr>
        <w:ind w:firstLine="420"/>
        <w:jc w:val="left"/>
        <w:rPr>
          <w:rFonts w:ascii="仿宋_GB2312" w:eastAsia="仿宋_GB2312"/>
          <w:szCs w:val="21"/>
        </w:rPr>
      </w:pPr>
      <w:r>
        <w:rPr>
          <w:rFonts w:hint="eastAsia" w:ascii="仿宋_GB2312" w:eastAsia="仿宋_GB2312"/>
          <w:szCs w:val="21"/>
        </w:rPr>
        <w:t>（6）本基金可投资创业板股票，创业板个股上市后的前五个交易日不设价格涨跌幅限制，第六个交易日开始涨跌幅限制比例为20%。</w:t>
      </w:r>
    </w:p>
    <w:p w14:paraId="1E6B8291">
      <w:pPr>
        <w:ind w:firstLine="420"/>
        <w:jc w:val="left"/>
        <w:rPr>
          <w:rFonts w:ascii="仿宋_GB2312" w:eastAsia="仿宋_GB2312"/>
          <w:szCs w:val="21"/>
        </w:rPr>
      </w:pPr>
      <w:r>
        <w:rPr>
          <w:rFonts w:hint="eastAsia" w:ascii="仿宋_GB2312" w:eastAsia="仿宋_GB2312"/>
          <w:szCs w:val="21"/>
        </w:rPr>
        <w:t>（7）投资资产支持证券的特定风险</w:t>
      </w:r>
    </w:p>
    <w:p w14:paraId="46FAD73D">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1AA41F21">
      <w:pPr>
        <w:ind w:firstLine="420"/>
        <w:jc w:val="left"/>
        <w:rPr>
          <w:rFonts w:ascii="仿宋_GB2312" w:eastAsia="仿宋_GB2312"/>
          <w:szCs w:val="21"/>
        </w:rPr>
      </w:pPr>
      <w:r>
        <w:rPr>
          <w:rFonts w:hint="eastAsia" w:ascii="仿宋_GB2312" w:eastAsia="仿宋_GB2312"/>
          <w:szCs w:val="21"/>
        </w:rPr>
        <w:t>（8）投资流通受限证券的特定风险</w:t>
      </w:r>
    </w:p>
    <w:p w14:paraId="77F74951">
      <w:pPr>
        <w:ind w:firstLine="420"/>
        <w:jc w:val="left"/>
        <w:rPr>
          <w:rFonts w:ascii="仿宋_GB2312" w:eastAsia="仿宋_GB2312"/>
          <w:szCs w:val="21"/>
        </w:rPr>
      </w:pPr>
      <w:r>
        <w:rPr>
          <w:rFonts w:hint="eastAsia" w:ascii="仿宋_GB2312" w:eastAsia="仿宋_GB2312"/>
          <w:szCs w:val="21"/>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373BCE7B">
      <w:pPr>
        <w:ind w:firstLine="420"/>
        <w:jc w:val="left"/>
        <w:rPr>
          <w:rFonts w:ascii="仿宋_GB2312" w:eastAsia="仿宋_GB2312"/>
          <w:szCs w:val="21"/>
        </w:rPr>
      </w:pPr>
      <w:r>
        <w:rPr>
          <w:rFonts w:hint="eastAsia" w:ascii="仿宋_GB2312" w:eastAsia="仿宋_GB2312"/>
          <w:szCs w:val="21"/>
        </w:rPr>
        <w:t>（9）投资港股通标的股票的特定风险</w:t>
      </w:r>
    </w:p>
    <w:p w14:paraId="12F530ED">
      <w:pPr>
        <w:ind w:firstLine="420"/>
        <w:jc w:val="left"/>
        <w:rPr>
          <w:rFonts w:hint="eastAsia"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14:paraId="559353A9">
      <w:pPr>
        <w:numPr>
          <w:ilvl w:val="0"/>
          <w:numId w:val="1"/>
        </w:numPr>
        <w:ind w:firstLine="420"/>
        <w:jc w:val="left"/>
        <w:rPr>
          <w:rFonts w:hint="eastAsia" w:ascii="仿宋_GB2312" w:eastAsia="仿宋_GB2312"/>
          <w:szCs w:val="21"/>
          <w:lang w:val="en-US" w:eastAsia="zh-CN"/>
        </w:rPr>
      </w:pPr>
      <w:r>
        <w:rPr>
          <w:rFonts w:hint="eastAsia" w:ascii="仿宋_GB2312" w:eastAsia="仿宋_GB2312"/>
          <w:szCs w:val="21"/>
          <w:lang w:val="en-US" w:eastAsia="zh-CN"/>
        </w:rPr>
        <w:t>投资公募REITs可能面临的风险</w:t>
      </w:r>
    </w:p>
    <w:p w14:paraId="152D9112">
      <w:pPr>
        <w:numPr>
          <w:ilvl w:val="-1"/>
          <w:numId w:val="0"/>
        </w:numPr>
        <w:ind w:firstLine="420" w:firstLineChars="200"/>
        <w:jc w:val="left"/>
        <w:rPr>
          <w:rFonts w:hint="default" w:ascii="仿宋_GB2312" w:eastAsia="仿宋_GB2312"/>
          <w:szCs w:val="21"/>
          <w:lang w:val="en-US" w:eastAsia="zh-CN"/>
        </w:rPr>
      </w:pPr>
      <w:r>
        <w:rPr>
          <w:rFonts w:hint="default" w:ascii="仿宋_GB2312" w:eastAsia="仿宋_GB2312"/>
          <w:szCs w:val="21"/>
          <w:lang w:val="en-US" w:eastAsia="zh-CN"/>
        </w:rPr>
        <w:t>本基金根据投资策略需要或市场环境变化，可选择将部分基金资产投资于公募REITs，但本基金并非必然投资公募REITs。投资公募REITs可能面临以下风险，包括但不限于：1）基金价格波动风险 2）不动产项目运营风险 3）基金份额交易价格折溢价风险 4）流动性风险 5）终止上市风险 6）政策调整风险 7）利益冲突风险 8）估值风险 9）市场风险 10）公募REITs相关法律法规和交易所业务规则，可能根据市场情况进行修改，或者制定新的法律法规和业务规则，投资者应当及时予以关注和了解。</w:t>
      </w:r>
    </w:p>
    <w:p w14:paraId="175410C1">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1</w:t>
      </w:r>
      <w:r>
        <w:rPr>
          <w:rFonts w:hint="eastAsia" w:ascii="仿宋_GB2312" w:eastAsia="仿宋_GB2312"/>
          <w:szCs w:val="21"/>
        </w:rPr>
        <w:t>）投资科创板股票的特定风险</w:t>
      </w:r>
    </w:p>
    <w:p w14:paraId="34986F90">
      <w:pPr>
        <w:ind w:firstLine="420"/>
        <w:jc w:val="left"/>
        <w:rPr>
          <w:rFonts w:hint="eastAsia" w:ascii="仿宋_GB2312" w:eastAsia="仿宋_GB2312"/>
          <w:szCs w:val="21"/>
          <w:lang w:eastAsia="zh-CN"/>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2AF087B5">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2</w:t>
      </w:r>
      <w:r>
        <w:rPr>
          <w:rFonts w:hint="eastAsia" w:ascii="仿宋_GB2312" w:eastAsia="仿宋_GB2312"/>
          <w:szCs w:val="21"/>
        </w:rPr>
        <w:t>）投资存托凭证的特定风险</w:t>
      </w:r>
    </w:p>
    <w:p w14:paraId="1954FC71">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4AB9D720">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3E05BB8">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14:paraId="7BDA14A1">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3</w:t>
      </w:r>
      <w:r>
        <w:rPr>
          <w:rFonts w:hint="eastAsia" w:ascii="仿宋_GB2312" w:eastAsia="仿宋_GB2312"/>
          <w:szCs w:val="21"/>
        </w:rPr>
        <w:t>）投资国债期货的特定风险</w:t>
      </w:r>
    </w:p>
    <w:p w14:paraId="7DFA0138">
      <w:pPr>
        <w:ind w:firstLine="420"/>
        <w:jc w:val="left"/>
        <w:rPr>
          <w:rFonts w:ascii="仿宋_GB2312" w:eastAsia="仿宋_GB2312"/>
          <w:szCs w:val="21"/>
        </w:rPr>
      </w:pPr>
      <w:r>
        <w:rPr>
          <w:rFonts w:hint="eastAsia" w:ascii="仿宋_GB2312" w:eastAsia="仿宋_GB2312"/>
          <w:szCs w:val="21"/>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4ED8F2BD">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4</w:t>
      </w:r>
      <w:r>
        <w:rPr>
          <w:rFonts w:hint="eastAsia" w:ascii="仿宋_GB2312" w:eastAsia="仿宋_GB2312"/>
          <w:szCs w:val="21"/>
        </w:rPr>
        <w:t>）信用衍生品投资风险</w:t>
      </w:r>
    </w:p>
    <w:p w14:paraId="25D3C232">
      <w:pPr>
        <w:ind w:firstLine="420"/>
        <w:jc w:val="left"/>
        <w:rPr>
          <w:rFonts w:ascii="仿宋_GB2312" w:eastAsia="仿宋_GB2312"/>
          <w:szCs w:val="21"/>
        </w:rPr>
      </w:pPr>
      <w:r>
        <w:rPr>
          <w:rFonts w:hint="eastAsia" w:ascii="仿宋_GB2312" w:eastAsia="仿宋_GB2312"/>
          <w:szCs w:val="21"/>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32B178E6">
      <w:pPr>
        <w:ind w:firstLine="420"/>
        <w:jc w:val="left"/>
        <w:rPr>
          <w:rFonts w:ascii="仿宋_GB2312" w:eastAsia="仿宋_GB2312"/>
          <w:szCs w:val="21"/>
        </w:rPr>
      </w:pPr>
      <w:r>
        <w:rPr>
          <w:rFonts w:hint="eastAsia" w:ascii="仿宋_GB2312" w:eastAsia="仿宋_GB2312"/>
          <w:szCs w:val="21"/>
        </w:rPr>
        <w:t>6、本基金法律文件风险收益特征表述与销售机构基金风险评价可能不一致的风险</w:t>
      </w:r>
    </w:p>
    <w:p w14:paraId="0AE49F95">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15F51F8C">
      <w:pPr>
        <w:ind w:firstLine="420"/>
        <w:jc w:val="left"/>
        <w:rPr>
          <w:rFonts w:ascii="仿宋_GB2312" w:eastAsia="仿宋_GB2312"/>
          <w:szCs w:val="21"/>
        </w:rPr>
      </w:pPr>
      <w:r>
        <w:rPr>
          <w:rFonts w:ascii="仿宋_GB2312" w:eastAsia="仿宋_GB2312"/>
          <w:szCs w:val="21"/>
        </w:rPr>
        <w:t>7</w:t>
      </w:r>
      <w:r>
        <w:rPr>
          <w:rFonts w:hint="eastAsia" w:ascii="仿宋_GB2312" w:eastAsia="仿宋_GB2312"/>
          <w:szCs w:val="21"/>
        </w:rPr>
        <w:t>、其他风险</w:t>
      </w:r>
    </w:p>
    <w:p w14:paraId="19026004">
      <w:pPr>
        <w:ind w:firstLine="420"/>
        <w:jc w:val="left"/>
        <w:rPr>
          <w:rFonts w:ascii="仿宋_GB2312" w:eastAsia="仿宋_GB2312"/>
          <w:szCs w:val="21"/>
        </w:rPr>
      </w:pPr>
    </w:p>
    <w:p w14:paraId="40FDFC5D">
      <w:pPr>
        <w:jc w:val="left"/>
        <w:rPr>
          <w:rFonts w:ascii="仿宋_GB2312" w:eastAsia="仿宋_GB2312"/>
          <w:b/>
          <w:szCs w:val="21"/>
        </w:rPr>
      </w:pPr>
      <w:r>
        <w:rPr>
          <w:rFonts w:hint="eastAsia" w:ascii="仿宋_GB2312" w:eastAsia="仿宋_GB2312"/>
          <w:b/>
          <w:szCs w:val="21"/>
        </w:rPr>
        <w:t>（二）重要提示</w:t>
      </w:r>
    </w:p>
    <w:p w14:paraId="70AF2116">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14:paraId="2272C5F0">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14:paraId="5ED5057A">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05D27030">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14:paraId="723DB09E">
      <w:pPr>
        <w:ind w:firstLine="420"/>
        <w:jc w:val="left"/>
        <w:rPr>
          <w:rFonts w:ascii="仿宋_GB2312" w:eastAsia="仿宋_GB2312"/>
          <w:b/>
          <w:szCs w:val="21"/>
        </w:rPr>
      </w:pPr>
      <w:r>
        <w:rPr>
          <w:rFonts w:hint="eastAsia" w:ascii="仿宋_GB2312" w:eastAsia="仿宋_GB2312"/>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14:paraId="5DA83D9C">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80F72D0">
      <w:pPr>
        <w:ind w:firstLine="420"/>
        <w:jc w:val="left"/>
        <w:rPr>
          <w:rFonts w:ascii="仿宋_GB2312" w:eastAsia="仿宋_GB2312"/>
          <w:szCs w:val="21"/>
        </w:rPr>
      </w:pPr>
    </w:p>
    <w:p w14:paraId="4C951417">
      <w:pPr>
        <w:jc w:val="left"/>
        <w:rPr>
          <w:rFonts w:ascii="仿宋_GB2312" w:eastAsia="仿宋_GB2312"/>
          <w:b/>
          <w:szCs w:val="21"/>
        </w:rPr>
      </w:pPr>
      <w:r>
        <w:rPr>
          <w:rFonts w:hint="eastAsia" w:ascii="仿宋_GB2312" w:eastAsia="仿宋_GB2312"/>
          <w:b/>
          <w:szCs w:val="21"/>
        </w:rPr>
        <w:t>五、其他资料查询方式</w:t>
      </w:r>
    </w:p>
    <w:p w14:paraId="4F529029">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14:paraId="647F5292">
      <w:pPr>
        <w:ind w:firstLine="420"/>
        <w:jc w:val="left"/>
        <w:rPr>
          <w:rFonts w:ascii="仿宋_GB2312" w:eastAsia="仿宋_GB2312"/>
          <w:szCs w:val="21"/>
        </w:rPr>
      </w:pPr>
      <w:r>
        <w:rPr>
          <w:rFonts w:hint="eastAsia" w:ascii="仿宋_GB2312" w:eastAsia="仿宋_GB2312"/>
          <w:szCs w:val="21"/>
        </w:rPr>
        <w:t>●《交银施罗德佳宁债券型证券投资基金基金合同》、</w:t>
      </w:r>
    </w:p>
    <w:p w14:paraId="1812B123">
      <w:pPr>
        <w:ind w:firstLine="420"/>
        <w:jc w:val="left"/>
        <w:rPr>
          <w:rFonts w:ascii="仿宋_GB2312" w:eastAsia="仿宋_GB2312"/>
          <w:szCs w:val="21"/>
        </w:rPr>
      </w:pPr>
      <w:r>
        <w:rPr>
          <w:rFonts w:hint="eastAsia" w:ascii="仿宋_GB2312" w:eastAsia="仿宋_GB2312"/>
          <w:szCs w:val="21"/>
        </w:rPr>
        <w:t>《交银施罗德佳宁债券型证券投资基金托管协议》、</w:t>
      </w:r>
    </w:p>
    <w:p w14:paraId="0C011D3D">
      <w:pPr>
        <w:ind w:firstLine="420"/>
        <w:jc w:val="left"/>
        <w:rPr>
          <w:rFonts w:ascii="仿宋_GB2312" w:eastAsia="仿宋_GB2312"/>
          <w:szCs w:val="21"/>
        </w:rPr>
      </w:pPr>
      <w:r>
        <w:rPr>
          <w:rFonts w:hint="eastAsia" w:ascii="仿宋_GB2312" w:eastAsia="仿宋_GB2312"/>
          <w:szCs w:val="21"/>
        </w:rPr>
        <w:t>《交银施罗德佳宁债券型证券投资基金招募说明书》</w:t>
      </w:r>
    </w:p>
    <w:p w14:paraId="2D007A45">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14:paraId="0BB780CE">
      <w:pPr>
        <w:ind w:firstLine="420"/>
        <w:jc w:val="left"/>
        <w:rPr>
          <w:rFonts w:ascii="仿宋_GB2312" w:eastAsia="仿宋_GB2312"/>
          <w:szCs w:val="21"/>
        </w:rPr>
      </w:pPr>
      <w:r>
        <w:rPr>
          <w:rFonts w:hint="eastAsia" w:ascii="仿宋_GB2312" w:eastAsia="仿宋_GB2312"/>
          <w:szCs w:val="21"/>
        </w:rPr>
        <w:t>●基金份额净值</w:t>
      </w:r>
    </w:p>
    <w:p w14:paraId="6E837AA6">
      <w:pPr>
        <w:ind w:firstLine="420"/>
        <w:jc w:val="left"/>
        <w:rPr>
          <w:rFonts w:ascii="仿宋_GB2312" w:eastAsia="仿宋_GB2312"/>
          <w:szCs w:val="21"/>
        </w:rPr>
      </w:pPr>
      <w:r>
        <w:rPr>
          <w:rFonts w:hint="eastAsia" w:ascii="仿宋_GB2312" w:eastAsia="仿宋_GB2312"/>
          <w:szCs w:val="21"/>
        </w:rPr>
        <w:t>●基金销售机构及联系方式</w:t>
      </w:r>
    </w:p>
    <w:p w14:paraId="30889A2A">
      <w:pPr>
        <w:ind w:firstLine="420"/>
        <w:jc w:val="left"/>
        <w:rPr>
          <w:rFonts w:ascii="仿宋_GB2312" w:eastAsia="仿宋_GB2312"/>
          <w:szCs w:val="21"/>
        </w:rPr>
      </w:pPr>
      <w:r>
        <w:rPr>
          <w:rFonts w:hint="eastAsia" w:ascii="仿宋_GB2312" w:eastAsia="仿宋_GB2312"/>
          <w:szCs w:val="21"/>
        </w:rPr>
        <w:t>●其他重要资料</w:t>
      </w:r>
    </w:p>
    <w:p w14:paraId="25EE20CD">
      <w:pPr>
        <w:jc w:val="left"/>
        <w:rPr>
          <w:rFonts w:ascii="仿宋_GB2312" w:eastAsia="仿宋_GB2312"/>
          <w:b/>
          <w:szCs w:val="21"/>
        </w:rPr>
      </w:pPr>
      <w:r>
        <w:rPr>
          <w:rFonts w:hint="eastAsia" w:ascii="仿宋_GB2312" w:eastAsia="仿宋_GB2312"/>
          <w:b/>
          <w:szCs w:val="21"/>
        </w:rPr>
        <w:t>六、其他情况说明</w:t>
      </w:r>
    </w:p>
    <w:p w14:paraId="2017CE10">
      <w:pPr>
        <w:ind w:firstLine="420"/>
        <w:jc w:val="left"/>
        <w:rPr>
          <w:rFonts w:ascii="仿宋_GB2312" w:eastAsia="仿宋_GB2312"/>
          <w:szCs w:val="21"/>
        </w:rPr>
      </w:pPr>
      <w:r>
        <w:rPr>
          <w:rFonts w:hint="eastAsia" w:ascii="仿宋_GB2312" w:eastAsia="仿宋_GB2312"/>
          <w:szCs w:val="21"/>
        </w:rPr>
        <w:t>无。</w:t>
      </w: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7F40F"/>
    <w:multiLevelType w:val="singleLevel"/>
    <w:tmpl w:val="EB97F40F"/>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628E"/>
    <w:rsid w:val="0001677C"/>
    <w:rsid w:val="000259C4"/>
    <w:rsid w:val="0002699D"/>
    <w:rsid w:val="000316D5"/>
    <w:rsid w:val="00034C87"/>
    <w:rsid w:val="00076DDF"/>
    <w:rsid w:val="00094816"/>
    <w:rsid w:val="000A05F5"/>
    <w:rsid w:val="000A364A"/>
    <w:rsid w:val="000C5F24"/>
    <w:rsid w:val="000F07AF"/>
    <w:rsid w:val="000F2329"/>
    <w:rsid w:val="00113C4E"/>
    <w:rsid w:val="00122288"/>
    <w:rsid w:val="00131F08"/>
    <w:rsid w:val="00144A6B"/>
    <w:rsid w:val="00146A49"/>
    <w:rsid w:val="0019752C"/>
    <w:rsid w:val="001D3F51"/>
    <w:rsid w:val="001D7AF6"/>
    <w:rsid w:val="001E402A"/>
    <w:rsid w:val="001F6CE6"/>
    <w:rsid w:val="00203836"/>
    <w:rsid w:val="00226D15"/>
    <w:rsid w:val="002466FE"/>
    <w:rsid w:val="00265100"/>
    <w:rsid w:val="00266E90"/>
    <w:rsid w:val="00267760"/>
    <w:rsid w:val="00276E90"/>
    <w:rsid w:val="00284CB1"/>
    <w:rsid w:val="00287210"/>
    <w:rsid w:val="00294213"/>
    <w:rsid w:val="002A000D"/>
    <w:rsid w:val="002A4174"/>
    <w:rsid w:val="002B0BD1"/>
    <w:rsid w:val="002B77CD"/>
    <w:rsid w:val="002B78DD"/>
    <w:rsid w:val="002F4409"/>
    <w:rsid w:val="002F5DBC"/>
    <w:rsid w:val="00303ADB"/>
    <w:rsid w:val="0033232A"/>
    <w:rsid w:val="003338D0"/>
    <w:rsid w:val="00335FE8"/>
    <w:rsid w:val="00341F1E"/>
    <w:rsid w:val="00343729"/>
    <w:rsid w:val="00344184"/>
    <w:rsid w:val="00382693"/>
    <w:rsid w:val="003910C2"/>
    <w:rsid w:val="00395AB9"/>
    <w:rsid w:val="003A35CE"/>
    <w:rsid w:val="003C4E26"/>
    <w:rsid w:val="003E751E"/>
    <w:rsid w:val="00401C56"/>
    <w:rsid w:val="00414961"/>
    <w:rsid w:val="004168C0"/>
    <w:rsid w:val="00436CCE"/>
    <w:rsid w:val="00447692"/>
    <w:rsid w:val="00490EE1"/>
    <w:rsid w:val="00491227"/>
    <w:rsid w:val="004A275D"/>
    <w:rsid w:val="004B58F5"/>
    <w:rsid w:val="004B7A39"/>
    <w:rsid w:val="00503D29"/>
    <w:rsid w:val="005343E7"/>
    <w:rsid w:val="00571C2D"/>
    <w:rsid w:val="00585D5F"/>
    <w:rsid w:val="005924F5"/>
    <w:rsid w:val="0059385A"/>
    <w:rsid w:val="005A3243"/>
    <w:rsid w:val="005B72DC"/>
    <w:rsid w:val="00614BFE"/>
    <w:rsid w:val="006240B9"/>
    <w:rsid w:val="00631646"/>
    <w:rsid w:val="0065396B"/>
    <w:rsid w:val="006666D3"/>
    <w:rsid w:val="00666D1C"/>
    <w:rsid w:val="006A53E7"/>
    <w:rsid w:val="006A5546"/>
    <w:rsid w:val="006C0AEE"/>
    <w:rsid w:val="006C5242"/>
    <w:rsid w:val="006C680B"/>
    <w:rsid w:val="006E4266"/>
    <w:rsid w:val="006F689C"/>
    <w:rsid w:val="00703619"/>
    <w:rsid w:val="0070430F"/>
    <w:rsid w:val="00722C51"/>
    <w:rsid w:val="00731188"/>
    <w:rsid w:val="007434D5"/>
    <w:rsid w:val="00756A51"/>
    <w:rsid w:val="00762837"/>
    <w:rsid w:val="00767851"/>
    <w:rsid w:val="0079421D"/>
    <w:rsid w:val="007A64C5"/>
    <w:rsid w:val="007C0812"/>
    <w:rsid w:val="007D6B10"/>
    <w:rsid w:val="007E24CA"/>
    <w:rsid w:val="007F4B44"/>
    <w:rsid w:val="00846EFA"/>
    <w:rsid w:val="008534B4"/>
    <w:rsid w:val="008539EF"/>
    <w:rsid w:val="00854EF9"/>
    <w:rsid w:val="00854FEF"/>
    <w:rsid w:val="00860D78"/>
    <w:rsid w:val="00863854"/>
    <w:rsid w:val="00880454"/>
    <w:rsid w:val="008838C6"/>
    <w:rsid w:val="00887343"/>
    <w:rsid w:val="00896FD7"/>
    <w:rsid w:val="008A6FA6"/>
    <w:rsid w:val="00902522"/>
    <w:rsid w:val="0090269C"/>
    <w:rsid w:val="00903B54"/>
    <w:rsid w:val="00922F1A"/>
    <w:rsid w:val="00934A67"/>
    <w:rsid w:val="009659BA"/>
    <w:rsid w:val="009728DC"/>
    <w:rsid w:val="009C04D0"/>
    <w:rsid w:val="009C0C41"/>
    <w:rsid w:val="009C47FD"/>
    <w:rsid w:val="009F01D0"/>
    <w:rsid w:val="009F4EAE"/>
    <w:rsid w:val="00A007DA"/>
    <w:rsid w:val="00A410EC"/>
    <w:rsid w:val="00A86BED"/>
    <w:rsid w:val="00A970C8"/>
    <w:rsid w:val="00AB59CB"/>
    <w:rsid w:val="00AC1DC1"/>
    <w:rsid w:val="00AF7A1E"/>
    <w:rsid w:val="00B32489"/>
    <w:rsid w:val="00B415E4"/>
    <w:rsid w:val="00B55409"/>
    <w:rsid w:val="00B8263A"/>
    <w:rsid w:val="00B9534D"/>
    <w:rsid w:val="00BC200C"/>
    <w:rsid w:val="00BE263B"/>
    <w:rsid w:val="00C04141"/>
    <w:rsid w:val="00C0525C"/>
    <w:rsid w:val="00C2694C"/>
    <w:rsid w:val="00C43176"/>
    <w:rsid w:val="00C53175"/>
    <w:rsid w:val="00C62634"/>
    <w:rsid w:val="00CA1AC0"/>
    <w:rsid w:val="00CB1CD4"/>
    <w:rsid w:val="00CD7637"/>
    <w:rsid w:val="00D04A15"/>
    <w:rsid w:val="00D12C4D"/>
    <w:rsid w:val="00D142C5"/>
    <w:rsid w:val="00D16918"/>
    <w:rsid w:val="00D21E6A"/>
    <w:rsid w:val="00D22A28"/>
    <w:rsid w:val="00D373CC"/>
    <w:rsid w:val="00D50D02"/>
    <w:rsid w:val="00D571CE"/>
    <w:rsid w:val="00DB319C"/>
    <w:rsid w:val="00DF3EF9"/>
    <w:rsid w:val="00DF4374"/>
    <w:rsid w:val="00E51B6D"/>
    <w:rsid w:val="00E57C58"/>
    <w:rsid w:val="00E91EE6"/>
    <w:rsid w:val="00EC097C"/>
    <w:rsid w:val="00ED554E"/>
    <w:rsid w:val="00EE0CCB"/>
    <w:rsid w:val="00EE785F"/>
    <w:rsid w:val="00EF2579"/>
    <w:rsid w:val="00F020C2"/>
    <w:rsid w:val="00F141B3"/>
    <w:rsid w:val="00F33107"/>
    <w:rsid w:val="00F61B83"/>
    <w:rsid w:val="00F75715"/>
    <w:rsid w:val="00F811C4"/>
    <w:rsid w:val="00FB77CC"/>
    <w:rsid w:val="00FC2918"/>
    <w:rsid w:val="00FF12C7"/>
    <w:rsid w:val="03B83DB6"/>
    <w:rsid w:val="07A825AC"/>
    <w:rsid w:val="07E74A05"/>
    <w:rsid w:val="0C5607A4"/>
    <w:rsid w:val="117E1BFE"/>
    <w:rsid w:val="12794C71"/>
    <w:rsid w:val="12FD28ED"/>
    <w:rsid w:val="147F129D"/>
    <w:rsid w:val="1A9E108E"/>
    <w:rsid w:val="1EB162F3"/>
    <w:rsid w:val="21505B39"/>
    <w:rsid w:val="2215224F"/>
    <w:rsid w:val="270A6E69"/>
    <w:rsid w:val="2BAA03CB"/>
    <w:rsid w:val="2CD46A9A"/>
    <w:rsid w:val="3AD60AA5"/>
    <w:rsid w:val="429E583D"/>
    <w:rsid w:val="43A36CEC"/>
    <w:rsid w:val="46AD0808"/>
    <w:rsid w:val="4A6C214A"/>
    <w:rsid w:val="52EE3099"/>
    <w:rsid w:val="536A7BE8"/>
    <w:rsid w:val="595D7051"/>
    <w:rsid w:val="60521D87"/>
    <w:rsid w:val="638D16F6"/>
    <w:rsid w:val="67C670AE"/>
    <w:rsid w:val="6C071E76"/>
    <w:rsid w:val="73A86885"/>
    <w:rsid w:val="757A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6238</Words>
  <Characters>6518</Characters>
  <Lines>44</Lines>
  <Paragraphs>12</Paragraphs>
  <TotalTime>6</TotalTime>
  <ScaleCrop>false</ScaleCrop>
  <LinksUpToDate>false</LinksUpToDate>
  <CharactersWithSpaces>6528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2025-06-19T03:47:00Z</dcterms:created>
  <dc:creator>Cc</dc:creator>
  <cp:lastModifiedBy>zhangjing1</cp:lastModifiedBy>
  <cp:lastPrinted>2023-03-15T09:27:00Z</cp:lastPrinted>
  <dcterms:modified xsi:type="dcterms:W3CDTF">2026-06-24T05:39:18Z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864D8E8DE80A4D4CAD741BD4575F9C7B_13</vt:lpwstr>
  </property>
</Properties>
</file>