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黑体" w:eastAsia="黑体"/>
          <w:b/>
          <w:sz w:val="36"/>
        </w:rPr>
      </w:pPr>
      <w:r>
        <w:rPr>
          <w:rFonts w:hint="eastAsia" w:ascii="黑体" w:hAnsi="黑体" w:eastAsia="黑体"/>
          <w:b/>
          <w:sz w:val="36"/>
        </w:rPr>
        <w:t>交银施罗德丰享收益债券型证券投资基金（C类份额）</w:t>
      </w:r>
    </w:p>
    <w:p>
      <w:pPr>
        <w:jc w:val="center"/>
        <w:rPr>
          <w:rFonts w:ascii="黑体" w:hAnsi="黑体" w:eastAsia="黑体"/>
          <w:b/>
          <w:sz w:val="36"/>
        </w:rPr>
      </w:pPr>
      <w:r>
        <w:rPr>
          <w:rFonts w:hint="eastAsia" w:ascii="黑体" w:hAnsi="黑体" w:eastAsia="黑体"/>
          <w:b/>
          <w:sz w:val="36"/>
        </w:rPr>
        <w:t>基金产品资料概要更新</w:t>
      </w:r>
    </w:p>
    <w:p>
      <w:pPr>
        <w:jc w:val="right"/>
        <w:rPr>
          <w:rFonts w:ascii="仿宋_GB2312" w:hAnsi="宋体" w:eastAsia="仿宋_GB2312" w:cs="宋体"/>
          <w:kern w:val="0"/>
          <w:szCs w:val="21"/>
        </w:rPr>
      </w:pPr>
      <w:r>
        <w:rPr>
          <w:rFonts w:hint="eastAsia" w:ascii="仿宋_GB2312" w:eastAsia="仿宋_GB2312"/>
        </w:rPr>
        <w:t>编制日期：</w:t>
      </w:r>
      <w:r>
        <w:rPr>
          <w:rFonts w:hint="eastAsia" w:ascii="仿宋_GB2312" w:hAnsi="宋体" w:eastAsia="仿宋_GB2312" w:cs="宋体"/>
          <w:kern w:val="0"/>
          <w:szCs w:val="21"/>
        </w:rPr>
        <w:t>2026-05-14</w:t>
      </w:r>
    </w:p>
    <w:p>
      <w:pPr>
        <w:spacing w:line="380" w:lineRule="exact"/>
        <w:jc w:val="center"/>
        <w:rPr>
          <w:rFonts w:ascii="方正仿宋简体" w:hAnsi="方正仿宋简体" w:cs="方正仿宋简体"/>
          <w:b/>
          <w:iCs/>
          <w:szCs w:val="21"/>
        </w:rPr>
      </w:pPr>
      <w:r>
        <w:rPr>
          <w:rFonts w:ascii="方正仿宋简体" w:hAnsi="方正仿宋简体"/>
        </w:rPr>
        <w:t>送出日期：</w:t>
      </w:r>
      <w:r>
        <w:rPr>
          <w:rFonts w:ascii="Times New Roman" w:hAnsi="Times New Roman" w:cs="Times New Roman"/>
        </w:rPr>
        <w:t>2026-06-12</w:t>
      </w:r>
      <w:r>
        <w:rPr>
          <w:rFonts w:hint="eastAsia" w:ascii="方正仿宋简体" w:hAnsi="方正仿宋简体" w:cs="方正仿宋简体"/>
          <w:b/>
          <w:iCs/>
          <w:szCs w:val="21"/>
        </w:rPr>
        <w:t xml:space="preserve"> </w:t>
      </w:r>
    </w:p>
    <w:p>
      <w:pPr>
        <w:autoSpaceDE w:val="0"/>
        <w:autoSpaceDN w:val="0"/>
        <w:adjustRightInd w:val="0"/>
        <w:jc w:val="center"/>
        <w:rPr>
          <w:rFonts w:ascii="黑体" w:hAnsi="黑体" w:eastAsia="黑体" w:cs="FZHTJW--GB1-0"/>
          <w:kern w:val="0"/>
          <w:sz w:val="30"/>
          <w:szCs w:val="30"/>
        </w:rPr>
      </w:pPr>
      <w:r>
        <w:rPr>
          <w:rFonts w:hint="eastAsia" w:ascii="黑体" w:hAnsi="黑体" w:eastAsia="黑体" w:cs="宋体"/>
          <w:kern w:val="0"/>
          <w:sz w:val="30"/>
          <w:szCs w:val="30"/>
        </w:rPr>
        <w:t>本概要提供本基金的重要信息，是招募说明书的一部分。</w:t>
      </w:r>
    </w:p>
    <w:p>
      <w:pPr>
        <w:jc w:val="center"/>
        <w:rPr>
          <w:rFonts w:ascii="黑体" w:hAnsi="黑体" w:eastAsia="黑体" w:cs="宋体"/>
          <w:kern w:val="0"/>
          <w:sz w:val="30"/>
          <w:szCs w:val="30"/>
        </w:rPr>
      </w:pPr>
      <w:r>
        <w:rPr>
          <w:rFonts w:hint="eastAsia" w:ascii="黑体" w:hAnsi="黑体" w:eastAsia="黑体" w:cs="宋体"/>
          <w:kern w:val="0"/>
          <w:sz w:val="30"/>
          <w:szCs w:val="30"/>
        </w:rPr>
        <w:t>作出投资决定前，请阅读完整的招募说明书等销售文件。</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一、产品概况</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307"/>
        <w:gridCol w:w="1563"/>
        <w:gridCol w:w="3285"/>
        <w:gridCol w:w="1917"/>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widowControl/>
              <w:jc w:val="left"/>
              <w:rPr>
                <w:rFonts w:ascii="仿宋_GB2312" w:eastAsia="仿宋_GB2312"/>
                <w:szCs w:val="21"/>
              </w:rPr>
            </w:pPr>
            <w:r>
              <w:rPr>
                <w:rFonts w:hint="eastAsia" w:ascii="仿宋_GB2312" w:eastAsia="仿宋_GB2312"/>
                <w:szCs w:val="21"/>
              </w:rPr>
              <w:t>基金简称</w:t>
            </w:r>
          </w:p>
        </w:tc>
        <w:tc>
          <w:tcPr>
            <w:tcW w:w="1601" w:type="dxa"/>
            <w:vAlign w:val="center"/>
          </w:tcPr>
          <w:p>
            <w:pPr>
              <w:rPr>
                <w:rFonts w:ascii="仿宋_GB2312" w:eastAsia="仿宋_GB2312"/>
                <w:szCs w:val="21"/>
              </w:rPr>
            </w:pPr>
            <w:r>
              <w:rPr>
                <w:rFonts w:hint="eastAsia" w:ascii="仿宋_GB2312" w:eastAsia="仿宋_GB2312"/>
                <w:szCs w:val="21"/>
              </w:rPr>
              <w:t>交银丰享收益债券C</w:t>
            </w:r>
          </w:p>
        </w:tc>
        <w:tc>
          <w:tcPr>
            <w:tcW w:w="3649" w:type="dxa"/>
            <w:vAlign w:val="center"/>
          </w:tcPr>
          <w:p>
            <w:pPr>
              <w:rPr>
                <w:rFonts w:ascii="仿宋_GB2312" w:hAnsi="宋体" w:eastAsia="仿宋_GB2312" w:cs="宋体"/>
                <w:szCs w:val="21"/>
              </w:rPr>
            </w:pPr>
            <w:r>
              <w:rPr>
                <w:rFonts w:hint="eastAsia" w:ascii="仿宋_GB2312" w:eastAsia="仿宋_GB2312"/>
                <w:szCs w:val="21"/>
              </w:rPr>
              <w:t>基金代码</w:t>
            </w:r>
          </w:p>
        </w:tc>
        <w:tc>
          <w:tcPr>
            <w:tcW w:w="1275" w:type="dxa"/>
            <w:vAlign w:val="center"/>
          </w:tcPr>
          <w:p>
            <w:pPr>
              <w:rPr>
                <w:rFonts w:ascii="仿宋_GB2312" w:eastAsia="仿宋_GB2312"/>
                <w:szCs w:val="21"/>
              </w:rPr>
            </w:pPr>
            <w:r>
              <w:rPr>
                <w:rFonts w:hint="eastAsia" w:ascii="仿宋_GB2312" w:eastAsia="仿宋_GB2312"/>
                <w:szCs w:val="21"/>
              </w:rPr>
              <w:t>519748</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基金管理人</w:t>
            </w:r>
          </w:p>
        </w:tc>
        <w:tc>
          <w:tcPr>
            <w:tcW w:w="1601" w:type="dxa"/>
            <w:vAlign w:val="center"/>
          </w:tcPr>
          <w:p>
            <w:pPr>
              <w:rPr>
                <w:rFonts w:ascii="仿宋_GB2312" w:eastAsia="仿宋_GB2312"/>
                <w:szCs w:val="21"/>
              </w:rPr>
            </w:pPr>
            <w:r>
              <w:rPr>
                <w:rFonts w:hint="eastAsia" w:ascii="仿宋_GB2312" w:eastAsia="仿宋_GB2312"/>
                <w:szCs w:val="21"/>
              </w:rPr>
              <w:t>交银施罗德基金管理有限公司</w:t>
            </w:r>
          </w:p>
        </w:tc>
        <w:tc>
          <w:tcPr>
            <w:tcW w:w="3649" w:type="dxa"/>
            <w:vAlign w:val="center"/>
          </w:tcPr>
          <w:p>
            <w:pPr>
              <w:rPr>
                <w:rFonts w:ascii="仿宋_GB2312" w:hAnsi="宋体" w:eastAsia="仿宋_GB2312" w:cs="宋体"/>
                <w:szCs w:val="21"/>
              </w:rPr>
            </w:pPr>
            <w:r>
              <w:rPr>
                <w:rFonts w:hint="eastAsia" w:ascii="仿宋_GB2312" w:eastAsia="仿宋_GB2312"/>
                <w:szCs w:val="21"/>
              </w:rPr>
              <w:t>基金托管人</w:t>
            </w:r>
          </w:p>
        </w:tc>
        <w:tc>
          <w:tcPr>
            <w:tcW w:w="1275" w:type="dxa"/>
            <w:vAlign w:val="center"/>
          </w:tcPr>
          <w:p>
            <w:pPr>
              <w:rPr>
                <w:rFonts w:ascii="仿宋_GB2312" w:eastAsia="仿宋_GB2312"/>
                <w:szCs w:val="21"/>
              </w:rPr>
            </w:pPr>
            <w:r>
              <w:rPr>
                <w:rFonts w:hint="eastAsia" w:ascii="仿宋_GB2312" w:eastAsia="仿宋_GB2312"/>
                <w:szCs w:val="21"/>
              </w:rPr>
              <w:t>中信银行股份有限公司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gridAfter w:val="2"/>
          <w:wAfter w:w="4924" w:type="dxa"/>
          <w:jc w:val="center"/>
        </w:trPr>
        <w:tc>
          <w:tcPr>
            <w:tcW w:w="1843" w:type="dxa"/>
            <w:vAlign w:val="center"/>
          </w:tcPr>
          <w:p>
            <w:pPr>
              <w:rPr>
                <w:rFonts w:ascii="仿宋_GB2312" w:eastAsia="仿宋_GB2312"/>
                <w:szCs w:val="21"/>
              </w:rPr>
            </w:pPr>
            <w:r>
              <w:rPr>
                <w:rFonts w:hint="eastAsia" w:ascii="仿宋_GB2312" w:eastAsia="仿宋_GB2312"/>
                <w:szCs w:val="21"/>
              </w:rPr>
              <w:t>基金合同生效日</w:t>
            </w:r>
          </w:p>
        </w:tc>
        <w:tc>
          <w:tcPr>
            <w:tcW w:w="1601" w:type="dxa"/>
            <w:vAlign w:val="center"/>
          </w:tcPr>
          <w:p>
            <w:pPr>
              <w:rPr>
                <w:rFonts w:ascii="仿宋_GB2312" w:eastAsia="仿宋_GB2312"/>
                <w:szCs w:val="21"/>
              </w:rPr>
            </w:pPr>
            <w:r>
              <w:rPr>
                <w:rFonts w:hint="eastAsia" w:ascii="仿宋_GB2312" w:eastAsia="仿宋_GB2312"/>
                <w:szCs w:val="21"/>
              </w:rPr>
              <w:t>2015-01-19</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基金类型</w:t>
            </w:r>
          </w:p>
        </w:tc>
        <w:tc>
          <w:tcPr>
            <w:tcW w:w="1601" w:type="dxa"/>
            <w:vAlign w:val="center"/>
          </w:tcPr>
          <w:p>
            <w:pPr>
              <w:rPr>
                <w:rFonts w:ascii="仿宋_GB2312" w:eastAsia="仿宋_GB2312"/>
                <w:szCs w:val="21"/>
              </w:rPr>
            </w:pPr>
            <w:r>
              <w:rPr>
                <w:rFonts w:hint="eastAsia" w:ascii="仿宋_GB2312" w:eastAsia="仿宋_GB2312"/>
                <w:szCs w:val="21"/>
              </w:rPr>
              <w:t>债券型</w:t>
            </w:r>
          </w:p>
        </w:tc>
        <w:tc>
          <w:tcPr>
            <w:tcW w:w="3649" w:type="dxa"/>
            <w:vAlign w:val="center"/>
          </w:tcPr>
          <w:p>
            <w:pPr>
              <w:rPr>
                <w:rFonts w:ascii="仿宋_GB2312" w:hAnsi="宋体" w:eastAsia="仿宋_GB2312" w:cs="宋体"/>
                <w:szCs w:val="21"/>
              </w:rPr>
            </w:pPr>
            <w:r>
              <w:rPr>
                <w:rFonts w:hint="eastAsia" w:ascii="仿宋_GB2312" w:eastAsia="仿宋_GB2312"/>
                <w:szCs w:val="21"/>
              </w:rPr>
              <w:t>交易币种</w:t>
            </w:r>
          </w:p>
        </w:tc>
        <w:tc>
          <w:tcPr>
            <w:tcW w:w="1275" w:type="dxa"/>
            <w:vAlign w:val="center"/>
          </w:tcPr>
          <w:p>
            <w:pPr>
              <w:rPr>
                <w:rFonts w:ascii="仿宋_GB2312" w:eastAsia="仿宋_GB2312"/>
                <w:szCs w:val="21"/>
              </w:rPr>
            </w:pPr>
            <w:r>
              <w:rPr>
                <w:rFonts w:hint="eastAsia" w:ascii="仿宋_GB2312" w:eastAsia="仿宋_GB2312"/>
                <w:szCs w:val="21"/>
              </w:rPr>
              <w:t>人民币</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运作方式</w:t>
            </w:r>
          </w:p>
        </w:tc>
        <w:tc>
          <w:tcPr>
            <w:tcW w:w="1601" w:type="dxa"/>
            <w:vAlign w:val="center"/>
          </w:tcPr>
          <w:p>
            <w:pPr>
              <w:rPr>
                <w:rFonts w:ascii="仿宋_GB2312" w:eastAsia="仿宋_GB2312"/>
                <w:szCs w:val="21"/>
              </w:rPr>
            </w:pPr>
            <w:r>
              <w:rPr>
                <w:rFonts w:hint="eastAsia" w:ascii="仿宋_GB2312" w:eastAsia="仿宋_GB2312"/>
                <w:szCs w:val="21"/>
              </w:rPr>
              <w:t>普通开放式</w:t>
            </w:r>
          </w:p>
        </w:tc>
        <w:tc>
          <w:tcPr>
            <w:tcW w:w="3649" w:type="dxa"/>
            <w:vAlign w:val="center"/>
          </w:tcPr>
          <w:p>
            <w:pPr>
              <w:rPr>
                <w:rFonts w:ascii="仿宋_GB2312" w:hAnsi="宋体" w:eastAsia="仿宋_GB2312" w:cs="宋体"/>
                <w:szCs w:val="21"/>
              </w:rPr>
            </w:pPr>
            <w:r>
              <w:rPr>
                <w:rFonts w:hint="eastAsia" w:ascii="仿宋_GB2312" w:eastAsia="仿宋_GB2312"/>
                <w:szCs w:val="21"/>
              </w:rPr>
              <w:t>开放频率</w:t>
            </w:r>
          </w:p>
        </w:tc>
        <w:tc>
          <w:tcPr>
            <w:tcW w:w="1275" w:type="dxa"/>
            <w:vAlign w:val="center"/>
          </w:tcPr>
          <w:p>
            <w:pPr>
              <w:rPr>
                <w:rFonts w:ascii="仿宋_GB2312" w:eastAsia="仿宋_GB2312"/>
                <w:szCs w:val="21"/>
              </w:rPr>
            </w:pPr>
            <w:r>
              <w:rPr>
                <w:rFonts w:hint="eastAsia" w:ascii="仿宋_GB2312" w:eastAsia="仿宋_GB2312"/>
                <w:szCs w:val="21"/>
              </w:rPr>
              <w:t>每个开放日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孙丹妮</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2025-02-20</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2015-05-28</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黄莹洁</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2015-07-25</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2008-02-15</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hAnsi="宋体" w:eastAsia="仿宋_GB2312" w:cs="宋体"/>
                <w:kern w:val="0"/>
                <w:szCs w:val="21"/>
              </w:rPr>
              <w:t>其他</w:t>
            </w:r>
          </w:p>
        </w:tc>
        <w:tc>
          <w:tcPr>
            <w:tcW w:w="6525" w:type="dxa"/>
            <w:gridSpan w:val="3"/>
          </w:tcPr>
          <w:p>
            <w:pPr>
              <w:ind w:firstLine="420"/>
              <w:jc w:val="left"/>
              <w:rPr>
                <w:rFonts w:ascii="仿宋_GB2312" w:eastAsia="仿宋_GB2312"/>
                <w:szCs w:val="21"/>
              </w:rPr>
            </w:pPr>
            <w:r>
              <w:rPr>
                <w:rFonts w:ascii="仿宋_GB2312" w:eastAsia="仿宋_GB2312"/>
                <w:szCs w:val="21"/>
              </w:rPr>
              <w:t>《基金合同》生效后，连续二十个工作日基金份额持有人数量不满200人或者基金资产净值低于5000万元的，基金管理人应当在定期报告中予以披露。连续六十个工作日出现基金份额持有人数量不满200人或者基金资产净值低于5000万元情形的，基金管理人应当向中国证监会报告并提出解决方案，并召开基金份额持有人大会进行表决。</w:t>
            </w:r>
          </w:p>
        </w:tc>
      </w:tr>
    </w:tbl>
    <w:p>
      <w:pPr>
        <w:jc w:val="left"/>
        <w:rPr>
          <w:rFonts w:ascii="仿宋_GB2312" w:hAnsi="宋体" w:eastAsia="仿宋_GB2312" w:cs="宋体"/>
          <w:b/>
          <w:kern w:val="0"/>
          <w:szCs w:val="21"/>
        </w:rPr>
      </w:pPr>
      <w:r>
        <w:rPr>
          <w:rFonts w:hint="eastAsia" w:ascii="仿宋_GB2312" w:hAnsi="宋体" w:eastAsia="仿宋_GB2312" w:cs="宋体"/>
          <w:b/>
          <w:kern w:val="0"/>
          <w:szCs w:val="21"/>
        </w:rPr>
        <w:t>二、基金投资与净值表现</w:t>
      </w:r>
    </w:p>
    <w:p>
      <w:pPr>
        <w:jc w:val="left"/>
        <w:rPr>
          <w:rFonts w:ascii="仿宋_GB2312" w:eastAsia="仿宋_GB2312"/>
          <w:b/>
          <w:szCs w:val="21"/>
        </w:rPr>
      </w:pPr>
      <w:r>
        <w:rPr>
          <w:rFonts w:hint="eastAsia" w:ascii="仿宋_GB2312" w:eastAsia="仿宋_GB2312"/>
          <w:b/>
          <w:szCs w:val="21"/>
        </w:rPr>
        <w:t>（一）投资目标与投资策略</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1876"/>
        <w:gridCol w:w="71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widowControl/>
              <w:jc w:val="left"/>
              <w:rPr>
                <w:rFonts w:ascii="仿宋_GB2312" w:eastAsia="仿宋_GB2312"/>
                <w:szCs w:val="21"/>
              </w:rPr>
            </w:pPr>
            <w:r>
              <w:rPr>
                <w:rFonts w:hint="eastAsia" w:ascii="仿宋_GB2312" w:eastAsia="仿宋_GB2312"/>
                <w:szCs w:val="21"/>
              </w:rPr>
              <w:t>投资目标</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在严格控制风险和追求资产稳健增值的基础上,力求获得高于业绩基准的投资收益。</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投资范围</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的投资范围为具有良好流动性的金融工具，包括国内依法发行交易的国债、金融债、央行票据、地方政府债、企业债、公司债、分离交易可转债的纯债、次级债、资产支持证券、短期融资券、中期票据、债券回购、银行存款、货币市场工具等固定收益类资产和法律法规允许投资的其他金融工具。其中，封闭期内，本基金所投企业债和公司债信用评级需在AA级(含)以上。本基金不直接在二级市场买入股票、权证等权益类资产，也不参与一级市场新股申购和新股增发。同时本基金不参与可转换债券投资(分离交易可转债的纯债部分除外)。</w:t>
            </w:r>
          </w:p>
          <w:p>
            <w:pPr>
              <w:ind w:firstLine="420"/>
              <w:jc w:val="left"/>
              <w:rPr>
                <w:rFonts w:ascii="仿宋_GB2312" w:eastAsia="仿宋_GB2312"/>
                <w:szCs w:val="21"/>
              </w:rPr>
            </w:pPr>
            <w:r>
              <w:rPr>
                <w:rFonts w:hint="eastAsia" w:ascii="仿宋_GB2312" w:eastAsia="仿宋_GB2312"/>
                <w:szCs w:val="21"/>
              </w:rPr>
              <w:t>如法律法规或监管机构以后允许基金投资其他品种，基金管理人在履行适当程序后，可以将其纳入投资范围。</w:t>
            </w:r>
          </w:p>
          <w:p>
            <w:pPr>
              <w:ind w:firstLine="420"/>
              <w:jc w:val="left"/>
              <w:rPr>
                <w:rFonts w:ascii="仿宋_GB2312" w:eastAsia="仿宋_GB2312"/>
                <w:szCs w:val="21"/>
              </w:rPr>
            </w:pPr>
            <w:r>
              <w:rPr>
                <w:rFonts w:hint="eastAsia" w:ascii="仿宋_GB2312" w:eastAsia="仿宋_GB2312"/>
                <w:szCs w:val="21"/>
              </w:rPr>
              <w:t>基金的投资组合比例为投资于债券资产的比例不低于基金资产的80%，但在封闭期结束转开放的前后三个月内，基金投资不受上述债券资产投资比例限制。</w:t>
            </w:r>
          </w:p>
          <w:p>
            <w:pPr>
              <w:ind w:firstLine="420"/>
              <w:jc w:val="left"/>
              <w:rPr>
                <w:rFonts w:ascii="仿宋_GB2312" w:eastAsia="仿宋_GB2312"/>
                <w:szCs w:val="21"/>
              </w:rPr>
            </w:pPr>
            <w:r>
              <w:rPr>
                <w:rFonts w:hint="eastAsia" w:ascii="仿宋_GB2312" w:eastAsia="仿宋_GB2312"/>
                <w:szCs w:val="21"/>
              </w:rPr>
              <w:t>本基金在开放期内，现金或到期日在一年以内的政府债券的比例合计不低于基金资产净值的5%，其中现金不包括结算备付金、存出保证金、应收申购款等。</w:t>
            </w:r>
          </w:p>
          <w:p>
            <w:pPr>
              <w:ind w:firstLine="420"/>
              <w:jc w:val="left"/>
              <w:rPr>
                <w:rFonts w:ascii="仿宋_GB2312" w:eastAsia="仿宋_GB2312"/>
                <w:szCs w:val="21"/>
              </w:rPr>
            </w:pPr>
            <w:r>
              <w:rPr>
                <w:rFonts w:hint="eastAsia" w:ascii="仿宋_GB2312" w:eastAsia="仿宋_GB2312"/>
                <w:szCs w:val="21"/>
              </w:rPr>
              <w:t>如果法律法规或中国证监会变更投资品种的投资比例限制，基金管理人在履行适当程序后，可以调整上述投资品种的投资比例。</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主要投资策略</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充分发挥基金管理人的研究优势，融合规范化的基本面研究和严谨的信用分析，在分析和判断宏观经济运行状况和金融市场运行趋势的基础上，动态调整大类金融资产比例，自上而下决定类属资产配置和债券组合久期、期限结构；在严谨深入的信用分析基础上，综合考量信用债券的信用评级，以及各类债券的流动性、供求关系和收益率水平等，自下而上精选个券。本基金采用的主要策略包括：1、久期调整策略；2、债券的类属配置策略；3、期限结构配置策略；4、杠杆放大策略；5、信用债券投资策略；6、资产支持证券（含资产收益计划）投资策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业绩比较基准</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中债综合全价指数</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风险收益特征</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是一只债券型基金，其风险与预期收益高于货币市场基金，低于混合型基金和股票型基金，属于证券投资基金中中等风险的品种。根据2017年7月1日施行的《证券期货投资者适当性管理办法》，基金管理人和销售机构已对本基金重新进行风险评级。风险评级行为不改变本基金的实质性风险收益特征。但由于风险等级分类标准的变化，本基金的风险等级表述可能有相应变化，具体风险评级结果应以基金管理人和销售机构提供的评级结果为准。</w:t>
            </w:r>
          </w:p>
        </w:tc>
      </w:tr>
    </w:tbl>
    <w:p>
      <w:pPr>
        <w:jc w:val="left"/>
        <w:rPr>
          <w:rFonts w:ascii="仿宋_GB2312" w:hAnsi="宋体" w:eastAsia="仿宋_GB2312" w:cs="宋体"/>
          <w:kern w:val="0"/>
          <w:szCs w:val="21"/>
        </w:rPr>
      </w:pPr>
      <w:r>
        <w:rPr>
          <w:rFonts w:hint="eastAsia" w:ascii="仿宋_GB2312" w:hAnsi="宋体" w:eastAsia="仿宋_GB2312" w:cs="宋体"/>
          <w:kern w:val="0"/>
          <w:szCs w:val="21"/>
        </w:rPr>
        <w:t>注：</w:t>
      </w:r>
      <w:r>
        <w:rPr>
          <w:rFonts w:hint="eastAsia" w:ascii="仿宋_GB2312" w:eastAsia="仿宋_GB2312"/>
          <w:szCs w:val="21"/>
        </w:rPr>
        <w:t>详见《交银施罗德丰享收益债券型证券投资基金招募说明书》“基金的投资”。</w:t>
      </w:r>
    </w:p>
    <w:p>
      <w:pPr>
        <w:jc w:val="left"/>
        <w:rPr>
          <w:rFonts w:ascii="仿宋_GB2312" w:eastAsia="仿宋_GB2312"/>
          <w:b/>
          <w:szCs w:val="21"/>
        </w:rPr>
      </w:pPr>
      <w:r>
        <w:rPr>
          <w:rFonts w:hint="eastAsia" w:ascii="仿宋_GB2312" w:eastAsia="仿宋_GB2312"/>
          <w:b/>
          <w:szCs w:val="21"/>
        </w:rPr>
        <w:t>（二）投资组合资产配置图表/区域配置图表</w:t>
      </w:r>
    </w:p>
    <w:p>
      <w:pPr>
        <w:jc w:val="center"/>
        <w:rPr>
          <w:rFonts w:ascii="仿宋_GB2312" w:eastAsia="仿宋_GB2312"/>
          <w:b/>
          <w:szCs w:val="21"/>
        </w:rPr>
      </w:pPr>
      <w:r>
        <w:rPr>
          <w:rFonts w:ascii="宋体" w:hAnsi="宋体"/>
          <w:kern w:val="0"/>
        </w:rPr>
        <w:pict>
          <v:shape id="_x0000_i1025" o:spt="75" type="#_x0000_t75" style="height:249.75pt;width:330.75pt;" filled="f" o:preferrelative="t" stroked="f" coordsize="21600,21600">
            <v:path/>
            <v:fill on="f" focussize="0,0"/>
            <v:stroke on="f" joinstyle="miter"/>
            <v:imagedata r:id="rId4"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注：由于四舍五入的原因，分项之和与合计项之间可能存在尾差。</w:t>
      </w:r>
    </w:p>
    <w:p>
      <w:pPr>
        <w:jc w:val="left"/>
        <w:rPr>
          <w:rFonts w:ascii="仿宋_GB2312" w:eastAsia="仿宋_GB2312"/>
          <w:b/>
          <w:szCs w:val="21"/>
        </w:rPr>
      </w:pPr>
      <w:r>
        <w:rPr>
          <w:rFonts w:hint="eastAsia" w:ascii="仿宋_GB2312" w:eastAsia="仿宋_GB2312"/>
          <w:b/>
          <w:szCs w:val="21"/>
        </w:rPr>
        <w:t>（三）自基金合同生效以来/最近十年（孰短）基金每年的净值增长率及与同期业绩比较基准的比较图</w:t>
      </w:r>
    </w:p>
    <w:p>
      <w:pPr>
        <w:jc w:val="center"/>
        <w:rPr>
          <w:rFonts w:ascii="仿宋_GB2312" w:eastAsia="仿宋_GB2312"/>
          <w:b/>
          <w:szCs w:val="21"/>
        </w:rPr>
      </w:pPr>
      <w:r>
        <w:rPr>
          <w:rFonts w:ascii="宋体" w:hAnsi="宋体"/>
          <w:kern w:val="0"/>
        </w:rPr>
        <w:pict>
          <v:shape id="_x0000_i1026" o:spt="75" type="#_x0000_t75" style="height:159.75pt;width:499.5pt;" filled="f" o:preferrelative="t" stroked="f" coordsize="21600,21600">
            <v:path/>
            <v:fill on="f" focussize="0,0"/>
            <v:stroke on="f" joinstyle="miter"/>
            <v:imagedata r:id="rId5"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注：1、净值表现数据的截止日为2025年12月31日。</w:t>
      </w:r>
    </w:p>
    <w:p>
      <w:pPr>
        <w:ind w:left="420" w:firstLine="420" w:firstLineChars="200"/>
        <w:jc w:val="left"/>
        <w:rPr>
          <w:rFonts w:ascii="仿宋_GB2312" w:eastAsia="仿宋_GB2312"/>
          <w:szCs w:val="21"/>
        </w:rPr>
      </w:pPr>
      <w:r>
        <w:rPr>
          <w:rFonts w:hint="eastAsia" w:ascii="仿宋_GB2312" w:eastAsia="仿宋_GB2312"/>
          <w:szCs w:val="21"/>
        </w:rPr>
        <w:t>2、本基金自2017年1月20日起转为开放式运作，本基金的业绩比较基准由“两年期银行定期存款税后收益率”变更为“中债综合全价指数”。</w:t>
      </w:r>
    </w:p>
    <w:p>
      <w:pPr>
        <w:ind w:left="420" w:firstLine="420" w:firstLineChars="200"/>
        <w:jc w:val="left"/>
        <w:rPr>
          <w:rFonts w:ascii="仿宋_GB2312" w:eastAsia="仿宋_GB2312"/>
          <w:szCs w:val="21"/>
        </w:rPr>
      </w:pPr>
      <w:r>
        <w:rPr>
          <w:rFonts w:hint="eastAsia" w:ascii="仿宋_GB2312" w:eastAsia="仿宋_GB2312"/>
          <w:szCs w:val="21"/>
        </w:rPr>
        <w:t>3、基金的过往业绩不代表未来表现。</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三、投资本基金涉及的费用</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（一）基金销售相关费用</w:t>
      </w:r>
    </w:p>
    <w:p>
      <w:pPr>
        <w:jc w:val="left"/>
        <w:rPr>
          <w:rFonts w:ascii="仿宋_GB2312" w:eastAsia="仿宋_GB2312"/>
          <w:szCs w:val="21"/>
        </w:rPr>
      </w:pPr>
      <w:r>
        <w:rPr>
          <w:rFonts w:hint="eastAsia" w:ascii="仿宋_GB2312" w:eastAsia="仿宋_GB2312"/>
          <w:szCs w:val="21"/>
        </w:rPr>
        <w:t>以下费用在认购/申购/赎回基金过程中收取：</w:t>
      </w:r>
    </w:p>
    <w:tbl>
      <w:tblPr>
        <w:tblStyle w:val="8"/>
        <w:tblW w:w="9308"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737"/>
        <w:gridCol w:w="2826"/>
        <w:gridCol w:w="1750"/>
        <w:gridCol w:w="1995"/>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Align w:val="center"/>
          </w:tcPr>
          <w:p>
            <w:pPr>
              <w:widowControl/>
              <w:jc w:val="left"/>
              <w:rPr>
                <w:rFonts w:ascii="仿宋_GB2312" w:eastAsia="仿宋_GB2312"/>
                <w:szCs w:val="21"/>
              </w:rPr>
            </w:pPr>
            <w:r>
              <w:rPr>
                <w:rFonts w:hint="eastAsia" w:ascii="仿宋_GB2312" w:hAnsi="宋体" w:eastAsia="仿宋_GB2312" w:cs="宋体"/>
                <w:kern w:val="0"/>
                <w:szCs w:val="21"/>
              </w:rPr>
              <w:t>费用类型</w:t>
            </w:r>
          </w:p>
        </w:tc>
        <w:tc>
          <w:tcPr>
            <w:tcW w:w="2409" w:type="dxa"/>
            <w:vAlign w:val="center"/>
          </w:tcPr>
          <w:p>
            <w:pPr>
              <w:rPr>
                <w:rFonts w:ascii="仿宋_GB2312" w:eastAsia="仿宋_GB2312"/>
                <w:szCs w:val="21"/>
              </w:rPr>
            </w:pPr>
            <w:r>
              <w:rPr>
                <w:rFonts w:hint="eastAsia" w:ascii="仿宋_GB2312" w:eastAsia="仿宋_GB2312"/>
                <w:szCs w:val="21"/>
              </w:rPr>
              <w:t>份额（S）或金额（M）/持有期限（N）</w:t>
            </w:r>
          </w:p>
        </w:tc>
        <w:tc>
          <w:tcPr>
            <w:tcW w:w="1843" w:type="dxa"/>
            <w:vAlign w:val="center"/>
          </w:tcPr>
          <w:p>
            <w:pPr>
              <w:rPr>
                <w:rFonts w:ascii="仿宋_GB2312" w:eastAsia="仿宋_GB2312"/>
                <w:szCs w:val="21"/>
              </w:rPr>
            </w:pPr>
            <w:r>
              <w:rPr>
                <w:rFonts w:hint="eastAsia" w:ascii="仿宋_GB2312" w:eastAsia="仿宋_GB2312"/>
                <w:szCs w:val="21"/>
              </w:rPr>
              <w:t>收费方式/费率</w:t>
            </w:r>
          </w:p>
        </w:tc>
        <w:tc>
          <w:tcPr>
            <w:tcW w:w="2126" w:type="dxa"/>
            <w:vAlign w:val="center"/>
          </w:tcPr>
          <w:p>
            <w:pPr>
              <w:widowControl/>
              <w:jc w:val="left"/>
              <w:rPr>
                <w:rFonts w:ascii="仿宋_GB2312" w:eastAsia="仿宋_GB2312"/>
                <w:szCs w:val="21"/>
              </w:rPr>
            </w:pPr>
            <w:r>
              <w:rPr>
                <w:rFonts w:hint="eastAsia" w:ascii="仿宋_GB2312" w:hAnsi="宋体" w:eastAsia="仿宋_GB2312" w:cs="宋体"/>
                <w:kern w:val="0"/>
                <w:szCs w:val="21"/>
              </w:rPr>
              <w:t>备注</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赎回费</w:t>
            </w:r>
          </w:p>
        </w:tc>
        <w:tc>
          <w:tcPr>
            <w:tcW w:w="2409" w:type="dxa"/>
          </w:tcPr>
          <w:p>
            <w:pPr>
              <w:rPr>
                <w:rFonts w:ascii="仿宋_GB2312" w:eastAsia="仿宋_GB2312"/>
                <w:szCs w:val="21"/>
              </w:rPr>
            </w:pPr>
            <w:r>
              <w:rPr>
                <w:rFonts w:hint="eastAsia" w:ascii="仿宋_GB2312" w:eastAsia="仿宋_GB2312"/>
                <w:szCs w:val="21"/>
              </w:rPr>
              <w:t>N＜7天</w:t>
            </w:r>
          </w:p>
        </w:tc>
        <w:tc>
          <w:tcPr>
            <w:tcW w:w="1843" w:type="dxa"/>
            <w:vAlign w:val="center"/>
          </w:tcPr>
          <w:p>
            <w:pPr>
              <w:rPr>
                <w:rFonts w:ascii="仿宋_GB2312" w:eastAsia="仿宋_GB2312"/>
                <w:szCs w:val="21"/>
              </w:rPr>
            </w:pPr>
            <w:r>
              <w:rPr>
                <w:rFonts w:hint="eastAsia" w:ascii="仿宋_GB2312" w:eastAsia="仿宋_GB2312"/>
                <w:szCs w:val="21"/>
              </w:rPr>
              <w:t>1.5%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7天≤N</w:t>
            </w:r>
          </w:p>
        </w:tc>
        <w:tc>
          <w:tcPr>
            <w:tcW w:w="1843" w:type="dxa"/>
            <w:vAlign w:val="center"/>
          </w:tcPr>
          <w:p>
            <w:pPr>
              <w:rPr>
                <w:rFonts w:ascii="仿宋_GB2312" w:eastAsia="仿宋_GB2312"/>
                <w:szCs w:val="21"/>
              </w:rPr>
            </w:pPr>
            <w:r>
              <w:rPr>
                <w:rFonts w:hint="eastAsia" w:ascii="仿宋_GB2312" w:eastAsia="仿宋_GB2312"/>
                <w:szCs w:val="21"/>
              </w:rPr>
              <w:t>0%</w:t>
            </w:r>
          </w:p>
        </w:tc>
        <w:tc>
          <w:tcPr>
            <w:tcW w:w="1843" w:type="dxa"/>
            <w:vAlign w:val="center"/>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szCs w:val="21"/>
        </w:rPr>
        <w:t>注：1、本基金对持续持有期少于7日的投资人收取1.5%的赎回费，请投资人予以关注。</w:t>
      </w:r>
    </w:p>
    <w:p>
      <w:pPr>
        <w:jc w:val="left"/>
        <w:rPr>
          <w:rFonts w:ascii="仿宋_GB2312" w:eastAsia="仿宋_GB2312"/>
          <w:b/>
          <w:szCs w:val="21"/>
        </w:rPr>
      </w:pPr>
      <w:r>
        <w:rPr>
          <w:rFonts w:hint="eastAsia" w:ascii="仿宋_GB2312" w:eastAsia="仿宋_GB2312"/>
          <w:b/>
          <w:szCs w:val="21"/>
        </w:rPr>
        <w:t>（二）基金运作相关费用</w:t>
      </w:r>
    </w:p>
    <w:p>
      <w:pPr>
        <w:jc w:val="left"/>
        <w:rPr>
          <w:rFonts w:ascii="仿宋_GB2312" w:hAnsi="宋体" w:eastAsia="仿宋_GB2312" w:cs="宋体"/>
          <w:kern w:val="0"/>
          <w:szCs w:val="21"/>
        </w:rPr>
      </w:pPr>
      <w:r>
        <w:rPr>
          <w:rFonts w:hint="eastAsia" w:ascii="仿宋_GB2312" w:hAnsi="宋体" w:eastAsia="仿宋_GB2312" w:cs="宋体"/>
          <w:kern w:val="0"/>
          <w:szCs w:val="21"/>
        </w:rPr>
        <w:t>以下费用将从基金资产中扣除：</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127"/>
        <w:gridCol w:w="4239"/>
        <w:gridCol w:w="2139"/>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b/>
                <w:szCs w:val="21"/>
              </w:rPr>
            </w:pPr>
            <w:r>
              <w:rPr>
                <w:rFonts w:hint="eastAsia" w:ascii="仿宋_GB2312" w:eastAsia="仿宋_GB2312"/>
                <w:b/>
                <w:szCs w:val="21"/>
              </w:rPr>
              <w:t>费用类别</w:t>
            </w:r>
          </w:p>
        </w:tc>
        <w:tc>
          <w:tcPr>
            <w:tcW w:w="5958" w:type="dxa"/>
            <w:vAlign w:val="center"/>
          </w:tcPr>
          <w:p>
            <w:pPr>
              <w:rPr>
                <w:rFonts w:ascii="仿宋_GB2312" w:eastAsia="仿宋_GB2312"/>
                <w:b/>
                <w:szCs w:val="21"/>
              </w:rPr>
            </w:pPr>
            <w:r>
              <w:rPr>
                <w:rFonts w:hint="eastAsia" w:ascii="仿宋_GB2312" w:hAnsi="宋体" w:eastAsia="仿宋_GB2312" w:cs="宋体"/>
                <w:b/>
                <w:kern w:val="0"/>
                <w:szCs w:val="21"/>
              </w:rPr>
              <w:t>收费方式</w:t>
            </w:r>
            <w:r>
              <w:rPr>
                <w:rFonts w:hint="eastAsia" w:ascii="仿宋_GB2312" w:eastAsia="仿宋_GB2312" w:cs="FZFSJW--GB1-0"/>
                <w:b/>
                <w:kern w:val="0"/>
                <w:szCs w:val="21"/>
              </w:rPr>
              <w:t>/</w:t>
            </w:r>
            <w:r>
              <w:rPr>
                <w:rFonts w:hint="eastAsia" w:ascii="仿宋_GB2312" w:hAnsi="宋体" w:eastAsia="仿宋_GB2312" w:cs="宋体"/>
                <w:b/>
                <w:kern w:val="0"/>
                <w:szCs w:val="21"/>
              </w:rPr>
              <w:t>年费率或金额</w:t>
            </w:r>
          </w:p>
        </w:tc>
        <w:tc>
          <w:tcPr>
            <w:tcW w:w="2542" w:type="dxa"/>
          </w:tcPr>
          <w:p>
            <w:pPr>
              <w:rPr>
                <w:rFonts w:ascii="仿宋" w:hAnsi="仿宋" w:eastAsia="仿宋" w:cs="仿宋"/>
                <w:b/>
                <w:sz w:val="24"/>
                <w:szCs w:val="24"/>
              </w:rPr>
            </w:pPr>
            <w:r>
              <w:rPr>
                <w:rFonts w:hint="eastAsia" w:ascii="仿宋" w:hAnsi="仿宋" w:eastAsia="仿宋" w:cs="仿宋"/>
                <w:b/>
                <w:sz w:val="24"/>
                <w:szCs w:val="24"/>
              </w:rPr>
              <w:t>收取方</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管理费</w:t>
            </w:r>
          </w:p>
        </w:tc>
        <w:tc>
          <w:tcPr>
            <w:tcW w:w="5958" w:type="dxa"/>
            <w:vAlign w:val="center"/>
          </w:tcPr>
          <w:p>
            <w:pPr>
              <w:rPr>
                <w:rFonts w:ascii="仿宋_GB2312" w:eastAsia="仿宋_GB2312"/>
                <w:szCs w:val="21"/>
              </w:rPr>
            </w:pPr>
            <w:r>
              <w:rPr>
                <w:rFonts w:hint="eastAsia" w:ascii="仿宋_GB2312" w:eastAsia="仿宋_GB2312"/>
                <w:szCs w:val="21"/>
              </w:rPr>
              <w:t>0.30%</w:t>
            </w:r>
          </w:p>
        </w:tc>
        <w:tc>
          <w:tcPr>
            <w:tcW w:w="3078" w:type="dxa"/>
          </w:tcPr>
          <w:p>
            <w:pPr>
              <w:rPr>
                <w:rFonts w:ascii="仿宋_GB2312" w:eastAsia="仿宋_GB2312"/>
                <w:szCs w:val="21"/>
              </w:rPr>
            </w:pPr>
            <w:r>
              <w:rPr>
                <w:rFonts w:hint="eastAsia" w:ascii="仿宋_GB2312" w:eastAsia="仿宋_GB2312"/>
                <w:szCs w:val="21"/>
              </w:rPr>
              <w:t>基金管理人和销售机构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托管费</w:t>
            </w:r>
          </w:p>
        </w:tc>
        <w:tc>
          <w:tcPr>
            <w:tcW w:w="5958" w:type="dxa"/>
            <w:vAlign w:val="center"/>
          </w:tcPr>
          <w:p>
            <w:pPr>
              <w:rPr>
                <w:rFonts w:ascii="仿宋_GB2312" w:eastAsia="仿宋_GB2312"/>
                <w:szCs w:val="21"/>
              </w:rPr>
            </w:pPr>
            <w:r>
              <w:rPr>
                <w:rFonts w:hint="eastAsia" w:ascii="仿宋_GB2312" w:eastAsia="仿宋_GB2312"/>
                <w:szCs w:val="21"/>
              </w:rPr>
              <w:t>0.10%</w:t>
            </w:r>
          </w:p>
        </w:tc>
        <w:tc>
          <w:tcPr>
            <w:tcW w:w="3078" w:type="dxa"/>
          </w:tcPr>
          <w:p>
            <w:pPr>
              <w:rPr>
                <w:rFonts w:ascii="仿宋_GB2312" w:eastAsia="仿宋_GB2312"/>
                <w:szCs w:val="21"/>
              </w:rPr>
            </w:pPr>
            <w:r>
              <w:rPr>
                <w:rFonts w:hint="eastAsia" w:ascii="仿宋_GB2312" w:eastAsia="仿宋_GB2312"/>
                <w:szCs w:val="21"/>
              </w:rPr>
              <w:t>基金托管人</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销售服务费</w:t>
            </w:r>
          </w:p>
        </w:tc>
        <w:tc>
          <w:tcPr>
            <w:tcW w:w="3080" w:type="dxa"/>
            <w:vAlign w:val="center"/>
          </w:tcPr>
          <w:p>
            <w:pPr>
              <w:rPr>
                <w:rFonts w:ascii="仿宋_GB2312" w:eastAsia="仿宋_GB2312"/>
                <w:szCs w:val="21"/>
              </w:rPr>
            </w:pPr>
            <w:r>
              <w:rPr>
                <w:rFonts w:hint="eastAsia" w:ascii="仿宋_GB2312" w:eastAsia="仿宋_GB2312"/>
                <w:szCs w:val="21"/>
              </w:rPr>
              <w:t>0.40%</w:t>
            </w:r>
          </w:p>
        </w:tc>
        <w:tc>
          <w:tcPr>
            <w:tcW w:w="3078" w:type="dxa"/>
          </w:tcPr>
          <w:p>
            <w:pPr>
              <w:rPr>
                <w:rFonts w:ascii="仿宋_GB2312" w:eastAsia="仿宋_GB2312"/>
                <w:szCs w:val="21"/>
              </w:rPr>
            </w:pPr>
            <w:r>
              <w:rPr>
                <w:rFonts w:hint="eastAsia" w:ascii="仿宋_GB2312" w:eastAsia="仿宋_GB2312"/>
                <w:szCs w:val="21"/>
              </w:rPr>
              <w:t>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审计费用</w:t>
            </w:r>
          </w:p>
        </w:tc>
        <w:tc>
          <w:tcPr>
            <w:tcW w:w="3080" w:type="dxa"/>
            <w:vAlign w:val="center"/>
          </w:tcPr>
          <w:p>
            <w:pPr>
              <w:rPr>
                <w:rFonts w:ascii="仿宋_GB2312" w:eastAsia="仿宋_GB2312"/>
                <w:szCs w:val="21"/>
              </w:rPr>
            </w:pPr>
            <w:r>
              <w:rPr>
                <w:rFonts w:hint="eastAsia" w:ascii="仿宋_GB2312" w:eastAsia="仿宋_GB2312"/>
                <w:szCs w:val="21"/>
              </w:rPr>
              <w:t>50000.00</w:t>
            </w:r>
          </w:p>
        </w:tc>
        <w:tc>
          <w:tcPr>
            <w:tcW w:w="3078" w:type="dxa"/>
          </w:tcPr>
          <w:p>
            <w:pPr>
              <w:rPr>
                <w:rFonts w:ascii="仿宋_GB2312" w:eastAsia="仿宋_GB2312"/>
                <w:szCs w:val="21"/>
              </w:rPr>
            </w:pPr>
            <w:r>
              <w:rPr>
                <w:rFonts w:hint="eastAsia" w:ascii="仿宋_GB2312" w:eastAsia="仿宋_GB2312"/>
                <w:szCs w:val="21"/>
              </w:rPr>
              <w:t>会计师事务所</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信息披露费</w:t>
            </w:r>
          </w:p>
        </w:tc>
        <w:tc>
          <w:tcPr>
            <w:tcW w:w="3080" w:type="dxa"/>
            <w:vAlign w:val="center"/>
          </w:tcPr>
          <w:p>
            <w:pPr>
              <w:rPr>
                <w:rFonts w:ascii="仿宋_GB2312" w:eastAsia="仿宋_GB2312"/>
                <w:szCs w:val="21"/>
              </w:rPr>
            </w:pPr>
            <w:r>
              <w:rPr>
                <w:rFonts w:hint="eastAsia" w:ascii="仿宋_GB2312" w:eastAsia="仿宋_GB2312"/>
                <w:szCs w:val="21"/>
              </w:rPr>
              <w:t>120000.00</w:t>
            </w:r>
          </w:p>
        </w:tc>
        <w:tc>
          <w:tcPr>
            <w:tcW w:w="3078" w:type="dxa"/>
          </w:tcPr>
          <w:p>
            <w:pPr>
              <w:rPr>
                <w:rFonts w:ascii="仿宋_GB2312" w:eastAsia="仿宋_GB2312"/>
                <w:szCs w:val="21"/>
              </w:rPr>
            </w:pPr>
            <w:r>
              <w:rPr>
                <w:rFonts w:hint="eastAsia" w:ascii="仿宋_GB2312" w:eastAsia="仿宋_GB2312"/>
                <w:szCs w:val="21"/>
              </w:rPr>
              <w:t>规定披露报刊</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指数许可使用费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指数编制公司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szCs w:val="21"/>
              </w:rPr>
            </w:pPr>
            <w:r>
              <w:rPr>
                <w:rFonts w:hint="eastAsia" w:ascii="仿宋_GB2312" w:eastAsia="仿宋_GB2312"/>
                <w:szCs w:val="21"/>
              </w:rPr>
              <w:t>其他费用</w:t>
            </w:r>
          </w:p>
        </w:tc>
        <w:tc>
          <w:tcPr>
            <w:tcW w:w="3080" w:type="dxa"/>
            <w:vAlign w:val="center"/>
          </w:tcPr>
          <w:p>
            <w:pPr>
              <w:rPr>
                <w:rFonts w:ascii="仿宋_GB2312" w:eastAsia="仿宋_GB2312"/>
                <w:szCs w:val="21"/>
              </w:rPr>
            </w:pPr>
            <w:r>
              <w:rPr>
                <w:rFonts w:hint="eastAsia" w:ascii="仿宋_GB2312" w:eastAsia="仿宋_GB2312"/>
                <w:szCs w:val="21"/>
              </w:rPr>
              <w:t>详见本基金招募说明书“基金的费用与税收”部分</w:t>
            </w:r>
          </w:p>
        </w:tc>
        <w:tc>
          <w:tcPr>
            <w:tcW w:w="3078" w:type="dxa"/>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b/>
          <w:szCs w:val="21"/>
        </w:rPr>
        <w:t>注：</w:t>
      </w:r>
      <w:r>
        <w:rPr>
          <w:rFonts w:hint="eastAsia" w:ascii="仿宋_GB2312" w:eastAsia="仿宋_GB2312"/>
          <w:szCs w:val="21"/>
        </w:rPr>
        <w:t>本基金交易证券、基金等产生的费用和税负，按实际发生额从基金资产扣除。上表中披露的年费用金额为基金整体承担费用，非单个份额类别费用，且年金额为预估值，最终实际金额以基金定期报告披露为准。</w:t>
      </w:r>
    </w:p>
    <w:p>
      <w:pPr>
        <w:jc w:val="left"/>
        <w:rPr>
          <w:rFonts w:ascii="仿宋" w:hAnsi="仿宋" w:eastAsia="仿宋" w:cs="仿宋"/>
          <w:b/>
          <w:sz w:val="24"/>
          <w:szCs w:val="24"/>
        </w:rPr>
      </w:pPr>
      <w:r>
        <w:rPr>
          <w:rFonts w:hint="eastAsia" w:ascii="仿宋" w:hAnsi="仿宋" w:eastAsia="仿宋" w:cs="仿宋"/>
          <w:b/>
          <w:szCs w:val="21"/>
        </w:rPr>
        <w:t>（三）基金运作综合费用测算</w:t>
      </w:r>
    </w:p>
    <w:p>
      <w:pPr>
        <w:jc w:val="left"/>
        <w:rPr>
          <w:rFonts w:ascii="仿宋" w:hAnsi="仿宋" w:eastAsia="仿宋" w:cs="仿宋"/>
          <w:kern w:val="0"/>
          <w:szCs w:val="21"/>
        </w:rPr>
      </w:pPr>
      <w:r>
        <w:rPr>
          <w:rFonts w:hint="eastAsia" w:ascii="仿宋" w:hAnsi="仿宋" w:eastAsia="仿宋" w:cs="仿宋"/>
          <w:kern w:val="0"/>
          <w:szCs w:val="21"/>
        </w:rPr>
        <w:t>若投资者认购/申购本基金份额，在持有期间，投资者需支出的运作费率如下表：</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3109"/>
        <w:gridCol w:w="53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PrEx>
        <w:trPr>
          <w:jc w:val="center"/>
        </w:trPr>
        <w:tc>
          <w:tcPr>
            <w:tcW w:w="3078" w:type="dxa"/>
          </w:tcPr>
          <w:p>
            <w:pPr>
              <w:rPr>
                <w:rFonts w:ascii="仿宋_GB2312" w:eastAsia="仿宋_GB2312"/>
                <w:b/>
                <w:szCs w:val="21"/>
              </w:rPr>
            </w:pPr>
          </w:p>
        </w:tc>
        <w:tc>
          <w:tcPr>
            <w:tcW w:w="5342" w:type="dxa"/>
          </w:tcPr>
          <w:p>
            <w:pPr>
              <w:rPr>
                <w:rFonts w:ascii="仿宋" w:hAnsi="仿宋" w:eastAsia="仿宋" w:cs="仿宋"/>
                <w:b/>
                <w:szCs w:val="21"/>
              </w:rPr>
            </w:pPr>
            <w:r>
              <w:rPr>
                <w:rFonts w:hint="eastAsia" w:ascii="仿宋" w:hAnsi="仿宋" w:eastAsia="仿宋" w:cs="仿宋"/>
                <w:b/>
                <w:sz w:val="24"/>
                <w:szCs w:val="24"/>
              </w:rPr>
              <w:t>基金运作综合费率（年化）</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3080" w:type="dxa"/>
            <w:vAlign w:val="center"/>
          </w:tcPr>
          <w:p>
            <w:pPr>
              <w:rPr>
                <w:rFonts w:ascii="仿宋_GB2312" w:eastAsia="仿宋_GB2312"/>
                <w:szCs w:val="21"/>
              </w:rPr>
            </w:pPr>
            <w:r>
              <w:rPr>
                <w:rFonts w:hint="eastAsia" w:ascii="仿宋_GB2312" w:eastAsia="仿宋_GB2312"/>
                <w:szCs w:val="21"/>
              </w:rPr>
              <w:t>0.81%</w:t>
            </w:r>
          </w:p>
        </w:tc>
      </w:tr>
    </w:tbl>
    <w:p>
      <w:pPr>
        <w:jc w:val="left"/>
        <w:rPr>
          <w:rFonts w:ascii="仿宋" w:hAnsi="仿宋" w:eastAsia="仿宋" w:cs="仿宋"/>
          <w:sz w:val="24"/>
          <w:szCs w:val="24"/>
        </w:rPr>
      </w:pPr>
      <w:r>
        <w:rPr>
          <w:rFonts w:hint="eastAsia" w:ascii="仿宋_GB2312" w:eastAsia="仿宋_GB2312"/>
          <w:b/>
          <w:szCs w:val="21"/>
        </w:rPr>
        <w:t>注：</w:t>
      </w:r>
      <w:r>
        <w:rPr>
          <w:rFonts w:hint="eastAsia" w:ascii="仿宋_GB2312" w:eastAsia="仿宋_GB2312"/>
          <w:szCs w:val="21"/>
        </w:rPr>
        <w:t>基金管理费率、托管费率、销售服务费率（若有）为基金现行费率，其他运作费用以最近一次基金年报披露的相关数据为基准测算。</w:t>
      </w:r>
    </w:p>
    <w:p>
      <w:pPr>
        <w:jc w:val="left"/>
        <w:rPr>
          <w:rFonts w:ascii="仿宋_GB2312" w:hAnsi="宋体" w:eastAsia="仿宋_GB2312" w:cs="宋体"/>
          <w:b/>
          <w:kern w:val="0"/>
          <w:szCs w:val="21"/>
        </w:rPr>
      </w:pPr>
      <w:r>
        <w:rPr>
          <w:rFonts w:hint="eastAsia" w:ascii="仿宋_GB2312" w:hAnsi="宋体" w:eastAsia="仿宋_GB2312" w:cs="宋体"/>
          <w:b/>
          <w:kern w:val="0"/>
          <w:szCs w:val="21"/>
        </w:rPr>
        <w:t>四、风险揭示与重要提示</w:t>
      </w:r>
    </w:p>
    <w:p>
      <w:pPr>
        <w:jc w:val="left"/>
        <w:rPr>
          <w:rFonts w:ascii="仿宋_GB2312" w:eastAsia="仿宋_GB2312"/>
          <w:b/>
          <w:szCs w:val="21"/>
        </w:rPr>
      </w:pPr>
      <w:r>
        <w:rPr>
          <w:rFonts w:hint="eastAsia" w:ascii="仿宋_GB2312" w:eastAsia="仿宋_GB2312"/>
          <w:b/>
          <w:szCs w:val="21"/>
        </w:rPr>
        <w:t>（一）风险揭示</w:t>
      </w:r>
    </w:p>
    <w:p>
      <w:pPr>
        <w:ind w:firstLine="420"/>
        <w:jc w:val="left"/>
        <w:rPr>
          <w:rFonts w:ascii="仿宋_GB2312" w:eastAsia="仿宋_GB2312"/>
          <w:szCs w:val="21"/>
        </w:rPr>
      </w:pPr>
      <w:r>
        <w:rPr>
          <w:rFonts w:hint="eastAsia" w:ascii="仿宋_GB2312" w:eastAsia="仿宋_GB2312"/>
          <w:szCs w:val="21"/>
        </w:rPr>
        <w:t>本基金不提供任何保证。投资者可能损失投资本金。</w:t>
      </w:r>
    </w:p>
    <w:p>
      <w:pPr>
        <w:ind w:firstLine="420"/>
        <w:jc w:val="left"/>
        <w:rPr>
          <w:rFonts w:ascii="仿宋_GB2312" w:eastAsia="仿宋_GB2312"/>
          <w:szCs w:val="21"/>
        </w:rPr>
      </w:pPr>
      <w:r>
        <w:rPr>
          <w:rFonts w:hint="eastAsia" w:ascii="仿宋_GB2312" w:eastAsia="仿宋_GB2312"/>
          <w:szCs w:val="21"/>
        </w:rPr>
        <w:t>投资有风险，投资者购买基金时应认真阅读本基金的《招募说明书》等销售文件。</w:t>
      </w:r>
    </w:p>
    <w:p>
      <w:pPr>
        <w:ind w:firstLine="420"/>
        <w:jc w:val="left"/>
        <w:rPr>
          <w:rFonts w:ascii="仿宋_GB2312" w:eastAsia="仿宋_GB2312"/>
          <w:szCs w:val="21"/>
        </w:rPr>
      </w:pPr>
      <w:r>
        <w:rPr>
          <w:rFonts w:hint="eastAsia" w:ascii="仿宋_GB2312" w:eastAsia="仿宋_GB2312"/>
          <w:szCs w:val="21"/>
        </w:rPr>
        <w:t>基金份额持有人须了解并承受以下风险：</w:t>
      </w:r>
    </w:p>
    <w:p>
      <w:pPr>
        <w:ind w:firstLine="420"/>
        <w:jc w:val="left"/>
        <w:rPr>
          <w:rFonts w:ascii="仿宋_GB2312" w:eastAsia="仿宋_GB2312"/>
          <w:szCs w:val="21"/>
        </w:rPr>
      </w:pPr>
      <w:r>
        <w:rPr>
          <w:rFonts w:hint="eastAsia" w:ascii="仿宋_GB2312" w:eastAsia="仿宋_GB2312"/>
          <w:szCs w:val="21"/>
        </w:rPr>
        <w:t>1、市场风险</w:t>
      </w:r>
    </w:p>
    <w:p>
      <w:pPr>
        <w:ind w:firstLine="420"/>
        <w:jc w:val="left"/>
        <w:rPr>
          <w:rFonts w:ascii="仿宋_GB2312" w:eastAsia="仿宋_GB2312"/>
          <w:szCs w:val="21"/>
        </w:rPr>
      </w:pPr>
      <w:r>
        <w:rPr>
          <w:rFonts w:hint="eastAsia" w:ascii="仿宋_GB2312" w:eastAsia="仿宋_GB2312"/>
          <w:szCs w:val="21"/>
        </w:rPr>
        <w:t>（1）政策风险、（2）经济周期风险、（3）利率风险、（4）信用风险、（5）购买力风险、（6）债券收益率曲线变动风险、（7）再投资风险、（8）经营风险、（9）上市公司经营风险、（10）债券回购风险</w:t>
      </w:r>
    </w:p>
    <w:p>
      <w:pPr>
        <w:ind w:firstLine="420"/>
        <w:jc w:val="left"/>
        <w:rPr>
          <w:rFonts w:ascii="仿宋_GB2312" w:eastAsia="仿宋_GB2312"/>
          <w:szCs w:val="21"/>
        </w:rPr>
      </w:pPr>
      <w:r>
        <w:rPr>
          <w:rFonts w:hint="eastAsia" w:ascii="仿宋_GB2312" w:eastAsia="仿宋_GB2312"/>
          <w:szCs w:val="21"/>
        </w:rPr>
        <w:t>2、管理风险</w:t>
      </w:r>
    </w:p>
    <w:p>
      <w:pPr>
        <w:ind w:firstLine="420"/>
        <w:jc w:val="left"/>
        <w:rPr>
          <w:rFonts w:ascii="仿宋_GB2312" w:eastAsia="仿宋_GB2312"/>
          <w:szCs w:val="21"/>
        </w:rPr>
      </w:pPr>
      <w:r>
        <w:rPr>
          <w:rFonts w:hint="eastAsia" w:ascii="仿宋_GB2312" w:eastAsia="仿宋_GB2312"/>
          <w:szCs w:val="21"/>
        </w:rPr>
        <w:t>3、流动性风险</w:t>
      </w:r>
    </w:p>
    <w:p>
      <w:pPr>
        <w:ind w:firstLine="420"/>
        <w:jc w:val="left"/>
        <w:rPr>
          <w:rFonts w:ascii="仿宋_GB2312" w:eastAsia="仿宋_GB2312"/>
          <w:szCs w:val="21"/>
        </w:rPr>
      </w:pPr>
      <w:r>
        <w:rPr>
          <w:rFonts w:hint="eastAsia" w:ascii="仿宋_GB2312" w:eastAsia="仿宋_GB2312"/>
          <w:szCs w:val="21"/>
        </w:rPr>
        <w:t>4、交易对手违约风险</w:t>
      </w:r>
    </w:p>
    <w:p>
      <w:pPr>
        <w:ind w:firstLine="420"/>
        <w:jc w:val="left"/>
        <w:rPr>
          <w:rFonts w:ascii="仿宋_GB2312" w:eastAsia="仿宋_GB2312"/>
          <w:szCs w:val="21"/>
        </w:rPr>
      </w:pPr>
      <w:r>
        <w:rPr>
          <w:rFonts w:hint="eastAsia" w:ascii="仿宋_GB2312" w:eastAsia="仿宋_GB2312"/>
          <w:szCs w:val="21"/>
        </w:rPr>
        <w:t>5、本基金的特有风险</w:t>
      </w:r>
    </w:p>
    <w:p>
      <w:pPr>
        <w:ind w:firstLine="420"/>
        <w:jc w:val="left"/>
        <w:rPr>
          <w:rFonts w:ascii="仿宋_GB2312" w:eastAsia="仿宋_GB2312"/>
          <w:szCs w:val="21"/>
        </w:rPr>
      </w:pPr>
      <w:r>
        <w:rPr>
          <w:rFonts w:hint="eastAsia" w:ascii="仿宋_GB2312" w:eastAsia="仿宋_GB2312"/>
          <w:szCs w:val="21"/>
        </w:rPr>
        <w:t>（1）本基金为债券型基金，投资于债券资产的比例不低于基金资产的80%，因投资固定收益类资产而面临固定收益类资产市场的系统性风险和个券风险；</w:t>
      </w:r>
    </w:p>
    <w:p>
      <w:pPr>
        <w:ind w:firstLine="420"/>
        <w:jc w:val="left"/>
        <w:rPr>
          <w:rFonts w:ascii="仿宋_GB2312" w:eastAsia="仿宋_GB2312"/>
          <w:szCs w:val="21"/>
        </w:rPr>
      </w:pPr>
      <w:r>
        <w:rPr>
          <w:rFonts w:hint="eastAsia" w:ascii="仿宋_GB2312" w:eastAsia="仿宋_GB2312"/>
          <w:szCs w:val="21"/>
        </w:rPr>
        <w:t>（2）对宏观经济趋势、政策以及债券市场基本面研究是否准确、深入，以及对企业债券的优选和判断是否科学、准确将影响本基金的收益。基本面研究及企业债券分析的错误均可能导致所选择的证券不能完全符合本基金的预期目标；</w:t>
      </w:r>
    </w:p>
    <w:p>
      <w:pPr>
        <w:ind w:firstLine="420"/>
        <w:jc w:val="left"/>
        <w:rPr>
          <w:rFonts w:ascii="仿宋_GB2312" w:eastAsia="仿宋_GB2312"/>
          <w:szCs w:val="21"/>
        </w:rPr>
      </w:pPr>
      <w:r>
        <w:rPr>
          <w:rFonts w:hint="eastAsia" w:ascii="仿宋_GB2312" w:eastAsia="仿宋_GB2312"/>
          <w:szCs w:val="21"/>
        </w:rPr>
        <w:t>（3）特有的流动性风险。本基金为封闭两年运作，之后转为开放式运作（按照基金合同约定提前转换基金运作方式的情形除外）。本基金在封闭期内不办理申购赎回业务，也不上市交易，从而可能无法满足投资者的短期流动性需求。</w:t>
      </w:r>
    </w:p>
    <w:p>
      <w:pPr>
        <w:ind w:firstLine="420"/>
        <w:jc w:val="left"/>
        <w:rPr>
          <w:rFonts w:ascii="仿宋_GB2312" w:eastAsia="仿宋_GB2312"/>
          <w:szCs w:val="21"/>
        </w:rPr>
      </w:pPr>
      <w:r>
        <w:rPr>
          <w:rFonts w:hint="eastAsia" w:ascii="仿宋_GB2312" w:eastAsia="仿宋_GB2312"/>
          <w:szCs w:val="21"/>
        </w:rPr>
        <w:t>6、本基金法律文件风险收益特征表述与销售机构基金风险评价可能不一致的风险</w:t>
      </w:r>
    </w:p>
    <w:p>
      <w:pPr>
        <w:ind w:firstLine="420"/>
        <w:jc w:val="left"/>
        <w:rPr>
          <w:rFonts w:ascii="仿宋_GB2312" w:eastAsia="仿宋_GB2312"/>
          <w:szCs w:val="21"/>
        </w:rPr>
      </w:pPr>
      <w:r>
        <w:rPr>
          <w:rFonts w:hint="eastAsia" w:ascii="仿宋_GB2312" w:eastAsia="仿宋_GB2312"/>
          <w:szCs w:val="21"/>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pPr>
        <w:ind w:firstLine="420"/>
        <w:jc w:val="left"/>
        <w:rPr>
          <w:rFonts w:ascii="仿宋_GB2312" w:eastAsia="仿宋_GB2312"/>
          <w:szCs w:val="21"/>
        </w:rPr>
      </w:pPr>
      <w:r>
        <w:rPr>
          <w:rFonts w:hint="eastAsia" w:ascii="仿宋_GB2312" w:eastAsia="仿宋_GB2312"/>
          <w:szCs w:val="21"/>
        </w:rPr>
        <w:t>7、其他风险</w:t>
      </w:r>
    </w:p>
    <w:p>
      <w:pPr>
        <w:jc w:val="left"/>
        <w:rPr>
          <w:rFonts w:ascii="仿宋_GB2312" w:eastAsia="仿宋_GB2312"/>
          <w:b/>
          <w:szCs w:val="21"/>
        </w:rPr>
      </w:pPr>
      <w:r>
        <w:rPr>
          <w:rFonts w:hint="eastAsia" w:ascii="仿宋_GB2312" w:eastAsia="仿宋_GB2312"/>
          <w:b/>
          <w:szCs w:val="21"/>
        </w:rPr>
        <w:t>（二）重要提示</w:t>
      </w:r>
    </w:p>
    <w:p>
      <w:pPr>
        <w:ind w:firstLine="420"/>
        <w:jc w:val="left"/>
        <w:rPr>
          <w:rFonts w:ascii="仿宋_GB2312" w:eastAsia="仿宋_GB2312"/>
          <w:szCs w:val="21"/>
        </w:rPr>
      </w:pPr>
      <w:r>
        <w:rPr>
          <w:rFonts w:hint="eastAsia" w:ascii="仿宋_GB2312" w:eastAsia="仿宋_GB2312"/>
          <w:szCs w:val="21"/>
        </w:rPr>
        <w:t>中国证监会对本基金募集的核准或注册，并不表明其对本基金的价值和收益作出实质性判断或保证，也不表明投资于本基金没有风险。</w:t>
      </w:r>
    </w:p>
    <w:p>
      <w:pPr>
        <w:ind w:firstLine="420"/>
        <w:jc w:val="left"/>
        <w:rPr>
          <w:rFonts w:ascii="仿宋_GB2312" w:eastAsia="仿宋_GB2312"/>
          <w:szCs w:val="21"/>
        </w:rPr>
      </w:pPr>
      <w:r>
        <w:rPr>
          <w:rFonts w:hint="eastAsia" w:ascii="仿宋_GB2312" w:eastAsia="仿宋_GB2312"/>
          <w:szCs w:val="21"/>
        </w:rPr>
        <w:t>基金管理人依照恪尽职守、诚实信用、谨慎勤勉的原则管理和运用基金财产，但不保证基金一定盈利，也不保证最低收益。</w:t>
      </w:r>
    </w:p>
    <w:p>
      <w:pPr>
        <w:ind w:firstLine="420"/>
        <w:jc w:val="left"/>
        <w:rPr>
          <w:rFonts w:ascii="仿宋_GB2312" w:eastAsia="仿宋_GB2312"/>
          <w:szCs w:val="21"/>
        </w:rPr>
      </w:pPr>
      <w:r>
        <w:rPr>
          <w:rFonts w:hint="eastAsia" w:ascii="仿宋_GB2312" w:eastAsia="仿宋_GB2312"/>
          <w:szCs w:val="21"/>
        </w:rPr>
        <w:t>基金投资者自依基金合同取得基金份额，即成为基金份额持有人和基金合同的当事人，其持有基金份额的行为本身即表明其对基金合同的承认和接受。基金合同可在基金管理人网站（www.fund001.com）及中国证监会基金电子披露网站（http://eid.csrc.gov.cn/fund/index.html）获取，请阅读本基金法律文件后再进行认/申购等交易。</w:t>
      </w:r>
    </w:p>
    <w:p>
      <w:pPr>
        <w:ind w:firstLine="420"/>
        <w:jc w:val="left"/>
        <w:rPr>
          <w:rFonts w:ascii="仿宋_GB2312" w:eastAsia="仿宋_GB2312"/>
          <w:szCs w:val="21"/>
        </w:rPr>
      </w:pPr>
      <w:r>
        <w:rPr>
          <w:rFonts w:hint="eastAsia" w:ascii="仿宋_GB2312" w:eastAsia="仿宋_GB2312"/>
          <w:szCs w:val="21"/>
        </w:rPr>
        <w:t>销售机构的风险等级评价与基金法律文件中风险收益特征的表述可能存在不同，投资人在购买本基金时需按照销售机构的要求完成风险承受能力与产品风险之间的匹配检验。</w:t>
      </w:r>
    </w:p>
    <w:p>
      <w:pPr>
        <w:ind w:firstLine="420"/>
        <w:jc w:val="left"/>
        <w:rPr>
          <w:rFonts w:ascii="仿宋_GB2312" w:eastAsia="仿宋_GB2312"/>
          <w:b/>
          <w:bCs/>
          <w:szCs w:val="21"/>
        </w:rPr>
      </w:pPr>
      <w:r>
        <w:rPr>
          <w:rFonts w:hint="eastAsia" w:ascii="仿宋_GB2312" w:eastAsia="仿宋_GB2312"/>
          <w:szCs w:val="21"/>
        </w:rPr>
        <w:t>▲▲</w:t>
      </w:r>
      <w:bookmarkStart w:id="0" w:name="_GoBack"/>
      <w:r>
        <w:rPr>
          <w:rFonts w:hint="eastAsia" w:ascii="仿宋_GB2312" w:eastAsia="仿宋_GB2312"/>
          <w:b/>
          <w:bCs/>
          <w:szCs w:val="21"/>
        </w:rPr>
        <w:t>因基金合同而产生的或与基金合同有关的一切争议，如经友好协商未能解决的，任何一方均有权将争议提交中国国际经济贸易仲裁委员会，按其届时有效的仲裁规则进行仲裁。仲裁地点为北京市。</w:t>
      </w:r>
    </w:p>
    <w:bookmarkEnd w:id="0"/>
    <w:p>
      <w:pPr>
        <w:ind w:firstLine="420"/>
        <w:jc w:val="left"/>
        <w:rPr>
          <w:rFonts w:ascii="仿宋_GB2312" w:eastAsia="仿宋_GB2312"/>
          <w:szCs w:val="21"/>
        </w:rPr>
      </w:pPr>
      <w:r>
        <w:rPr>
          <w:rFonts w:hint="eastAsia" w:ascii="仿宋_GB2312" w:eastAsia="仿宋_GB2312"/>
          <w:szCs w:val="21"/>
        </w:rPr>
        <w:t>基金产品资料概要信息发生重大变更的，基金管理人将在三个工作日内更新，其他信息发生变更的，基金管理人每年更新一次。因此，本文件内容相比基金的实际情况可能存在一定的滞后，如需及时、准确获取基金的相关信息，敬请同时关注基金管理人发布的相关临时公告等。</w:t>
      </w:r>
    </w:p>
    <w:p>
      <w:pPr>
        <w:ind w:firstLine="420"/>
        <w:jc w:val="left"/>
        <w:rPr>
          <w:rFonts w:ascii="仿宋_GB2312" w:eastAsia="仿宋_GB2312"/>
          <w:szCs w:val="21"/>
        </w:rPr>
      </w:pPr>
    </w:p>
    <w:p>
      <w:pPr>
        <w:jc w:val="left"/>
        <w:rPr>
          <w:rFonts w:ascii="仿宋_GB2312" w:eastAsia="仿宋_GB2312"/>
          <w:b/>
          <w:szCs w:val="21"/>
        </w:rPr>
      </w:pPr>
      <w:r>
        <w:rPr>
          <w:rFonts w:hint="eastAsia" w:ascii="仿宋_GB2312" w:eastAsia="仿宋_GB2312"/>
          <w:b/>
          <w:szCs w:val="21"/>
        </w:rPr>
        <w:t>五、其他资料查询方式</w:t>
      </w:r>
    </w:p>
    <w:p>
      <w:pPr>
        <w:ind w:firstLine="420"/>
        <w:jc w:val="left"/>
        <w:rPr>
          <w:rFonts w:ascii="仿宋_GB2312" w:eastAsia="仿宋_GB2312"/>
          <w:szCs w:val="21"/>
        </w:rPr>
      </w:pPr>
      <w:r>
        <w:rPr>
          <w:rFonts w:hint="eastAsia" w:ascii="仿宋_GB2312" w:eastAsia="仿宋_GB2312"/>
          <w:szCs w:val="21"/>
        </w:rPr>
        <w:t>以下资料详见交银施罗德基金官方网站[www.fund001.com][客服电话：400-700-5000]</w:t>
      </w:r>
    </w:p>
    <w:p>
      <w:pPr>
        <w:ind w:firstLine="420"/>
        <w:jc w:val="left"/>
        <w:rPr>
          <w:rFonts w:ascii="仿宋_GB2312" w:eastAsia="仿宋_GB2312"/>
          <w:szCs w:val="21"/>
        </w:rPr>
      </w:pPr>
      <w:r>
        <w:rPr>
          <w:rFonts w:hint="eastAsia" w:ascii="仿宋_GB2312" w:eastAsia="仿宋_GB2312"/>
          <w:szCs w:val="21"/>
        </w:rPr>
        <w:t>●《交银施罗德丰享收益债券型证券投资基金基金合同》、</w:t>
      </w:r>
    </w:p>
    <w:p>
      <w:pPr>
        <w:ind w:firstLine="420"/>
        <w:jc w:val="left"/>
        <w:rPr>
          <w:rFonts w:ascii="仿宋_GB2312" w:eastAsia="仿宋_GB2312"/>
          <w:szCs w:val="21"/>
        </w:rPr>
      </w:pPr>
      <w:r>
        <w:rPr>
          <w:rFonts w:hint="eastAsia" w:ascii="仿宋_GB2312" w:eastAsia="仿宋_GB2312"/>
          <w:szCs w:val="21"/>
        </w:rPr>
        <w:t>《交银施罗德丰享收益债券型证券投资基金托管协议》、</w:t>
      </w:r>
    </w:p>
    <w:p>
      <w:pPr>
        <w:ind w:firstLine="420"/>
        <w:jc w:val="left"/>
        <w:rPr>
          <w:rFonts w:ascii="仿宋_GB2312" w:eastAsia="仿宋_GB2312"/>
          <w:szCs w:val="21"/>
        </w:rPr>
      </w:pPr>
      <w:r>
        <w:rPr>
          <w:rFonts w:hint="eastAsia" w:ascii="仿宋_GB2312" w:eastAsia="仿宋_GB2312"/>
          <w:szCs w:val="21"/>
        </w:rPr>
        <w:t>《交银施罗德丰享收益债券型证券投资基金招募说明书》</w:t>
      </w:r>
    </w:p>
    <w:p>
      <w:pPr>
        <w:ind w:firstLine="420"/>
        <w:jc w:val="left"/>
        <w:rPr>
          <w:rFonts w:ascii="仿宋_GB2312" w:eastAsia="仿宋_GB2312"/>
          <w:szCs w:val="21"/>
        </w:rPr>
      </w:pPr>
      <w:r>
        <w:rPr>
          <w:rFonts w:hint="eastAsia" w:ascii="仿宋_GB2312" w:eastAsia="仿宋_GB2312"/>
          <w:szCs w:val="21"/>
        </w:rPr>
        <w:t>●定期报告，包括基金季度报告、中期报告和年度报告</w:t>
      </w:r>
    </w:p>
    <w:p>
      <w:pPr>
        <w:ind w:firstLine="420"/>
        <w:jc w:val="left"/>
        <w:rPr>
          <w:rFonts w:ascii="仿宋_GB2312" w:eastAsia="仿宋_GB2312"/>
          <w:szCs w:val="21"/>
        </w:rPr>
      </w:pPr>
      <w:r>
        <w:rPr>
          <w:rFonts w:hint="eastAsia" w:ascii="仿宋_GB2312" w:eastAsia="仿宋_GB2312"/>
          <w:szCs w:val="21"/>
        </w:rPr>
        <w:t>●基金份额净值</w:t>
      </w:r>
    </w:p>
    <w:p>
      <w:pPr>
        <w:ind w:firstLine="420"/>
        <w:jc w:val="left"/>
        <w:rPr>
          <w:rFonts w:ascii="仿宋_GB2312" w:eastAsia="仿宋_GB2312"/>
          <w:szCs w:val="21"/>
        </w:rPr>
      </w:pPr>
      <w:r>
        <w:rPr>
          <w:rFonts w:hint="eastAsia" w:ascii="仿宋_GB2312" w:eastAsia="仿宋_GB2312"/>
          <w:szCs w:val="21"/>
        </w:rPr>
        <w:t>●基金销售机构及联系方式</w:t>
      </w:r>
    </w:p>
    <w:p>
      <w:pPr>
        <w:ind w:firstLine="420"/>
        <w:jc w:val="left"/>
        <w:rPr>
          <w:rFonts w:ascii="仿宋_GB2312" w:eastAsia="仿宋_GB2312"/>
          <w:szCs w:val="21"/>
        </w:rPr>
      </w:pPr>
      <w:r>
        <w:rPr>
          <w:rFonts w:hint="eastAsia" w:ascii="仿宋_GB2312" w:eastAsia="仿宋_GB2312"/>
          <w:szCs w:val="21"/>
        </w:rPr>
        <w:t>●其他重要资料</w:t>
      </w:r>
    </w:p>
    <w:p>
      <w:pPr>
        <w:jc w:val="left"/>
        <w:rPr>
          <w:rFonts w:ascii="仿宋_GB2312" w:eastAsia="仿宋_GB2312"/>
          <w:b/>
          <w:szCs w:val="21"/>
        </w:rPr>
      </w:pPr>
      <w:r>
        <w:rPr>
          <w:rFonts w:hint="eastAsia" w:ascii="仿宋_GB2312" w:eastAsia="仿宋_GB2312"/>
          <w:b/>
          <w:szCs w:val="21"/>
        </w:rPr>
        <w:t>六、其他情况说明</w:t>
      </w:r>
    </w:p>
    <w:p>
      <w:pPr>
        <w:ind w:firstLine="420"/>
        <w:jc w:val="left"/>
        <w:rPr>
          <w:rFonts w:ascii="仿宋_GB2312" w:eastAsia="仿宋_GB2312"/>
          <w:szCs w:val="21"/>
        </w:rPr>
      </w:pPr>
      <w:r>
        <w:rPr>
          <w:rFonts w:hint="eastAsia" w:ascii="仿宋_GB2312" w:eastAsia="仿宋_GB2312"/>
          <w:szCs w:val="21"/>
        </w:rPr>
        <w:t>无。</w:t>
      </w:r>
    </w:p>
    <w:sectPr>
      <w:pgSz w:w="11906" w:h="16838"/>
      <w:pgMar w:top="720" w:right="720" w:bottom="720" w:left="720" w:header="851" w:footer="992" w:gutter="0"/>
      <w:cols w:space="425"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roman"/>
    <w:pitch w:val="default"/>
    <w:sig w:usb0="00000001" w:usb1="080E0000" w:usb2="00000000" w:usb3="00000000" w:csb0="00040000" w:csb1="00000000"/>
  </w:font>
  <w:font w:name="方正仿宋简体">
    <w:altName w:val="微软雅黑"/>
    <w:panose1 w:val="00000000000000000000"/>
    <w:charset w:val="86"/>
    <w:family w:val="auto"/>
    <w:pitch w:val="default"/>
    <w:sig w:usb0="00000000" w:usb1="00000000" w:usb2="00000010" w:usb3="00000000" w:csb0="00040000" w:csb1="00000000"/>
  </w:font>
  <w:font w:name="FZHTJW--GB1-0">
    <w:altName w:val="Segoe Print"/>
    <w:panose1 w:val="00000000000000000000"/>
    <w:charset w:val="00"/>
    <w:family w:val="roman"/>
    <w:pitch w:val="default"/>
    <w:sig w:usb0="00000000" w:usb1="00000000" w:usb2="00000000" w:usb3="00000000" w:csb0="00000000" w:csb1="00000000"/>
  </w:font>
  <w:font w:name="FZFSJW--GB1-0">
    <w:altName w:val="Segoe Print"/>
    <w:panose1 w:val="00000000000000000000"/>
    <w:charset w:val="00"/>
    <w:family w:val="roman"/>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210"/>
    <w:rsid w:val="00094816"/>
    <w:rsid w:val="00131F08"/>
    <w:rsid w:val="0019752C"/>
    <w:rsid w:val="001E402A"/>
    <w:rsid w:val="001F031F"/>
    <w:rsid w:val="00287210"/>
    <w:rsid w:val="002F5DBC"/>
    <w:rsid w:val="00335FE8"/>
    <w:rsid w:val="003E751E"/>
    <w:rsid w:val="00401C56"/>
    <w:rsid w:val="00447692"/>
    <w:rsid w:val="004A275D"/>
    <w:rsid w:val="006240B9"/>
    <w:rsid w:val="006A53E7"/>
    <w:rsid w:val="007A64C5"/>
    <w:rsid w:val="00846EFA"/>
    <w:rsid w:val="00880454"/>
    <w:rsid w:val="008A6FA6"/>
    <w:rsid w:val="00902522"/>
    <w:rsid w:val="0090269C"/>
    <w:rsid w:val="009728DC"/>
    <w:rsid w:val="009C0C41"/>
    <w:rsid w:val="009F4EAE"/>
    <w:rsid w:val="00AB59CB"/>
    <w:rsid w:val="00AF7A1E"/>
    <w:rsid w:val="00C0525C"/>
    <w:rsid w:val="00CD7637"/>
    <w:rsid w:val="00D04A15"/>
    <w:rsid w:val="00D373CC"/>
    <w:rsid w:val="00DB319C"/>
    <w:rsid w:val="00E51B6D"/>
    <w:rsid w:val="00F75715"/>
    <w:rsid w:val="00F811C4"/>
    <w:rsid w:val="00FC2918"/>
    <w:rsid w:val="618D059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4"/>
    <w:semiHidden/>
    <w:unhideWhenUsed/>
    <w:uiPriority w:val="99"/>
    <w:pPr>
      <w:jc w:val="left"/>
    </w:pPr>
  </w:style>
  <w:style w:type="paragraph" w:styleId="3">
    <w:name w:val="Balloon Text"/>
    <w:basedOn w:val="1"/>
    <w:link w:val="16"/>
    <w:semiHidden/>
    <w:unhideWhenUsed/>
    <w:uiPriority w:val="99"/>
    <w:rPr>
      <w:sz w:val="18"/>
      <w:szCs w:val="18"/>
    </w:rPr>
  </w:style>
  <w:style w:type="paragraph" w:styleId="4">
    <w:name w:val="footer"/>
    <w:basedOn w:val="1"/>
    <w:link w:val="12"/>
    <w:unhideWhenUsed/>
    <w:uiPriority w:val="99"/>
    <w:pPr>
      <w:tabs>
        <w:tab w:val="center" w:pos="4153"/>
        <w:tab w:val="right" w:pos="8306"/>
      </w:tabs>
      <w:snapToGrid w:val="0"/>
      <w:jc w:val="left"/>
    </w:pPr>
    <w:rPr>
      <w:sz w:val="18"/>
      <w:szCs w:val="18"/>
    </w:rPr>
  </w:style>
  <w:style w:type="paragraph" w:styleId="5">
    <w:name w:val="header"/>
    <w:basedOn w:val="1"/>
    <w:link w:val="11"/>
    <w:unhideWhenUsed/>
    <w:uiPriority w:val="99"/>
    <w:pPr>
      <w:pBdr>
        <w:bottom w:val="single" w:color="auto" w:sz="6" w:space="1"/>
      </w:pBdr>
      <w:tabs>
        <w:tab w:val="center" w:pos="4153"/>
        <w:tab w:val="right" w:pos="8306"/>
      </w:tabs>
      <w:snapToGrid w:val="0"/>
      <w:jc w:val="center"/>
    </w:pPr>
    <w:rPr>
      <w:sz w:val="18"/>
      <w:szCs w:val="18"/>
    </w:rPr>
  </w:style>
  <w:style w:type="paragraph" w:styleId="6">
    <w:name w:val="annotation subject"/>
    <w:basedOn w:val="2"/>
    <w:next w:val="2"/>
    <w:link w:val="15"/>
    <w:semiHidden/>
    <w:unhideWhenUsed/>
    <w:uiPriority w:val="99"/>
    <w:rPr>
      <w:b/>
      <w:bCs/>
    </w:rPr>
  </w:style>
  <w:style w:type="table" w:styleId="8">
    <w:name w:val="Table Grid"/>
    <w:basedOn w:val="7"/>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annotation reference"/>
    <w:basedOn w:val="9"/>
    <w:semiHidden/>
    <w:unhideWhenUsed/>
    <w:uiPriority w:val="99"/>
    <w:rPr>
      <w:sz w:val="21"/>
      <w:szCs w:val="21"/>
    </w:rPr>
  </w:style>
  <w:style w:type="character" w:customStyle="1" w:styleId="11">
    <w:name w:val="页眉 Char"/>
    <w:basedOn w:val="9"/>
    <w:link w:val="5"/>
    <w:uiPriority w:val="99"/>
    <w:rPr>
      <w:sz w:val="18"/>
      <w:szCs w:val="18"/>
    </w:rPr>
  </w:style>
  <w:style w:type="character" w:customStyle="1" w:styleId="12">
    <w:name w:val="页脚 Char"/>
    <w:basedOn w:val="9"/>
    <w:link w:val="4"/>
    <w:uiPriority w:val="99"/>
    <w:rPr>
      <w:sz w:val="18"/>
      <w:szCs w:val="18"/>
    </w:rPr>
  </w:style>
  <w:style w:type="paragraph" w:styleId="13">
    <w:name w:val="List Paragraph"/>
    <w:basedOn w:val="1"/>
    <w:qFormat/>
    <w:uiPriority w:val="34"/>
    <w:pPr>
      <w:ind w:firstLine="420" w:firstLineChars="200"/>
    </w:pPr>
  </w:style>
  <w:style w:type="character" w:customStyle="1" w:styleId="14">
    <w:name w:val="批注文字 Char"/>
    <w:basedOn w:val="9"/>
    <w:link w:val="2"/>
    <w:semiHidden/>
    <w:uiPriority w:val="99"/>
  </w:style>
  <w:style w:type="character" w:customStyle="1" w:styleId="15">
    <w:name w:val="批注主题 Char"/>
    <w:basedOn w:val="14"/>
    <w:link w:val="6"/>
    <w:semiHidden/>
    <w:uiPriority w:val="99"/>
    <w:rPr>
      <w:b/>
      <w:bCs/>
    </w:rPr>
  </w:style>
  <w:style w:type="character" w:customStyle="1" w:styleId="16">
    <w:name w:val="批注框文本 Char"/>
    <w:basedOn w:val="9"/>
    <w:link w:val="3"/>
    <w:semiHidden/>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596</Words>
  <Characters>3398</Characters>
  <Lines>28</Lines>
  <Paragraphs>7</Paragraphs>
  <TotalTime>0</TotalTime>
  <ScaleCrop>false</ScaleCrop>
  <LinksUpToDate>false</LinksUpToDate>
  <CharactersWithSpaces>3987</CharactersWithSpaces>
  <Application>WPS Office_11.8.2.12085_F1E327BC-269C-435d-A152-05C5408002CA</Application>
  <DocSecurity>4</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2026-05-20T01:36:00Z</dcterms:created>
  <dc:creator>Cc</dc:creator>
  <cp:lastModifiedBy>haotingting</cp:lastModifiedBy>
  <dcterms:modified xsi:type="dcterms:W3CDTF">2026-05-21T06:27:10Z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D33F385522A4488EB7B12D50EA2AB7B5</vt:lpwstr>
  </property>
</Properties>
</file>