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交银施罗德180天持有期债券型证券投资基金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r>
        <w:rPr>
          <w:rFonts w:hint="eastAsia" w:ascii="宋体" w:hAnsi="宋体"/>
          <w:b/>
          <w:sz w:val="30"/>
          <w:szCs w:val="30"/>
        </w:rPr>
        <w:t>【本基金不向金融机构自营账户销售】</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bookmarkStart w:id="28" w:name="_GoBack"/>
      <w:bookmarkEnd w:id="28"/>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二〇二六年五月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231974983"/>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180天持有期债券型证券投资基金（以下简称“本基金”）经2025年2月8日中国证券监督管理委员会（以下简称“中国证监会”）证监许可【2025】242号文准予募集注册。本基金基金合同于2025年7月18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风险；本基金的特有风险；投资国债期货的特定风险；投资资产支持证券的特定风险；信用衍生品投资风险；本基金法律文件风险收益特征表述与销售机构基金风险评价可能不一致的风险；投资本基金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每份基金份额的最短持有期限为180天，在最短持有期限内该份基金份额不可赎回，自最短持有期限届满日起（含该日）可赎回。即：自基金合同生效日（对认购份额而言）、基金份额申购确认日（对申购份额而言）起的第180天起（含当日，如为非工作日则顺延至下一工作日），投资者方可提出赎回申请。对于基金份额持有人而言，存在投资本基金后180天内无法赎回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本基金可投资国债期货，国债期货的投资可能面临市场风险、基差风险、流动性风险。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为对冲信用风险，本基金可能投资信用衍生品，信用衍生品的投资可能面临流动性风险、偿付风险和价格波动风险。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本招募说明书所载内容截止日为2026年05月14日，有关财务数据和净值表现截止日为2026年03月31日。本招募说明书所载的财务数据未经审计。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"_Toc231974983"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_Toc231974983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"_Toc231974984"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_Toc231974984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"_Toc231974985"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_Toc231974985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"_Toc231974986"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_Toc231974986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"_Toc231974987"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_Toc231974987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"_Toc231974988"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_Toc231974988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"_Toc231974989"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_Toc231974989 \h </w:instrText>
      </w:r>
      <w:r>
        <w:rPr>
          <w:rFonts w:ascii="宋体" w:hAnsi="宋体"/>
          <w:sz w:val="24"/>
        </w:rPr>
        <w:fldChar w:fldCharType="separate"/>
      </w:r>
      <w:r>
        <w:rPr>
          <w:rFonts w:ascii="宋体" w:hAnsi="宋体"/>
          <w:sz w:val="24"/>
        </w:rPr>
        <w:t>33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"_Toc231974990"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_Toc231974990 \h </w:instrText>
      </w:r>
      <w:r>
        <w:rPr>
          <w:rFonts w:ascii="宋体" w:hAnsi="宋体"/>
          <w:sz w:val="24"/>
        </w:rPr>
        <w:fldChar w:fldCharType="separate"/>
      </w:r>
      <w:r>
        <w:rPr>
          <w:rFonts w:ascii="宋体" w:hAnsi="宋体"/>
          <w:sz w:val="24"/>
        </w:rPr>
        <w:t>34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"_Toc231974991"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_Toc231974991 \h </w:instrText>
      </w:r>
      <w:r>
        <w:rPr>
          <w:rFonts w:ascii="宋体" w:hAnsi="宋体"/>
          <w:sz w:val="24"/>
        </w:rPr>
        <w:fldChar w:fldCharType="separate"/>
      </w:r>
      <w:r>
        <w:rPr>
          <w:rFonts w:ascii="宋体" w:hAnsi="宋体"/>
          <w:sz w:val="24"/>
        </w:rPr>
        <w:t>35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"_Toc231974992" </w:instrText>
      </w:r>
      <w:r>
        <w:fldChar w:fldCharType="separate"/>
      </w:r>
      <w:r>
        <w:rPr>
          <w:rStyle w:val="18"/>
          <w:rFonts w:hint="eastAsia" w:ascii="宋体" w:hAnsi="宋体"/>
          <w:sz w:val="24"/>
        </w:rPr>
        <w:t>九、基金的投资</w:t>
      </w:r>
      <w:r>
        <w:rPr>
          <w:rFonts w:ascii="宋体" w:hAnsi="宋体"/>
          <w:sz w:val="24"/>
        </w:rPr>
        <w:tab/>
      </w:r>
      <w:r>
        <w:rPr>
          <w:rFonts w:ascii="宋体" w:hAnsi="宋体"/>
          <w:sz w:val="24"/>
        </w:rPr>
        <w:fldChar w:fldCharType="begin"/>
      </w:r>
      <w:r>
        <w:rPr>
          <w:rFonts w:ascii="宋体" w:hAnsi="宋体"/>
          <w:sz w:val="24"/>
        </w:rPr>
        <w:instrText xml:space="preserve"> PAGEREF _Toc231974992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"_Toc231974993" </w:instrText>
      </w:r>
      <w:r>
        <w:fldChar w:fldCharType="separate"/>
      </w:r>
      <w:r>
        <w:rPr>
          <w:rStyle w:val="18"/>
          <w:rFonts w:hint="eastAsia" w:ascii="宋体" w:hAnsi="宋体"/>
          <w:sz w:val="24"/>
        </w:rPr>
        <w:t>十、基金的业绩</w:t>
      </w:r>
      <w:r>
        <w:rPr>
          <w:rFonts w:ascii="宋体" w:hAnsi="宋体"/>
          <w:sz w:val="24"/>
        </w:rPr>
        <w:tab/>
      </w:r>
      <w:r>
        <w:rPr>
          <w:rFonts w:ascii="宋体" w:hAnsi="宋体"/>
          <w:sz w:val="24"/>
        </w:rPr>
        <w:fldChar w:fldCharType="begin"/>
      </w:r>
      <w:r>
        <w:rPr>
          <w:rFonts w:ascii="宋体" w:hAnsi="宋体"/>
          <w:sz w:val="24"/>
        </w:rPr>
        <w:instrText xml:space="preserve"> PAGEREF _Toc231974993 \h </w:instrText>
      </w:r>
      <w:r>
        <w:rPr>
          <w:rFonts w:ascii="宋体" w:hAnsi="宋体"/>
          <w:sz w:val="24"/>
        </w:rPr>
        <w:fldChar w:fldCharType="separate"/>
      </w:r>
      <w:r>
        <w:rPr>
          <w:rFonts w:ascii="宋体" w:hAnsi="宋体"/>
          <w:sz w:val="24"/>
        </w:rPr>
        <w:t>61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"_Toc231974994" </w:instrText>
      </w:r>
      <w:r>
        <w:fldChar w:fldCharType="separate"/>
      </w:r>
      <w:r>
        <w:rPr>
          <w:rStyle w:val="18"/>
          <w:rFonts w:hint="eastAsia" w:ascii="宋体" w:hAnsi="宋体"/>
          <w:sz w:val="24"/>
        </w:rPr>
        <w:t>十一、基金的财产</w:t>
      </w:r>
      <w:r>
        <w:rPr>
          <w:rFonts w:ascii="宋体" w:hAnsi="宋体"/>
          <w:sz w:val="24"/>
        </w:rPr>
        <w:tab/>
      </w:r>
      <w:r>
        <w:rPr>
          <w:rFonts w:ascii="宋体" w:hAnsi="宋体"/>
          <w:sz w:val="24"/>
        </w:rPr>
        <w:fldChar w:fldCharType="begin"/>
      </w:r>
      <w:r>
        <w:rPr>
          <w:rFonts w:ascii="宋体" w:hAnsi="宋体"/>
          <w:sz w:val="24"/>
        </w:rPr>
        <w:instrText xml:space="preserve"> PAGEREF _Toc231974994 \h </w:instrText>
      </w:r>
      <w:r>
        <w:rPr>
          <w:rFonts w:ascii="宋体" w:hAnsi="宋体"/>
          <w:sz w:val="24"/>
        </w:rPr>
        <w:fldChar w:fldCharType="separate"/>
      </w:r>
      <w:r>
        <w:rPr>
          <w:rFonts w:ascii="宋体" w:hAnsi="宋体"/>
          <w:sz w:val="24"/>
        </w:rPr>
        <w:t>63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"_Toc231974995" </w:instrText>
      </w:r>
      <w:r>
        <w:fldChar w:fldCharType="separate"/>
      </w:r>
      <w:r>
        <w:rPr>
          <w:rStyle w:val="18"/>
          <w:rFonts w:hint="eastAsia" w:ascii="宋体" w:hAnsi="宋体"/>
          <w:sz w:val="24"/>
        </w:rPr>
        <w:t>十二、基金资产的估值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_Toc231974995 \h </w:instrText>
      </w:r>
      <w:r>
        <w:rPr>
          <w:rFonts w:ascii="宋体" w:hAnsi="宋体"/>
          <w:sz w:val="24"/>
        </w:rPr>
        <w:fldChar w:fldCharType="separate"/>
      </w:r>
      <w:r>
        <w:rPr>
          <w:rFonts w:ascii="宋体" w:hAnsi="宋体"/>
          <w:sz w:val="24"/>
        </w:rPr>
        <w:t>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"_Toc231974996" </w:instrText>
      </w:r>
      <w:r>
        <w:fldChar w:fldCharType="separate"/>
      </w:r>
      <w:r>
        <w:rPr>
          <w:rStyle w:val="18"/>
          <w:rFonts w:hint="eastAsia" w:ascii="宋体" w:hAnsi="宋体"/>
          <w:sz w:val="24"/>
        </w:rPr>
        <w:t>十三、基金收益与分配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_Toc231974996 \h </w:instrText>
      </w:r>
      <w:r>
        <w:rPr>
          <w:rFonts w:ascii="宋体" w:hAnsi="宋体"/>
          <w:sz w:val="24"/>
        </w:rPr>
        <w:fldChar w:fldCharType="separate"/>
      </w:r>
      <w:r>
        <w:rPr>
          <w:rFonts w:ascii="宋体" w:hAnsi="宋体"/>
          <w:sz w:val="24"/>
        </w:rPr>
        <w:t>70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"_Toc231974997" </w:instrText>
      </w:r>
      <w:r>
        <w:fldChar w:fldCharType="separate"/>
      </w:r>
      <w:r>
        <w:rPr>
          <w:rStyle w:val="18"/>
          <w:rFonts w:hint="eastAsia" w:ascii="宋体" w:hAnsi="宋体"/>
          <w:sz w:val="24"/>
        </w:rPr>
        <w:t>十四、基金的费用与税收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_Toc231974997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"_Toc231974998" </w:instrText>
      </w:r>
      <w:r>
        <w:fldChar w:fldCharType="separate"/>
      </w:r>
      <w:r>
        <w:rPr>
          <w:rStyle w:val="18"/>
          <w:rFonts w:hint="eastAsia" w:ascii="宋体" w:hAnsi="宋体"/>
          <w:sz w:val="24"/>
        </w:rPr>
        <w:t>十五、基金的会计与审计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_Toc231974998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"_Toc231974999" </w:instrText>
      </w:r>
      <w:r>
        <w:fldChar w:fldCharType="separate"/>
      </w:r>
      <w:r>
        <w:rPr>
          <w:rStyle w:val="18"/>
          <w:rFonts w:hint="eastAsia" w:ascii="宋体" w:hAnsi="宋体"/>
          <w:sz w:val="24"/>
        </w:rPr>
        <w:t>十六、基金的信息披露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_Toc231974999 \h </w:instrText>
      </w:r>
      <w:r>
        <w:rPr>
          <w:rFonts w:ascii="宋体" w:hAnsi="宋体"/>
          <w:sz w:val="24"/>
        </w:rPr>
        <w:fldChar w:fldCharType="separate"/>
      </w:r>
      <w:r>
        <w:rPr>
          <w:rFonts w:ascii="宋体" w:hAnsi="宋体"/>
          <w:sz w:val="24"/>
        </w:rPr>
        <w:t>76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"_Toc231975000" </w:instrText>
      </w:r>
      <w:r>
        <w:fldChar w:fldCharType="separate"/>
      </w:r>
      <w:r>
        <w:rPr>
          <w:rStyle w:val="18"/>
          <w:rFonts w:hint="eastAsia" w:ascii="宋体" w:hAnsi="宋体"/>
          <w:sz w:val="24"/>
        </w:rPr>
        <w:t>十七、侧袋机制</w:t>
      </w:r>
      <w:r>
        <w:rPr>
          <w:rFonts w:ascii="宋体" w:hAnsi="宋体"/>
          <w:sz w:val="24"/>
        </w:rPr>
        <w:tab/>
      </w:r>
      <w:r>
        <w:rPr>
          <w:rFonts w:ascii="宋体" w:hAnsi="宋体"/>
          <w:sz w:val="24"/>
        </w:rPr>
        <w:fldChar w:fldCharType="begin"/>
      </w:r>
      <w:r>
        <w:rPr>
          <w:rFonts w:ascii="宋体" w:hAnsi="宋体"/>
          <w:sz w:val="24"/>
        </w:rPr>
        <w:instrText xml:space="preserve"> PAGEREF _Toc231975000 \h </w:instrText>
      </w:r>
      <w:r>
        <w:rPr>
          <w:rFonts w:ascii="宋体" w:hAnsi="宋体"/>
          <w:sz w:val="24"/>
        </w:rPr>
        <w:fldChar w:fldCharType="separate"/>
      </w:r>
      <w:r>
        <w:rPr>
          <w:rFonts w:ascii="宋体" w:hAnsi="宋体"/>
          <w:sz w:val="24"/>
        </w:rPr>
        <w:t>83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"_Toc231975001"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_Toc231975001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"_Toc231975002"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_Toc231975002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"_Toc231975003"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_Toc231975003 \h </w:instrText>
      </w:r>
      <w:r>
        <w:rPr>
          <w:rFonts w:ascii="宋体" w:hAnsi="宋体"/>
          <w:sz w:val="24"/>
        </w:rPr>
        <w:fldChar w:fldCharType="separate"/>
      </w:r>
      <w:r>
        <w:rPr>
          <w:rFonts w:ascii="宋体" w:hAnsi="宋体"/>
          <w:sz w:val="24"/>
        </w:rPr>
        <w:t>96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"_Toc231975004"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_Toc231975004 \h </w:instrText>
      </w:r>
      <w:r>
        <w:rPr>
          <w:rFonts w:ascii="宋体" w:hAnsi="宋体"/>
          <w:sz w:val="24"/>
        </w:rPr>
        <w:fldChar w:fldCharType="separate"/>
      </w:r>
      <w:r>
        <w:rPr>
          <w:rFonts w:ascii="宋体" w:hAnsi="宋体"/>
          <w:sz w:val="24"/>
        </w:rPr>
        <w:t>113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"_Toc231975005"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_Toc231975005 \h </w:instrText>
      </w:r>
      <w:r>
        <w:rPr>
          <w:rFonts w:ascii="宋体" w:hAnsi="宋体"/>
          <w:sz w:val="24"/>
        </w:rPr>
        <w:fldChar w:fldCharType="separate"/>
      </w:r>
      <w:r>
        <w:rPr>
          <w:rFonts w:ascii="宋体" w:hAnsi="宋体"/>
          <w:sz w:val="24"/>
        </w:rPr>
        <w:t>125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"_Toc231975006"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_Toc231975006 \h </w:instrText>
      </w:r>
      <w:r>
        <w:rPr>
          <w:rFonts w:ascii="宋体" w:hAnsi="宋体"/>
          <w:sz w:val="24"/>
        </w:rPr>
        <w:fldChar w:fldCharType="separate"/>
      </w:r>
      <w:r>
        <w:rPr>
          <w:rFonts w:ascii="宋体" w:hAnsi="宋体"/>
          <w:sz w:val="24"/>
        </w:rPr>
        <w:t>127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"_Toc231975007"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_Toc231975007 \h </w:instrText>
      </w:r>
      <w:r>
        <w:rPr>
          <w:rFonts w:ascii="宋体" w:hAnsi="宋体"/>
          <w:sz w:val="24"/>
        </w:rPr>
        <w:fldChar w:fldCharType="separate"/>
      </w:r>
      <w:r>
        <w:rPr>
          <w:rFonts w:ascii="宋体" w:hAnsi="宋体"/>
          <w:sz w:val="24"/>
        </w:rPr>
        <w:t>129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"_Toc231975008"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_Toc231975008 \h </w:instrText>
      </w:r>
      <w:r>
        <w:rPr>
          <w:rFonts w:ascii="宋体" w:hAnsi="宋体"/>
          <w:sz w:val="24"/>
        </w:rPr>
        <w:fldChar w:fldCharType="separate"/>
      </w:r>
      <w:r>
        <w:rPr>
          <w:rFonts w:ascii="宋体" w:hAnsi="宋体"/>
          <w:sz w:val="24"/>
        </w:rPr>
        <w:t>130</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1974984"/>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180天持有期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180天持有期债券型证券投资基金基金合同》（以下简称“基金合同”或“《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1974985"/>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1、基金或本基金：指交银施罗德180天持有期债券型证券投资基金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4、基金合同、《基金合同》：指《交银施罗德180天持有期债券型证券投资基金基金合同》及对基金合同的任何有效修订和补充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5、托管协议：指基金管理人与基金托管人就本基金签订之《交银施罗德180天持有期债券型证券投资基金托管协议》及对该托管协议的任何有效修订和补充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6、招募说明书、《招募说明书》或本招募说明书：指《交银施罗德180天持有期债券型证券投资基金招募说明书》及其更新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7、基金产品资料概要：指《交银施罗德180天持有期债券型证券投资基金基金产品资料概要》及其更新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8、基金份额发售公告：指《交银施罗德180天持有期债券型证券投资基金基金份额发售公告》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16、银行业监督管理机构：指中国人民银行和/或国家金融监督管理总局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最短持有期限：本基金每份基金份额的最短持有期限为180天，在最短持有期限内该份基金份额不可赎回，自最短持有期限届满日起（含该日）可赎回。即：自基金合同生效日（对认购份额而言）、基金份额申购确认日（对申购份额而言）起的第180天起（含该日，如为非工作日则顺延至下一工作日），投资者方可提出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49、基金资产总值：指基金拥有的各类有价证券、国债期货合约、银行存款本息、基金应收款项及其他资产的价值总和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55、A类基金份额：指在投资人认购/申购时收取认购/申购费用且不从本类别基金资产中计提销售服务费的基金份额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56、C类基金份额：指在投资人认购/申购时不收取认购/申购费用并从本类别基金资产中计提销售服务费的基金份额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57、信用衍生品：指符合证券交易所或银行间市场相关业务规则，专门用于管理信用风险的信用衍生工具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58、信用保护买方：亦称信用保护购买方，指接受信用风险保护的一方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59、信用保护卖方：亦称信用保护提供方，指提供信用风险保护的一方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60、名义本金：亦称交易名义本金，指为信用衍生品交易提供信用风险保护的金额，各项支付和结算以此金额为计算基准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1974986"/>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1974987"/>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截止到2026年3月31日，中国农业银行托管的封闭式证券投资基金和开放式证券投资基金共1027只。</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1974988"/>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（32）名称：上海攀赢基金销售有限公司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客户服务电话：021-68889082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网址：www.weonefunds.com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电话：（021）61055461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联系人：陈方强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办公地址：上海市银城中路68号时代金融中心18-20楼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经办律师：丁媛、李晓露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1974989"/>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本基金由基金管理人依照《基金法》、《运作办法》、《销售办法》、基金合同及其他有关规定，并经中国证监会2025年2月8日证监许可【2025】242号文准予募集注册。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本基金为契约型开放式债券型基金。基金存续期间为不定期。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本基金2025年7月1日至2025年7月16日进行发售，本基金设立募集期共募集1,306,526,578.34份基金份额，有效认购户数为4,166户。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1974990"/>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根据有关规定，本基金满足基金合同生效条件，基金合同已于2025年7月18日正式生效。自基金合同生效之日起，本基金管理人正式开始管理本基金。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1974991"/>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但对于每份基金份额，基金份额持有人仅可在该基金份额最短持有期限届满日起（含该日）申请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本基金已于2025年10月17日起开放申购业务。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本基金已于2026年1月14日起开放赎回业务。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最短持有期限内提出的赎回或转换申请，视为无效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4、赎回遵循“先进先出”原则，即按照投资人认购、申购的先后次序进行顺序赎回；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本基金暂不向金融机构自营账户销售（基金管理人自有资金除外），如未来本基金开放向金融机构自营账户公开销售或对销售对象的范围予以进一步限定，基金管理人将另行公告。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一投资者单日申购金额不超过1000万元（个人投资者、公募资产管理产品、职业年金计划、企业年金计划、养老金产品和基金管理人自有资金除外）。基金管理人可以调整单一投资者单日申购金额上限，具体规定请参见更新的招募说明书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4、基金管理人可以规定基金总规模上限、单个投资人累计持有的基金份额上限，具体规定请参见相关公告。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投资人可以多次申购本基金，A类基金份额的申购费用按A类基金份额每笔申购申请单独计算。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基金份额持有人持有的每份基金份额最短持有期限为180天，最短持有期限届满后，本基金不收取赎回费。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本基金采用金额申购的方式。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例四：某投资者（非养老金客户）投资100,000.00元申购本基金的A类基金份额，假设申购当日A类基金份额净值为1.0400元，申购费率为0.3%，则其可得到的申购份额为：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净申购金额=100,000.00/（1+0.3%）=99,700.90元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申购费用=100,000.00-99,700.90=299.10元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申购份额=99,700.90/1.0400=95,866.25份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即：某投资者（非养老金客户）投资100,000.00元申购本基金的A类基金份额，假设申购当日A类基金份额净值为1.0400元，则其可得到95,866.25份A类基金份额。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例五：某养老金客户投资1,000,000.00元通过基金管理人的直销柜台申购本基金的A类基金份额，假设申购当日A类基金份额净值为1.0400元，申购费率为0.02%，则其可得到的申购份额为：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净申购金额=1,000,000.00/（1+0.02%）=999,800.04元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申购费用=1,000,000.00-999,800.04=199.96元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申购份额=（1,000,000.00-199.96）/1.0400=961,346.19份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即：该养老金客户投资1,000,000.00元通过基金管理人的直销柜台申购本基金的A类基金份额，假设申购当日A类基金份额净值为1.0400元，则其可得到961,346.19份A类基金份额。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本基金采用份额赎回的方式。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例七：某投资者赎回持有200天的10,000.00份本基金A类基金份额，对应的赎回费率为0，假设赎回当日A类基金份额净值是1.0025元，则其可得到的赎回金额为：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赎回金额=10,000.00×1.0025-0＝10,025.00元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即：投资者赎回持有200天的本基金10,000.00份A类基金份额，对应的赎回费率为0，假设赎回当日A类基金份额净值是1.0025元，则其可得到的赎回金额为10,025.00元。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C类基金份额的基金份额净值的计算，均保留到小数点后4位，小数点后第5位四舍五入，由此产生的收益或损失由基金财产承担。T日的基金份额净值在当天收市后计算，并在T+1日（包括该日）内公告。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本基金2025年10月15日刊登公告自2025年10月17日起开通定期定额投资计划业务，具体开通销售机构名单和业务规则参见相关公告。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（十九）其他业务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1974992"/>
      <w:r>
        <w:rPr>
          <w:rFonts w:ascii="Times New Roman" w:hAnsi="Times New Roman"/>
          <w:sz w:val="30"/>
        </w:rPr>
        <w:t>九、基金的投资</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在严格控制风险和保持较高流动性的前提下，力求获得高于业绩比较基准的投资收益。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投资于可转换债券（含可分离交易可转换债券）、可交换公司债券的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（4）回购策略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（5）信用债券（含资产支持证券，下同）投资策略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基金管理人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动投资的信用债（含资产支持证券，下同）为信用评级在AA+级（含）以上的信用债，对信用评级的认定参照基金管理人选定的评级机构出具的信用评级，其中，信用债的信用评级依照评级机构出具的债项信用评级，若无债项信用评级的，依照其主体信用评级，其中本基金投资的短期融资券、超短期融资券、短期公司债券等短期信用债的信用评级依照评级机构出具的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调整至符合规定。上述信用债不包括可转换债券（含可分离交易可转换债券）、可交换公司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本基金构建和管理信用债券投资组合时主要考虑以下因素：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（6）可转换债券（含可分离交易可转换债券）与可交换公司债券投资策略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于可转换债券（含可分离交易可转换债券）、可交换公司债券的比例合计不超过基金资产的20%。本基金对于可转换债券（含可分离交易可转换债券）与可交换公司债券股性的研究将完全依托于基金管理人投研团队对标的股票的研究，在此基础上利用可转换债券（含可分离交易可转换债券）与可交换公司债券定价模型，充分考虑转债发行后目标转债标的股票股价波动率可能出现的变化，对目标转债的股性进行合理定价。通过对目标转债股性与债性的合理定价，力求寻找出被市场低估的品种，构建本基金可转换债券（含可分离交易可转换债券）与可交换公司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1）行业配置策略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含可分离交易可转换债券）与可交换公司债券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2）个券精选策略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换债券（含可分离交易可转换债券）与可交换公司债券自身的信用评估和其正股的价值分析来进行个券的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2、国债期货投资策略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3、信用衍生品投资策略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按照风险管理原则，以风险对冲为目的参与信用衍生品交易。本基金将根据所持标的债券等固定收益品种的投资策略，审慎开展信用衍生品投资，合理确定信用衍生品的投资金额、期限等。同时，本基金将加强基金投资信用衍生品的交易对手方、创设机构的风险管理，合理分散交易对手方、创设机构的集中度，对交易对手方、创设机构的财务状况、偿付能力及杠杆水平等进行必要的尽职调查与严格的准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未来，随着投资工具的发展和丰富，基金管理人可以在不改变投资目标的前提下，在履行适当程序之后，相应调整和更新相关投资策略，并在招募说明书中更新，而无需召开基金份额持有人大会。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（1）本基金投资于债券资产的比例不低于基金资产的80%，投资于可转换债券（含可分离交易可转换债券）、可交换公司债券的比例合计不超过基金资产的20%；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（9）本基金参与国债期货交易，需遵守下列投资比例限制：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1）在任何交易日日终，持有的买入国债期货合约价值，不得超过基金资产净值的15%；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2）在任何交易日日终，持有的卖出国债期货合约价值不得超过基金持有的债券总市值的30%；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10）、（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中债综合全价指数收益率×90%+人民币活期存款利率(税后)×10%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债券部分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在按照监管部门要求履行适当程序后调整或变更本基金的业绩比较基准并及时在规定媒介上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204,796,521.96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86.59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204,796,521.96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86.59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20,980,914.21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10,723,947.98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236,501,384.15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102,530,094.25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71,582,471.23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34.44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71,196,838.91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31,069,588.80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204,796,521.96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98.55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210208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21国开08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30,661,183.56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14.75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210305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21进出05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20,614,131.51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25国开06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20,307,156.16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24渤海银行二级资本债01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10,472,850.41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25民生银行二级资本债01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10,306,638.36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2026年03月05日,国家外汇管理局北京市分局公示京汇罚[2026]14号行政处罚决定书,给予中国进出口银行罚没共计221.24万元人民币的行政处罚。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2025年12月31日,国家金融监督管理总局宁波监管局公示行政处罚决定书,给予中国民生银行股份有限公司220万元人民币的行政处罚。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2025年10月31日,国家金融监督管理总局公示行政处罚决定书,给予中国民生银行股份有限公司5865万元人民币的行政处罚。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2025年09月30日,央行公示银罚决字[2025]66号行政处罚决定书,给予国家开发银行123万元人民币的行政处罚。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2025年09月12日,金融监管总局公示行政处罚决定书,给予中国民生银行股份有限公司590万元人民币的行政处罚。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2025年09月12日,国家金融监督管理总局公示行政处罚决定书,给予中国进出口银行130万元人民币的行政处罚。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2025年07月25日,国家外汇管理局北京市分局公示京汇罚[2025]30号行政处罚决定书,给予国家开发银行罚没共计1394.42万元人民币的行政处罚。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2025年06月27日,国家金融监督管理总局公示行政处罚决定书,给予中国进出口银行1810万元人民币的行政处罚。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61,710.96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10,622,024.75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40,212.27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10,723,947.98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2,015,353.89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1,910,866.78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1,627,787.03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1,533,433.91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1,174,540.24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华海转债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1,168,938.21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1,067,416.89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1,053,925.20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1,026,200.80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1,020,933.45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1,017,085.65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992,779.59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968,444.44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鹤21转债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883,845.87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854,704.02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847,751.28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796,170.84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海顺转债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702,141.82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692,143.89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689,355.08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清源转债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652,697.52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646,529.14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607,916.82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欧22转债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600,160.46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572,780.18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567,279.27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563,046.73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552,667.84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437,135.77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433,056.25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423,202.80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354,860.30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352,519.38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344,170.00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262,596.79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254,882.66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236,000.51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177,448.07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130,122.03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120,570.04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106,811.04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1974993"/>
      <w:r>
        <w:rPr>
          <w:rFonts w:ascii="Times New Roman" w:hAnsi="Times New Roman"/>
          <w:sz w:val="30"/>
        </w:rPr>
        <w:t>十、基金的业绩</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1、本报告期基金份额净值收益率及其与同期业绩比较基准收益率的比较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1）交银180天持有期债券A：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2）交银180天持有期债券C：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注：本基金的业绩比较基准为中债综合全价指数收益率×90%+人民币活期存款利率(税后)×10%，每日进行再平衡过程。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交银施罗德180天持有期债券型证券投资基金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份额累计份额净值增长率与业绩比较基准收益率的历史走势对比图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（2025年07月18日至2026年03月31日）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1、交银180天持有期债券A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2、交银180天持有期债券C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基金合同生效日为2025年7月18日，基金合同生效日至报告期期末，本基金运作时间未满一年。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1974994"/>
      <w:r>
        <w:rPr>
          <w:rFonts w:ascii="Times New Roman" w:hAnsi="Times New Roman"/>
          <w:sz w:val="30"/>
        </w:rPr>
        <w:t>十一、基金的财产</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基金资产总值是指基金拥有的各类有价证券、国债期货合约、银行存款本息、基金应收款项及其他资产的价值总和。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1974995"/>
      <w:r>
        <w:rPr>
          <w:rFonts w:ascii="Times New Roman" w:hAnsi="Times New Roman"/>
          <w:sz w:val="30"/>
        </w:rPr>
        <w:t>十二、基金资产的估值</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基金所拥有的债券、国债期货合约、资产支持证券、信用衍生品和其他投资等持续以公允价值计量的金融资产及负债。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4、同一证券同时在两个或两个以上市场交易的，按证券所处的市场分别估值。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5、本基金投资国债期货合约，一般以估值当日结算价进行估值，估值当日无结算价的，且最近交易日后经济环境未发生重大变化的，采用最近交易日结算价估值。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1974996"/>
      <w:r>
        <w:rPr>
          <w:rFonts w:ascii="Times New Roman" w:hAnsi="Times New Roman"/>
          <w:sz w:val="30"/>
        </w:rPr>
        <w:t>十三、基金收益与分配</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6、对于收益分配方式为红利再投资的基金份额，每份基金份额（原份额）所获得的红利再投资份额的最短持有期到期日，与该原份额的最短持有期到期日一致；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1974997"/>
      <w:r>
        <w:rPr>
          <w:rFonts w:ascii="Times New Roman" w:hAnsi="Times New Roman"/>
          <w:sz w:val="30"/>
        </w:rPr>
        <w:t>十四、基金的费用与税收</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6、基金的证券、期货交易/结算费用；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本基金的管理费按前一日基金资产净值的0.20%年费率计提。管理费的计算方法如下：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H＝E×0.20%÷当年天数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根据双方核对一致的数据向基金托管人发送划付指令，基金托管人于次月首日起3个工作日内从基金财产中一次性支付给基金管理人。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本基金的托管费按前一日基金资产净值的0.05%年费率计提。托管费的计算方法如下：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H＝E×0.05%÷当年天数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根据双方核对一致的数据向基金托管人发送划付指令，基金托管人于次月首日起3个工作日内从基金财产中一次性支取。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本基金A类基金份额不收取销售服务费，C类基金份额的销售服务费按前一日C类基金资产净值的0.15%年费率计提。计算方法如下：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H＝E×0.15%÷当年天数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根据双方核对一致的数据向基金托管人发送销售服务费划付指令，基金托管人于次月首日起3个工作日内从基金财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1974998"/>
      <w:r>
        <w:rPr>
          <w:rFonts w:ascii="Times New Roman" w:hAnsi="Times New Roman"/>
          <w:sz w:val="30"/>
        </w:rPr>
        <w:t>十五、基金的会计与审计</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1974999"/>
      <w:r>
        <w:rPr>
          <w:rFonts w:ascii="Times New Roman" w:hAnsi="Times New Roman"/>
          <w:sz w:val="30"/>
        </w:rPr>
        <w:t>十六、基金的信息披露</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12、基金投资国债期货的情况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交易政策、持仓情况、损益情况、风险指标等，并充分揭示国债期货交易对基金总体风险的影响以及是否符合既定的投资政策和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13、基金投资信用衍生品的情况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基金管理人应在定期报告及招募说明书（更新）等文件中详细披露信用衍生品的投资情况，包括投资策略、持仓情况等，并充分揭示投资信用衍生品对基金总体风险的影响以及是否符合既定的投资目标及策略。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1975000"/>
      <w:r>
        <w:rPr>
          <w:rFonts w:ascii="Times New Roman" w:hAnsi="Times New Roman"/>
          <w:sz w:val="30"/>
        </w:rPr>
        <w:t>十七、侧袋机制</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1975001"/>
      <w:r>
        <w:rPr>
          <w:rFonts w:ascii="Times New Roman" w:hAnsi="Times New Roman"/>
          <w:sz w:val="30"/>
        </w:rPr>
        <w:t>十八、风险揭示</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10%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基金份额持有人持有的每份基金份额最短持有期限为180天，对于满足最短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基金份额最短持有期限届满日起（含该日）申请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基金管理人自基金合同生效之日起的第180天（含该日，如为非工作日，则顺延至下一工作日）开始办理赎回，具体业务办理时间在赎回开始公告中规定。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每份基金份额的最短持有期限为180天，在最短持有期限内该份基金份额不可赎回，自最短持有期限届满日起（含该日）可赎回。即：自基金合同生效日（对认购份额而言）、基金份额申购确认日（对申购份额而言）起的第180天起（含该日，如为非工作日则顺延至下一工作日），投资者方可提出赎回申请。对于基金份额持有人而言，存在投资本基金后180天内无法赎回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（六）投资国债期货的特定风险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（八）信用衍生品投资风险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1975002"/>
      <w:r>
        <w:rPr>
          <w:rFonts w:ascii="Times New Roman" w:hAnsi="Times New Roman"/>
          <w:sz w:val="30"/>
        </w:rPr>
        <w:t>十九、基金合同的变更、终止与基金财产的清算</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1975003"/>
      <w:r>
        <w:rPr>
          <w:rFonts w:ascii="Times New Roman" w:hAnsi="Times New Roman"/>
          <w:sz w:val="30"/>
        </w:rPr>
        <w:t>二十、基金合同内容摘要</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15）选择、更换律师事务所、会计师事务所、证券/期货经纪商或其他为基金提供服务的外部机构；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5）调整基金管理人、基金托管人的报酬标准和提高销售服务费；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6）在法律法规允许的情况下，且在对现有基金份额持有人利益无实质性不利影响的前提下，基金管理人在履行适当程序后，基金推出新业务或服务；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7）在符合法律法规及本基金合同规定、并且对基金份额持有人利益无实质不利影响的前提下，增加或调整本基金份额类别的设置、停止现有基金份额的销售、对基金份额分类办法及规则进行调整；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仲裁地点为北京市，按照中国国际经济贸易仲裁委员会届时有效的仲裁规则进行仲裁。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1975004"/>
      <w:r>
        <w:rPr>
          <w:rFonts w:ascii="Times New Roman" w:hAnsi="Times New Roman"/>
          <w:sz w:val="30"/>
        </w:rPr>
        <w:t>二十一、托管协议的内容摘要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办公地址：北京市西城区复兴门内大街28号凯晨世贸中心东座九层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投资于可转换债券（含可分离交易可转换债券）、可交换公司债券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（1）本基金投资于债券资产的比例不低于基金资产的80%，投资于可转换债券（含可分离交易可转换债券）、可交换公司债券的比例合计不超过基金资产的20%；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（9）本基金参与国债期货交易，需遵守下列投资比例限制：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1）在任何交易日日终，持有的买入国债期货合约价值，不得超过基金资产净值的15%；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2）在任何交易日日终，持有的卖出国债期货合约价值不得超过基金持有的债券总市值的30%；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10）、（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有权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对银行间债券市场交易对手名单进行更新，如基金管理人根据市场情况需要临时调整银行间债券市场交易对手名单，应向基金托管人说明理由，在与交易对手发生交易前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相应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5、基金托管人根据有关法律法规的规定及基金合同的约定，对基金管理人投资银行存款进行监督。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如果基金管理人未经基金托管人的审核擅自将不实的业绩表现数据印制在宣传推介材料上，则基金托管人对此不承担相应责任，并将在发现后立即报告中国证监会。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合理疑义进行解释或举证；对基金托管人按照法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的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（3）基金托管人按照规定开设基金财产的资金账户、证券账户等投资所需账户。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（1）基金托管人应负责本基金的基金托管资金账户的开设和管理。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基金托管资金账户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（4）基金托管资金账户的开立和管理应符合相关法律法规的有关规定。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（4）基金证券账户的开立和开户回执的保管由基金托管人负责，账户资产的管理和运用由基金管理人负责。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等有价凭证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基金资产净值、各类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双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本协议适用中华人民共和国法律（不含港澳台地区法律）并从其解释。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（4）发生法律法规、中国证监会或基金合同规定的其他终止事项。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1975005"/>
      <w:r>
        <w:rPr>
          <w:rFonts w:ascii="Times New Roman" w:hAnsi="Times New Roman"/>
          <w:sz w:val="30"/>
        </w:rPr>
        <w:t>二十二、对基金份额持有人的服务</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待技术条件成熟时，基金管理人可通过销售机构为投资人提供转换的服务，具体实施方法另行公告。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1975006"/>
      <w:r>
        <w:rPr>
          <w:rFonts w:ascii="Times New Roman" w:hAnsi="Times New Roman"/>
          <w:sz w:val="30"/>
        </w:rPr>
        <w:t>二十三、其他应披露事项</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交银施罗德180天持有期债券型证券投资基金基金份额发售公告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交银施罗德180天持有期债券型证券投资基金基金合同及招募说明书提示性公告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交银施罗德180天持有期债券型证券投资基金招募说明书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交银施罗德180天持有期债券型证券投资基金（A类份额）基金产品资料概要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交银施罗德180天持有期债券型证券投资基金（C类份额）基金产品资料概要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交银施罗德基金管理有限公司关于增加交银施罗德180天持有期债券型证券投资基金销售机构的公告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交银施罗德基金管理有限公司关于交银施罗德180天持有期债券型证券投资基金基金合同生效公告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交银施罗德基金管理有限公司关于交银施罗德180天持有期债券型证券投资基金开放日常申购、定期定额投资业务的公告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交银施罗德基金管理有限公司关于交银施罗德180天持有期债券型证券投资基金开放日常赎回业务的公告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1975007"/>
      <w:r>
        <w:rPr>
          <w:rFonts w:ascii="Times New Roman" w:hAnsi="Times New Roman"/>
          <w:sz w:val="30"/>
        </w:rPr>
        <w:t>二十四、招募说明书的存放及查阅方式</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1975008"/>
      <w:r>
        <w:rPr>
          <w:rFonts w:ascii="Times New Roman" w:hAnsi="Times New Roman"/>
          <w:sz w:val="30"/>
        </w:rPr>
        <w:t>二十五、备查文件</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（一）中国证监会准予交银施罗德180天持有期债券型证券投资基金募集注册的文件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（二）《交银施罗德180天持有期债券型证券投资基金基金合同》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（三）《交银施罗德180天持有期债券型证券投资基金托管协议》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（六）关于申请募集注册交银施罗德180天持有期债券型证券投资基金的法律意见书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130</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交银施罗德180天持有期债券型证券投资基金招募说明书更新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交银施罗德180天持有期债券型证券投资基金招募说明书更新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交银施罗德180天持有期债券型证券投资基金招募说明书更新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03104"/>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18"/>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3CC5"/>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07B"/>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C687BF9"/>
    <w:rsid w:val="1A113708"/>
    <w:rsid w:val="22E06813"/>
    <w:rsid w:val="403408DE"/>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131</Pages>
  <Words>13802</Words>
  <Characters>78672</Characters>
  <Lines>655</Lines>
  <Paragraphs>184</Paragraphs>
  <TotalTime>1</TotalTime>
  <ScaleCrop>false</ScaleCrop>
  <LinksUpToDate>false</LinksUpToDate>
  <CharactersWithSpaces>92290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2026-06-10T01:09:00Z</dcterms:created>
  <dc:creator>系统用户</dc:creator>
  <cp:lastModifiedBy>haotingting</cp:lastModifiedBy>
  <cp:lastPrinted>2013-02-18T03:10:00Z</cp:lastPrinted>
  <dcterms:modified xsi:type="dcterms:W3CDTF">2026-06-10T01:16:52Z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3E57A80FE74C414DA1128C32D8C7B67E</vt:lpwstr>
  </property>
</Properties>
</file>