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交银施罗德增利增强债券型证券投资基金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二〇二六年五月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231995024"/>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增利增强债券型证券投资基金（以下简称“本基金”）经2013年10月22日中国证券监督管理委员会（以下简称“中国证监会”）证监许可【2013】1330号文核准，并经机构部函【2017】439号准予延期募集。本基金基金合同于2017年6月2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投资科创板股票的特定风险等等。本基金是一只债券型基金，其风险与预期收益高于货币市场基金，低于混合型基金和股票型基金，属于证券投资基金中中等风险的品种。</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本招募说明书所载内容截止日为2026年05月14日，有关财务数据和净值表现截止日为2026年03月31日。本招募说明书所载的财务数据未经审计。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"_Toc231995024"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_Toc231995024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"_Toc231995025"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_Toc231995025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"_Toc231995026"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_Toc231995026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"_Toc231995027"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_Toc231995027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"_Toc231995028"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_Toc231995028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"_Toc231995029"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_Toc231995029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"_Toc231995030"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_Toc231995030 \h </w:instrText>
      </w:r>
      <w:r>
        <w:rPr>
          <w:rFonts w:ascii="宋体" w:hAnsi="宋体"/>
          <w:sz w:val="24"/>
        </w:rPr>
        <w:fldChar w:fldCharType="separate"/>
      </w:r>
      <w:r>
        <w:rPr>
          <w:rFonts w:ascii="宋体" w:hAnsi="宋体"/>
          <w:sz w:val="24"/>
        </w:rPr>
        <w:t>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"_Toc231995031"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_Toc231995031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"_Toc231995032"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_Toc231995032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"_Toc231995033"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_Toc231995033 \h </w:instrText>
      </w:r>
      <w:r>
        <w:rPr>
          <w:rFonts w:ascii="宋体" w:hAnsi="宋体"/>
          <w:sz w:val="24"/>
        </w:rPr>
        <w:fldChar w:fldCharType="separate"/>
      </w:r>
      <w:r>
        <w:rPr>
          <w:rFonts w:ascii="宋体" w:hAnsi="宋体"/>
          <w:sz w:val="24"/>
        </w:rPr>
        <w:t>71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"_Toc231995034"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_Toc231995034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"_Toc231995035"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_Toc231995035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"_Toc231995036"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_Toc231995036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"_Toc231995037"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_Toc231995037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"_Toc231995038"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_Toc231995038 \h </w:instrText>
      </w:r>
      <w:r>
        <w:rPr>
          <w:rFonts w:ascii="宋体" w:hAnsi="宋体"/>
          <w:sz w:val="24"/>
        </w:rPr>
        <w:fldChar w:fldCharType="separate"/>
      </w:r>
      <w:r>
        <w:rPr>
          <w:rFonts w:ascii="宋体" w:hAnsi="宋体"/>
          <w:sz w:val="24"/>
        </w:rPr>
        <w:t>102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"_Toc231995039"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_Toc231995039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"_Toc231995040"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_Toc231995040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"_Toc231995041"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_Toc231995041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"_Toc231995042"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_Toc231995042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"_Toc231995043"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_Toc231995043 \h </w:instrText>
      </w:r>
      <w:r>
        <w:rPr>
          <w:rFonts w:ascii="宋体" w:hAnsi="宋体"/>
          <w:sz w:val="24"/>
        </w:rPr>
        <w:fldChar w:fldCharType="separate"/>
      </w:r>
      <w:r>
        <w:rPr>
          <w:rFonts w:ascii="宋体" w:hAnsi="宋体"/>
          <w:sz w:val="24"/>
        </w:rPr>
        <w:t>117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"_Toc231995044"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_Toc231995044 \h </w:instrText>
      </w:r>
      <w:r>
        <w:rPr>
          <w:rFonts w:ascii="宋体" w:hAnsi="宋体"/>
          <w:sz w:val="24"/>
        </w:rPr>
        <w:fldChar w:fldCharType="separate"/>
      </w:r>
      <w:r>
        <w:rPr>
          <w:rFonts w:ascii="宋体" w:hAnsi="宋体"/>
          <w:sz w:val="24"/>
        </w:rPr>
        <w:t>125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"_Toc231995045"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_Toc231995045 \h </w:instrText>
      </w:r>
      <w:r>
        <w:rPr>
          <w:rFonts w:ascii="宋体" w:hAnsi="宋体"/>
          <w:sz w:val="24"/>
        </w:rPr>
        <w:fldChar w:fldCharType="separate"/>
      </w:r>
      <w:r>
        <w:rPr>
          <w:rFonts w:ascii="宋体" w:hAnsi="宋体"/>
          <w:sz w:val="24"/>
        </w:rPr>
        <w:t>127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"_Toc231995046"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_Toc231995046 \h </w:instrText>
      </w:r>
      <w:r>
        <w:rPr>
          <w:rFonts w:ascii="宋体" w:hAnsi="宋体"/>
          <w:sz w:val="24"/>
        </w:rPr>
        <w:fldChar w:fldCharType="separate"/>
      </w:r>
      <w:r>
        <w:rPr>
          <w:rFonts w:ascii="宋体" w:hAnsi="宋体"/>
          <w:sz w:val="24"/>
        </w:rPr>
        <w:t>143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"_Toc231995047"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_Toc231995047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"_Toc231995048"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_Toc231995048 \h </w:instrText>
      </w:r>
      <w:r>
        <w:rPr>
          <w:rFonts w:ascii="宋体" w:hAnsi="宋体"/>
          <w:sz w:val="24"/>
        </w:rPr>
        <w:fldChar w:fldCharType="separate"/>
      </w:r>
      <w:r>
        <w:rPr>
          <w:rFonts w:ascii="宋体" w:hAnsi="宋体"/>
          <w:sz w:val="24"/>
        </w:rPr>
        <w:t>157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"_Toc231995049"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_Toc231995049 \h </w:instrText>
      </w:r>
      <w:r>
        <w:rPr>
          <w:rFonts w:ascii="宋体" w:hAnsi="宋体"/>
          <w:sz w:val="24"/>
        </w:rPr>
        <w:fldChar w:fldCharType="separate"/>
      </w:r>
      <w:r>
        <w:rPr>
          <w:rFonts w:ascii="宋体" w:hAnsi="宋体"/>
          <w:sz w:val="24"/>
        </w:rPr>
        <w:t>160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"_Toc231995050"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_Toc231995050 \h </w:instrText>
      </w:r>
      <w:r>
        <w:rPr>
          <w:rFonts w:ascii="宋体" w:hAnsi="宋体"/>
          <w:sz w:val="24"/>
        </w:rPr>
        <w:fldChar w:fldCharType="separate"/>
      </w:r>
      <w:r>
        <w:rPr>
          <w:rFonts w:ascii="宋体" w:hAnsi="宋体"/>
          <w:sz w:val="24"/>
        </w:rPr>
        <w:t>161</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1995025"/>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增利增强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增利增强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1995026"/>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1、基金或本基金：指交银施罗德增利增强债券型证券投资基金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4、基金合同、《基金合同》或本基金合同：指《交银施罗德增利增强债券型证券投资基金基金合同》及对本基金合同的任何有效修订和补充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5、托管协议：指基金管理人与基金托管人就本基金签订之《交银施罗德增利增强债券型证券投资基金托管协议》及对该托管协议的任何有效修订和补充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6、招募说明书或《招募说明书》或本招募说明书：指《交银施罗德增利增强债券型证券投资基金招募说明书》及其更新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7、基金份额发售公告：指《交银施罗德增利增强债券型证券投资基金基金份额发售公告》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8、基金产品资料概要：指《交银施罗德增利增强债券型证券投资基金基金产品资料概要》及其更新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13、《运作办法》：指中国证监会2004年6月29日颁布、同年7月1日实施的《证券投资基金运作管理办法》及颁布机关对其不时做出的修订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24、直销机构：指交银施罗德基金管理有限公司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代销机构：指符合《销售办法》和中国证监会规定的其他条件，取得基金销售业务资格并接受基金管理人委托，代为办理基金销售业务的机构以及可通过上海证券交易所开放式基金销售系统办理基金销售业务的会员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会员单位：指具有开放式基金销售业务资格，经上海证券交易所和中国证券登记结算有限责任公司认可的、可通过上海证券交易所开放式基金销售系统办理开放式基金的认购、申购、赎回和转托管等业务的上海证券交易所会员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27、销售机构：指直销机构和代销机构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上海证券账户：指在中国证券登记结算有限责任公司上海分公司开设的上海证券交易所人民币普通股票账户或证券投资基金账户，投资人通过上海证券交易所开放式基金销售系统办理申购、赎回等业务时需持有上海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国证券登记结算有限责任公司场内业务有关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49、注册登记系统：指中国证券登记结算有限责任公司开放式基金登记结算系统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50、证券登记结算系统：指中国证券登记结算有限责任公司上海分公司证券登记结算系统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51、销售服务费：指从基金资产中计提的，用于本基金市场推广、销售以及基金份额持有人服务的费用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在投资人申购时收取申购费用、赎回时收取赎回费用的，称为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67、不可抗力：指本基金合同当事人不能预见、不能避免且不能克服的客观事件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1995027"/>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孙超先生(2017年06月02日至2017年06月21日)；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于海颖女士(2017年06月10日至2019年03月15日)；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凌超先生(2018年02月13日至2020年07月22日)。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1995028"/>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注册资本：贰仟陆佰壹拾陆亿零叁拾捌万壹仟肆佰伍拾玖元整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1995029"/>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具有基金销售资格的上海证券交易所场内会员单位（具体名单见上海证券交易所网站）。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（22）名称：爱建证券有限责任公司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（23）名称：长江证券股份有限公司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（36）名称：中邮证券有限责任公司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（42）名称：国元证券股份有限公司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（43）名称：南京证券股份有限公司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1995030"/>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本基金由基金管理人依照《基金法》、《运作办法》、《销售办法》、基金合同及其他有关规定，并经2013年10月22日中国证监会证监许可【2013】1330号文核准，并经机构部函【2017】439号准予延期募集。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本基金自2017年4月20日至2017年5月26日进行发售，本基金设立募集期共募集364,295,282.48份基金份额，有效认购户数为1,622户。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1995031"/>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根据有关规定，本基金满足基金合同生效条件，基金合同已于2017年6月2日正式生效。自基金合同生效之日起，本基金管理人正式开始管理本基金。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1995032"/>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3、不通过上海证券交易所开放式基金销售系统办理相关业务的场外代销机构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本基金的场外代销机构参见本招募说明书“五、相关服务机构”章节或拨打基金管理人客户服务电话进行咨询。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基金投资者应当在销售机构办理基金销售业务的营业场所或按销售机构提供的其他方式办理基金份额的申购与赎回。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4、尽管有上述规定，各销售机构的具体名单、业务开通情况及其所销售的基金份额类别请以基金管理人届时发布的最新公告和各销售机构的业务规则为准。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本基金A/B/C类基金份额已于2017年6月13日起开放申购、赎回业务。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本基金D类基金份额已于2025年4月2日起开放申购、赎回业务。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1、“未知价”原则，即申购、赎回价格以申请当日收市后计算的各类基金份额净值为基准进行计算；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5、投资人通过上海证券交易所开放式基金销售系统办理本基金的场内申购、赎回业务时，需遵守上海证券交易所和中国证券登记结算有限责任公司的相关业务规则。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场外申购时，场外代销机构每个账户单笔申购的最低金额为单笔1元，如果代销机构业务规则规定的最低单笔认购金额高于1元，以代销机构的规定为准。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场外赎回的最低份额为1份基金份额。场内赎回时，赎回的最低份额为50份基金份额，同时赎回份额必须是整数份额，并且单笔赎回最多不超过99,999,999份基金份额。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B类、C类和D类基金份额。投资人申购A类基金份额、D类基金份额在申购时支付申购费用，申购B类基金份额在赎回时才支付相应的申购费用，申购C类基金份额不支付申购费用，而是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A/B/D类基金份额的申购费用由该类基金份额申购人承担，不列入基金财产，主要用于本基金的市场推广、销售、登记结算等各项费用。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本基金B类基金份额（非养老金客户）的申购费率如下：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B类基金份额后端申购费率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1年—3年（含）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3年—5年（含）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持有A/B/D类基金份额的投资人因红利自动再投资而产生的A/B/D类基金份额，不收取相应的申购费用。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本基金对通过基金管理人直销柜台申购A类基金份额、D类基金份额的养老金客户实施特定申购费率。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通过基金管理人直销柜台申购本基金D类基金份额的养老金客户特定申购费率如下表：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各类基金份额收取赎回费用，该费用随基金份额的持有时间递减。本基金基金份额的赎回费用由基金份额赎回人承担，赎回费总额的25%应归基金财产，其余用于支付登记费和其他必要的手续费。其中，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本基金A/B类基金份额的赎回费率如下：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A/B类基金份额赎回费率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本基金C/D类基金份额的赎回费率如下：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C/D类基金份额赎回费率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为净申购金额除以当日的各类基金份额净值，有效份额单位为份，场外申购份额计算结果按四舍五入方法，保留到小数点后2位，由此产生的收益或损失由基金财产承担，场内申购份额计算结果按舍去尾数的方法，保留到整数位，剩余部分折回金额返回投资人，折回金额的计算保留到小数点后2位，小数点2位以后的部分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各类基金份额的有效赎回份额乘以当日该类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5" o:spt="75" type="#_x0000_t75" style="height:71.25pt;width:288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场内申购的有效份额保留到整数位，剩余部分对应申购资金返还投资者。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申购份额=（100,000-793.65）/1.0400=95,390.72份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如果该投资者是场内申购，则其可得到的申购份额为95,390份，其余0.72份对应金额返回给投资者。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净申购金额=100,000/（1+0.32%）=99,681.02元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申购费用=100,000-99,681.02=318.98元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申购份额=（100,000-318.98）/1.0400=95,847.13份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即：该养老金客户资100,000元通过基金管理人的直销柜台申购本基金的A类基金份额，假设申购当日A/B类基金份额净值为1.0400元，则其可得到95,847.13份A类基金份额。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6" o:spt="75" type="#_x0000_t75" style="height:71.25pt;width:288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当投资者提出赎回时，后端申购费用的计算方法为：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后端申购费用＝赎回份额×T日A/B类基金份额净值×后端申购费率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例三：某投资者投资100,000元申购本基金的B类基金份额，假设申购当日A/B类基金份额净值为1.0400元，则其可得到的申购份额为：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（4）D类基金份额的申购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如果投资者选择申购D类基金份额，则申购份额的计算方法如下：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申购份额=净申购金额/T日D类基金份额净值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例五：某投资者（非养老金客户）投资10万元申购本基金的D类基金份额，假设申购当日D类基金份额净值为1.0400元，申购费率为0.9%，则其可得到的申购份额为：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净申购金额=100,000/（1+0.9%）=99,108.03元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申购费用=100,000-99,108.03=891.97元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申购份额=99,108.03/1.0400=95,296.18份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即：某投资者（非养老金客户）投资10万元申购本基金D类基金份额，假设申购当日D类基金份额净值为1.0400元，则其可得到95,296.18份D类基金份额。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如果投资者赎回A类基金份额，则赎回金额的计算方法如下：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赎回费用=赎回份额×T日A/B类基金份额净值×赎回费率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赎回金额=赎回份额×T日A/B类基金份额净值-赎回费用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例六：某投资者赎回100,000份A类基金份额，对应的赎回费率为0.1%，假设赎回当日A/B类基金份额净值是1.0160元，则其可得到的赎回金额为：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如果投资者赎回B类基金份额，则赎回金额的计算方法如下：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赎回总额＝赎回份额×T日A/B类基金份额净值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后端（认）申购费用＝赎回份额×（认）申购日基金份额净值×后端（认）申购费率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赎回金额＝赎回总额－后端（认）申购费用－赎回费用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例七：某投资者赎回100,000份B类基金份额，对应的后端申购费率是1.0%，赎回费率为0.1%，假设赎回当日A/B类基金份额净值是1.0160元，申购时的A/B类基金份额净值为1.0100元，则其可得到的赎回金额为：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赎回总额=100,000×1.0160=101,600元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后端申购费用=100,000×1.0100×1.0%=1,010.00元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赎回金额=101,600-1,010.00-101.60=100,488.40元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赎回金额=赎回份数×T日C类基金份额净值-赎回费用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例八：某投资者赎回100,000份C类基金份额，持有期限为30日，对应的赎回费率为0%，假设赎回当日C类基金份额净值是1.2500 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赎回金额=100,000×1.2500-0=125,000.00 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即：投资者赎回100,000份C类基金份额，持有期限为30日，对应的赎回费率为0%，假设赎回当日C类基金份额净值是1.2500元，则其可得到的赎回金额为125,000.00元。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（4）D类基金份额的赎回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投资人赎回D类基金份额，赎回金额的计算方法如下：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赎回金额=赎回份数×赎回当日D类基金份额净值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例九：某投资人赎回本基金1万份D类基金份额，持有期限为30日，对应的赎回费率为0，假设赎回当日D类基金份额净值是1.2500元，则其可得到的赎回金额为：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赎回金额=10,000×1.2500-0=12,500 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即：投资人赎回本基金1万份D类基金份额，持有期限为30日，对应的赎回费率为0，假设赎回当日D类基金份额净值是1.2500元，则其可得到的赎回金额为12,500元。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A/B类基金份额净值＝A/B类基金份额的基金资产净值总额/发行在外的A/B类基金份额总数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D类基金份额净值＝D类基金份额的基金资产净值/发售在外的D类基金份额总数。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各类基金份额的基金份额净值的计算，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巨额赎回业务的场内处理，按照上海证券交易所及中国证券登记结算有限责任公司的有关规定办理。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2、暂停结束，基金重新开放申购或赎回时，基金管理人应依照《信息披露办法》的有关规定，不迟于重新开放日，在指定媒介上刊登基金重新开放申购或赎回公告，并公布最近一个开放日的各类基金份额净值。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2017年6月12日刊登公告自2017年6月13日起开通A/B类、C类基金份额的定期定额投资计划业务，本基金2025年4月1日刊登公告自2025年4月2日起增设D类基金份额并开通D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1995033"/>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w:t>
      </w:r>
      <w:r>
        <w:rPr>
          <w:rFonts w:hint="eastAsia" w:ascii="宋体" w:hAnsi="宋体"/>
          <w:sz w:val="24"/>
        </w:rPr>
        <w:t>该基金其他份额（如有）或</w:t>
      </w:r>
      <w:bookmarkStart w:id="29" w:name="_GoBack"/>
      <w:bookmarkEnd w:id="29"/>
      <w:r>
        <w:rPr>
          <w:rFonts w:ascii="宋体" w:hAnsi="宋体"/>
          <w:sz w:val="24"/>
        </w:rPr>
        <w:t>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6月18日刊登公告自2022年6月22日起开放A/B类、C类基金份额的日常转换业务，本基金2025年4月1日刊登公告自2025年4月2日起增设D类基金份额并开通D类基金份额的日常转换业务。本基金2026年3月3日刊登公告自2026年3月3日起开放开通同一基金不同类别基金份额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1995034"/>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本基金以债券投资为主，通过自上而下进行宏观分析，自下而上精选个券，在严格控制风险的前提下，力争实现基金资产的长期稳定增值。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本基金通过参与一级市场新股申购、股票增发，以及因所持股票进行股票配售及派发所形成的股票不超过基金资产净值的20%，通过二级市场买入股票（含存托凭证）、权证等权益类资产不高于基金资产净值的5%。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高基金资产风险调整后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预期收益率曲线形态变化来调整投资组合的期限结构配置。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并动态地调整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此外，本基金将研究首发股票及增发新股的基本面因素，根据股票市场整体定价水平，并参考一级市场资金供求关系，精选个股进行申购，在控制组合波动性风险的前提下提升基金的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4、权证投资策略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的投资比例不低于基金资产的80%，股票（含存托凭证）、权证等权益类资产的投资比例不高于基金资产净值的20%；通过参与一级市场新股申购、股票增发，以及因所持股票进行股票配售及派发所形成的股票不超过基金资产净值的20%，通过二级市场买入股票（含存托凭证）、权证等权益类资产不高于基金资产净值的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（7）本基金管理人管理的全部基金持有的同一权证，不得超过该权证的 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（15）本基金进入全国银行间同业市场进行债券回购的资金余额不得超过基金资产净值的40%；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13）、（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（七）基金的融资融券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本基金可以根据有关法律法规和政策的有关规定进行融资、融券。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186,882,227.58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186,882,227.58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3,073,420,989.52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3,073,420,989.52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26,000,000.00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19,217,690.97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14,112,944.39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3,319,633,852.46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7,471,435.50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131,662,899.79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2,031,885.00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3,363,980.00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2,982,996.00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3,423,149.00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8,101,391.56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16,559,220.93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2,331,145.00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5,392,668.80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2,715,696.00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845,760.00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186,882,227.58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江苏金租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1,360,226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9,140,718.72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8,001,768.00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7,428,888.00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环旭电子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153,129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5,053,257.00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川恒股份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4,579,735.68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伟测科技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35,371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4,520,413.80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万华化学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56,568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4,494,327.60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天山铝业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238,700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4,246,473.00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603799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华友钴业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68,531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4,024,825.63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3,854,416.00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201,019,205.48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933,821,157.81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28.89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254,715,406.57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7.88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1,425,278,216.43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258,587,003.23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3,073,420,989.52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95.07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100,755,178.08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26国债01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100,264,027.40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24恒丰银行二级资本债01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82,777,315.07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24渤海银行二级资本债01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73,309,952.88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24民生银行二级资本债01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72,699,602.74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2025年12月31日,国家金融监督管理总局宁波监管局公示行政处罚决定书,给予中国民生银行股份有限公司220万元人民币的行政处罚。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2025年12月05日,国家金融监督管理总局四川监管局公示行政处罚决定书,给予成都银行股份有限公司90万元人民币的行政处罚。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2025年10月31日,国家金融监督管理总局公示行政处罚决定书,给予中国民生银行股份有限公司5865万元人民币的行政处罚。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2025年10月31日,国家金融监督管理总局公示行政处罚决定书,给予中国银行股份有限公司9790万元人民币的行政处罚。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2025年10月31日,国家金融监督管理总局公示行政处罚决定书,给予中国农业银行股份有限公司罚没共计2720万元人民币的行政处罚。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2025年09月12日,金融监管总局公示行政处罚决定书,给予中国民生银行股份有限公司590万元人民币的行政处罚。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2025年09月12日,国家金融监督管理总局公示行政处罚决定书,给予恒丰银行股份有限公司6150万元人民币的行政处罚。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2025年09月05日,国家金融监督管理总局公示行政处罚决定书,给予浙商银行股份有限公司1130.8万元人民币的行政处罚。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2025年09月30日,央行公示银罚决字[2025]31号行政处罚决定书,给予浙商银行股份有限公司295.99万元人民币的行政处罚。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85,945.44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13,602,865.78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424,133.17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14,112,944.39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10,313,018.85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10,205,914.47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10,185,816.19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8,870,856.76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8,656,318.49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7,562,690.62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7,473,410.93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6,959,882.73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6,505,453.26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6,070,601.37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6,003,057.42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5,584,665.38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5,584,625.44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5,445,968.13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5,058,465.46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4,850,073.15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金23转债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4,757,160.95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4,736,842.15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4,729,858.27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4,622,094.36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鹤21转债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4,477,164.39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国力转债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4,435,972.78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南航转债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3,971,754.99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3,962,597.29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3,901,676.71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3,841,603.01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3,805,179.45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芳源转债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3,608,782.19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3,572,373.53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3,511,588.48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天23转债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3,487,615.68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3,362,146.05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3,229,267.59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3,015,579.89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2,609,135.27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2,582,308.81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2,484,320.86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佳禾转债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2,350,388.24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2,340,780.32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2,313,211.86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2,269,892.64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2,228,161.50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姚记转债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2,187,791.96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2,089,612.92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2,084,070.00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1,750,096.90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1,731,900.24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1,581,919.51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1,449,856.40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1,434,886.34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1,430,882.64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百畅转债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1,427,613.41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1,364,730.35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1,324,882.09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1,324,417.30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文科转债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1,264,014.67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1,250,853.55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1,203,029.55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1,198,518.64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1,187,248.67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1,169,049.00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1,105,518.74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1,077,638.13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1,073,252.58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博俊转债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1,021,512.92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971,439.58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湘佳转债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955,293.13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894,635.79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861,097.82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三房转债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851,654.81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842,229.18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水羊转债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779,417.07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744,469.96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735,729.94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708,207.99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696,974.69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672,122.43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625,793.11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568,379.49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544,117.88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百洋转债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461,410.27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366,075.84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惠云转债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351,081.18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286,336.62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60,791.68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卫宁转债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7,746.61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1995035"/>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（1）交银增利增强债券A：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2017年度（自基金合同生效日起至2017年12月31日）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（2）交银增利增强债券C：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2017年度（自基金合同生效日起至2017年12月31日）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（3）交银增利增强债券D：</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自基金份额类别首次确认起至2025年12月31日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注：本基金的业绩比较基准为中债综合全价指数。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交银施罗德增利增强债券型证券投资基金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（2017年6月2日至2026年03月31日）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（1）交银增利增强债券A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（2）交银增利增强债券C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（3）交银增利增强债券D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9" o:spt="75" type="#_x0000_t75" style="height:268.5pt;width:439.5pt;" filled="f" o:preferrelative="t" stroked="f" coordsize="21600,21600">
            <v:path/>
            <v:fill on="f" focussize="0,0"/>
            <v:stroke on="f" joinstyle="miter"/>
            <v:imagedata r:id="rId16"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2、本基金自2025年4月2日起，开始销售D类份额，投资者提交的申购申请于2025年7月3日被确认并将有效份额登记在册。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1995036"/>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1995037"/>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基金所拥有的股票、权证、债券和银行存款本息、应收款项、其它投资等资产及负债。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基金管理人于每个工作日计算基金资产净值及各类基金份额净值，并按规定公告。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基金管理人和基金托管人将采取必要、适当、合理的措施确保基金资产估值的准确性、及时性。当任一类基金份额净值小数点后第4位以内（含第4位) 发生估值错误时，视为该类基金份额净值错误。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1995038"/>
      <w:r>
        <w:rPr>
          <w:rFonts w:ascii="Times New Roman" w:hAnsi="Times New Roman"/>
          <w:sz w:val="30"/>
        </w:rPr>
        <w:t>十四、基金的收益与分配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1、由于本基金A类、B类和D类基金份额不收取销售服务费，C类基金份额收取销售服务费，各基金份额类别对应的可供分配利润将有所不同；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90%，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各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4、基金收益分配后各类基金份额净值不能低于面值，即基金收益分配基准日的该类基金份额净值减去每单位该类基金份额收益分配金额后不能低于面值；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投资人同一日多次申报分红方式变更的，按照《业务规则》执行，最终确认的分红方式以登记机构记录为准。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1995039"/>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本基金的管理费按前一日基金资产净值的0.6%年费率计提。管理费的计算方法如下：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至最近可支付日。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至最近可支付日。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本基金A类、B类和D类基金份额不收取销售服务费，C类基金份额的销售服务费按前一日C类基金资产净值的0.4%年费率计提。计算方法如下：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至最近可支付日。费用自动扣划后，基金管理人应进行核对，如发现数据不符，及时联系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2、上述“（一）基金费用的种类”中第3－8、第10项费用，根据有关法规及相应协议规定，按费用实际支出金额列入当期费用，由基金托管人从基金财产中支付。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1995040"/>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1995041"/>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基金管理人应当在不晚于半年度和年度最后一日的次日，在指定网站披露半年度和年度最后一日的各类基金份额所对应的基金份额净值和基金份额累计净值。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（15）管理费、托管费、申购费、赎回费、销售服务费等费用计提标准、计提方式和费率发生变更；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1995042"/>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1995043"/>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巨额赎回业务的场内处理，按照上海证券交易所及中国证券登记结算有限责任公司的有关规定办理。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3、本基金在主要投资于固定收益类资产的同时也积极关注股票、权证市场的投资机会，会因投资权益类资产而面临的权益类资产市场的系统性风险和个券风险。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1995044"/>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1995045"/>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16）在符合有关法律、法规的前提下，制定和调整有关基金认购、申购、赎回、转换和非交易过户等的业务规则；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4）根据相关市场规则，为基金开设证券账户、为基金办理证券交易资金清算；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3）依法并按照基金合同的规定申请赎回其持有的基金份额；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8）对基金管理人、基金托管人、基金销售机构损害其合法权益的行为依法提起诉讼或仲裁；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3）在法律法规和《基金合同》规定的范围内调整本基金的申购费率、调低赎回费率、在不影响现基金份额持有人利益的前提下变更或增加收费方式；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6）在不影响现基金份额持有人利益的前提下，在法律法规和基金合同规定的范围内调整本基金份额类别的设置；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等其他非书面方式由基金份额持有人向其授权代表进行授权；本基金亦可采用网络、电话等其他非现场方式或者以非现场方式与现场方式结合的方式召开基金份额持有人大会并表决，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基金份额持有人大会的决议自完成备案手续之日起生效。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1995046"/>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（1）债券的投资比例不低于基金资产的80%，股票（含存托凭证）、权证等权益类资产的投资比例不高于基金资产净值的20%；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（12）本基金进入全国银行间同业市场进行债券回购的资金余额不得超过基金资产净值的40％；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（13）本基金持有的所有流通受限证券，其公允价值不得超过本基金资产净值的15%；本基金持有的同一流通受限证券，其公允价值不得超过本基金资产净值的2%；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10）、（14）、（15）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本基金投资流通受限证券，不得预付任何形式的保证金。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1）中国证监会批准发行非公开发行股票的批准文件。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2）非公开发行股票有关发行数量、发行价格、锁定期等发行资料。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4）基金拟认购的数量、价格、总成本、账面价值。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在本基金投资非公开发行股票后两个交易日内，在中国证监会指定媒体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本基金有关投资流通受限证券比例如违反有关限制规定，在合理期限内未能进行及时调整，基金管理人应在两个工作日内编制临时报告书，予以公告。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（5）基金托管人根据有关规定有权对基金管理人进行以下事项监督：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1）本基金投资流通受限证券时的法律法规遵守情况。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2）在基金投资流通受限证券管理工作方面有关制度、流动性风险处置预案的建立与完善情况。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3）有关比例限制的执行情况。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4）信息披露情况。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（6）相关法律法规对基金投资流通受限证券有新规定的，从其规定。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（1）基金托管人可以本基金的名义在其营业机构开立基金的银行账户，并根据基金管理人合法合规的指令办理资金收付。本基金的银行预留印鉴由基金托管人保管和使用。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价值。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基金管理人于每个工作日计算基金资产净值及各类基金份额净值，并按规定公告。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（八）托管协议的修改与终止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2、基金托管协议终止出现的情形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1995047"/>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1、场外投资者。基金合同生效后的每次交易结束后，可在T+2个工作日后通过销售机构的网点查询和打印确认单；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2、场内投资者。基金合同生效后的每次交易结束后，可在T+2个工作日后到交易网点进行确认单的查询和打印，或通过交易网点提供的自助、电话、网上服务手段查询。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转换、定期定额投资等业务。通过网上直销交易平台办理本基金A类或D类基金份额的申购和定期定额投资业务的个人投资者将享受前端申购费率的优惠。具体优惠费率请参见公司网站列示的网上直销交易平台申购、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本基金已开通基金转换业务，具体实施方法请参见相关公告。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1995048"/>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基金合同如有未尽事宜，由基金合同各方当事人按有关法律法规协商解决。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交银施罗德基金管理有限公司关于交银施罗德增利增强债券型证券投资基金于2026年“春节”假期暂停大额申购（转换转入、定期定额投资）业务的公告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交银施罗德基金管理有限公司关于旗下部分基金投资范围增加存托凭证、开通同一基金不同类别基金份额转换业务并相应修改法律文件的公告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1995049"/>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1995050"/>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（一）中国证监会准予交银施罗德增利增强债券型证券投资基金募集注册的文件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（二）《交银施罗德增利增强债券型证券投资基金基金合同》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（三）《交银施罗德增利增强债券型证券投资基金托管协议》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（六）关于申请募集注册交银施罗德增利增强债券型证券投资基金之法律意见书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161</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交银施罗德增利增强债券型证券投资基金招募说明书更新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交银施罗德增利增强债券型证券投资基金招募说明书更新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交银施罗德增利增强债券型证券投资基金招募说明书更新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456E"/>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0304"/>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4768"/>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3467"/>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2FF09A3"/>
    <w:rsid w:val="1A113708"/>
    <w:rsid w:val="314C563E"/>
    <w:rsid w:val="39292114"/>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162</Pages>
  <Words>16553</Words>
  <Characters>94356</Characters>
  <Lines>786</Lines>
  <Paragraphs>221</Paragraphs>
  <TotalTime>32</TotalTime>
  <ScaleCrop>false</ScaleCrop>
  <LinksUpToDate>false</LinksUpToDate>
  <CharactersWithSpaces>110688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2026-06-10T06:43:00Z</dcterms:created>
  <dc:creator>系统用户</dc:creator>
  <cp:lastModifiedBy>haotingting</cp:lastModifiedBy>
  <cp:lastPrinted>2013-02-18T03:10:00Z</cp:lastPrinted>
  <dcterms:modified xsi:type="dcterms:W3CDTF">2026-06-10T09:12:24Z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7F0F476A2B17424D85773ADEEB5BCB7D</vt:lpwstr>
  </property>
</Properties>
</file>