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AD79FF">
      <w:pPr>
        <w:rPr>
          <w:sz w:val="32"/>
        </w:rPr>
      </w:pPr>
    </w:p>
    <w:p w:rsidR="00C92FC0" w:rsidRPr="00EB07BC" w:rsidRDefault="00AD79FF">
      <w:pPr>
        <w:rPr>
          <w:sz w:val="32"/>
        </w:rPr>
      </w:pPr>
    </w:p>
    <w:p w:rsidR="00C92FC0" w:rsidRPr="00EB07BC" w:rsidRDefault="00AD79FF">
      <w:pPr>
        <w:rPr>
          <w:sz w:val="32"/>
        </w:rPr>
      </w:pPr>
    </w:p>
    <w:p w:rsidR="0038338B" w:rsidRDefault="0038338B">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8338B" w:rsidRDefault="0038338B">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8338B" w:rsidRDefault="0038338B">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8338B" w:rsidRDefault="003762A4">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交银施罗德持续成长主题混合型证券投资基金</w:t>
      </w:r>
    </w:p>
    <w:p w:rsidR="0038338B" w:rsidRDefault="003762A4">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38338B" w:rsidRDefault="0038338B">
      <w:pPr>
        <w:snapToGrid w:val="0"/>
        <w:spacing w:line="360" w:lineRule="auto"/>
        <w:jc w:val="center"/>
        <w:rPr>
          <w:rFonts w:ascii="宋体" w:hAnsi="宋体"/>
          <w:b/>
          <w:sz w:val="30"/>
          <w:szCs w:val="30"/>
        </w:rPr>
      </w:pPr>
    </w:p>
    <w:p w:rsidR="0038338B" w:rsidRDefault="0038338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8338B" w:rsidRDefault="0038338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8338B" w:rsidRDefault="0038338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8338B" w:rsidRDefault="0038338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8338B" w:rsidRDefault="0038338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8338B" w:rsidRDefault="0038338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8338B" w:rsidRDefault="003762A4">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38338B" w:rsidRDefault="003762A4">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基金托管人：中国工商银行股份有限公司</w:t>
      </w:r>
    </w:p>
    <w:p w:rsidR="0038338B" w:rsidRDefault="0038338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8338B" w:rsidRDefault="0038338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8338B" w:rsidRDefault="003762A4">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38338B" w:rsidRDefault="0038338B">
      <w:pPr>
        <w:autoSpaceDE w:val="0"/>
        <w:autoSpaceDN w:val="0"/>
        <w:adjustRightInd w:val="0"/>
        <w:snapToGrid w:val="0"/>
        <w:spacing w:line="360" w:lineRule="auto"/>
        <w:ind w:left="1347" w:rightChars="6" w:right="13"/>
        <w:rPr>
          <w:rFonts w:ascii="宋体" w:hAnsi="宋体"/>
          <w:kern w:val="0"/>
          <w:sz w:val="32"/>
          <w:szCs w:val="32"/>
        </w:rPr>
        <w:sectPr w:rsidR="0038338B">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38338B" w:rsidRDefault="003762A4">
      <w:pPr>
        <w:pStyle w:val="1"/>
        <w:snapToGrid w:val="0"/>
        <w:spacing w:beforeLines="0" w:before="240" w:after="240"/>
        <w:rPr>
          <w:rFonts w:ascii="宋体" w:hAnsi="宋体"/>
          <w:kern w:val="0"/>
        </w:rPr>
      </w:pPr>
      <w:bookmarkStart w:id="0" w:name="_Toc324920538"/>
      <w:bookmarkStart w:id="1" w:name="_Toc496884613"/>
      <w:bookmarkStart w:id="2" w:name="_Toc231975006"/>
      <w:r>
        <w:rPr>
          <w:rFonts w:ascii="Times New Roman" w:hAnsi="Times New Roman"/>
          <w:kern w:val="0"/>
        </w:rPr>
        <w:lastRenderedPageBreak/>
        <w:t>重要提示</w:t>
      </w:r>
      <w:bookmarkEnd w:id="0"/>
      <w:bookmarkEnd w:id="1"/>
      <w:bookmarkEnd w:id="2"/>
    </w:p>
    <w:p w:rsidR="0038338B" w:rsidRDefault="00376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交银施罗德持续成长主题混合型证券投资基金（以下简称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2017</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6</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2017</w:t>
      </w:r>
      <w:r>
        <w:rPr>
          <w:rFonts w:ascii="Times New Roman" w:hAnsi="Times New Roman"/>
          <w:kern w:val="0"/>
          <w:sz w:val="24"/>
        </w:rPr>
        <w:t>】</w:t>
      </w:r>
      <w:r>
        <w:rPr>
          <w:rFonts w:ascii="Times New Roman" w:hAnsi="Times New Roman"/>
          <w:kern w:val="0"/>
          <w:sz w:val="24"/>
        </w:rPr>
        <w:t>1156</w:t>
      </w:r>
      <w:r>
        <w:rPr>
          <w:rFonts w:ascii="Times New Roman" w:hAnsi="Times New Roman"/>
          <w:kern w:val="0"/>
          <w:sz w:val="24"/>
        </w:rPr>
        <w:t>号文准予募集注册。本基金基金合同于</w:t>
      </w:r>
      <w:r>
        <w:rPr>
          <w:rFonts w:ascii="Times New Roman" w:hAnsi="Times New Roman"/>
          <w:kern w:val="0"/>
          <w:sz w:val="24"/>
        </w:rPr>
        <w:t>2018</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12</w:t>
      </w:r>
      <w:r>
        <w:rPr>
          <w:rFonts w:ascii="Times New Roman" w:hAnsi="Times New Roman"/>
          <w:kern w:val="0"/>
          <w:sz w:val="24"/>
        </w:rPr>
        <w:t>日正式生效。</w:t>
      </w:r>
    </w:p>
    <w:p w:rsidR="0038338B" w:rsidRDefault="00376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本基金经</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13</w:t>
      </w:r>
      <w:r>
        <w:rPr>
          <w:rFonts w:ascii="Times New Roman" w:hAnsi="Times New Roman"/>
          <w:kern w:val="0"/>
          <w:sz w:val="24"/>
        </w:rPr>
        <w:t>日中国证监会证监许可【</w:t>
      </w:r>
      <w:r>
        <w:rPr>
          <w:rFonts w:ascii="Times New Roman" w:hAnsi="Times New Roman"/>
          <w:kern w:val="0"/>
          <w:sz w:val="24"/>
        </w:rPr>
        <w:t>2022</w:t>
      </w:r>
      <w:r>
        <w:rPr>
          <w:rFonts w:ascii="Times New Roman" w:hAnsi="Times New Roman"/>
          <w:kern w:val="0"/>
          <w:sz w:val="24"/>
        </w:rPr>
        <w:t>】</w:t>
      </w:r>
      <w:r>
        <w:rPr>
          <w:rFonts w:ascii="Times New Roman" w:hAnsi="Times New Roman"/>
          <w:kern w:val="0"/>
          <w:sz w:val="24"/>
        </w:rPr>
        <w:t>2464</w:t>
      </w:r>
      <w:r>
        <w:rPr>
          <w:rFonts w:ascii="Times New Roman" w:hAnsi="Times New Roman"/>
          <w:kern w:val="0"/>
          <w:sz w:val="24"/>
        </w:rPr>
        <w:t>号文准予变更注册。交银施罗德持续成长主题混合型证券投资基金以通讯方式召开基金份额持有人大会，大会于</w:t>
      </w:r>
      <w:r>
        <w:rPr>
          <w:rFonts w:ascii="Times New Roman" w:hAnsi="Times New Roman"/>
          <w:kern w:val="0"/>
          <w:sz w:val="24"/>
        </w:rPr>
        <w:t>2023</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28</w:t>
      </w:r>
      <w:r>
        <w:rPr>
          <w:rFonts w:ascii="Times New Roman" w:hAnsi="Times New Roman"/>
          <w:kern w:val="0"/>
          <w:sz w:val="24"/>
        </w:rPr>
        <w:t>日表决通过了《关于交银施罗德持续成长主题混合型证券投资基金调整投资范围及修改基金合同有关事项的议案》，同意在交银施罗德持续成长主题混合型证券投资基金投资范围中增加港股通标的股票、删除权证和中小板，相应调整投资策略、业绩比较基准、投资比例限制、估值方法等内容，增加基金合同自动终止条款、增加</w:t>
      </w:r>
      <w:r>
        <w:rPr>
          <w:rFonts w:ascii="Times New Roman" w:hAnsi="Times New Roman"/>
          <w:kern w:val="0"/>
          <w:sz w:val="24"/>
        </w:rPr>
        <w:t>C</w:t>
      </w:r>
      <w:r>
        <w:rPr>
          <w:rFonts w:ascii="Times New Roman" w:hAnsi="Times New Roman"/>
          <w:kern w:val="0"/>
          <w:sz w:val="24"/>
        </w:rPr>
        <w:t>类基金份额、增加侧袋机制相关表述，并修改基金合同中根据上述调整需要同步进行修订的其他部分条款，以及按照最新的法律法规及中国证监会要求修改的内容。上述基金份额持有人大会决议事项自表决通过之日起生效。</w:t>
      </w:r>
    </w:p>
    <w:p w:rsidR="0038338B" w:rsidRDefault="00376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38338B" w:rsidRDefault="00376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38338B" w:rsidRDefault="00376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基金在交易过程中发生交收违约等而导致的信用风险；本基金投资策</w:t>
      </w:r>
      <w:r>
        <w:rPr>
          <w:rFonts w:ascii="Times New Roman" w:hAnsi="Times New Roman"/>
          <w:kern w:val="0"/>
          <w:sz w:val="24"/>
        </w:rPr>
        <w:lastRenderedPageBreak/>
        <w:t>略所特有的风险；投资股指期货的特定风险；投资资产支持证券的特定风险；投资流通受限证券的特定风险；投资科创板股票的特定风险；投资本基金特有的其他风险等等。</w:t>
      </w:r>
    </w:p>
    <w:p w:rsidR="0038338B" w:rsidRDefault="00376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本基金是一只混合型基金，其预期风险和预期收益理论上高于债券型基金和货币市场基金，低于股票型基金。</w:t>
      </w:r>
    </w:p>
    <w:p w:rsidR="0038338B" w:rsidRDefault="00376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38338B" w:rsidRDefault="00376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本公司将本着谨慎和控制风险的原则进行资产支持证券投资，请基金份额持有人关注包括投资资产支持证券可能导致的基金净值波动在内的各项风险。</w:t>
      </w:r>
    </w:p>
    <w:p w:rsidR="0038338B" w:rsidRDefault="00376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38338B" w:rsidRDefault="00376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38338B" w:rsidRDefault="00376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38338B" w:rsidRDefault="00376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w:t>
      </w:r>
      <w:r>
        <w:rPr>
          <w:rFonts w:ascii="Times New Roman" w:hAnsi="Times New Roman"/>
          <w:kern w:val="0"/>
          <w:sz w:val="24"/>
        </w:rPr>
        <w:lastRenderedPageBreak/>
        <w:t>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38338B" w:rsidRDefault="00376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38338B" w:rsidRDefault="00376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《基金合同》生效后，连续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人或者基金资产净值低于</w:t>
      </w:r>
      <w:r>
        <w:rPr>
          <w:rFonts w:ascii="Times New Roman" w:hAnsi="Times New Roman"/>
          <w:kern w:val="0"/>
          <w:sz w:val="24"/>
        </w:rPr>
        <w:t>5000</w:t>
      </w:r>
      <w:r>
        <w:rPr>
          <w:rFonts w:ascii="Times New Roman" w:hAnsi="Times New Roman"/>
          <w:kern w:val="0"/>
          <w:sz w:val="24"/>
        </w:rPr>
        <w:t>万元情形的，基金合同终止，不需召开基金份额持有人大会。基金份额持有人可能面临基金合同提前终止的风险。</w:t>
      </w:r>
    </w:p>
    <w:p w:rsidR="0038338B" w:rsidRDefault="00376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38338B" w:rsidRDefault="00376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38338B" w:rsidRDefault="00376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38338B" w:rsidRDefault="0038338B">
      <w:pPr>
        <w:autoSpaceDE w:val="0"/>
        <w:autoSpaceDN w:val="0"/>
        <w:adjustRightInd w:val="0"/>
        <w:snapToGrid w:val="0"/>
        <w:spacing w:before="51" w:line="360" w:lineRule="auto"/>
        <w:ind w:left="120" w:rightChars="6" w:right="13" w:firstLine="480"/>
        <w:rPr>
          <w:rFonts w:ascii="宋体" w:hAnsi="宋体"/>
          <w:kern w:val="0"/>
          <w:szCs w:val="24"/>
        </w:rPr>
        <w:sectPr w:rsidR="0038338B">
          <w:headerReference w:type="default" r:id="rId14"/>
          <w:pgSz w:w="11920" w:h="16840"/>
          <w:pgMar w:top="1440" w:right="1680" w:bottom="280" w:left="1680" w:header="0" w:footer="1073" w:gutter="0"/>
          <w:pgNumType w:start="1"/>
          <w:cols w:space="720"/>
        </w:sectPr>
      </w:pPr>
    </w:p>
    <w:p w:rsidR="00AD79FF" w:rsidRPr="00AD79FF" w:rsidRDefault="003762A4" w:rsidP="00AD79FF">
      <w:pPr>
        <w:pStyle w:val="ad"/>
        <w:snapToGrid w:val="0"/>
        <w:spacing w:after="240" w:line="360" w:lineRule="auto"/>
        <w:jc w:val="center"/>
        <w:rPr>
          <w:rFonts w:ascii="宋体" w:hAnsi="宋体"/>
          <w:noProof/>
          <w:sz w:val="24"/>
        </w:rPr>
      </w:pPr>
      <w:r w:rsidRPr="00AD79FF">
        <w:rPr>
          <w:rFonts w:ascii="宋体" w:hAnsi="宋体"/>
          <w:color w:val="000000"/>
          <w:position w:val="-4"/>
          <w:sz w:val="24"/>
          <w:szCs w:val="30"/>
        </w:rPr>
        <w:lastRenderedPageBreak/>
        <w:t>目</w:t>
      </w:r>
      <w:r w:rsidRPr="00AD79FF">
        <w:rPr>
          <w:rFonts w:ascii="宋体" w:hAnsi="宋体"/>
          <w:color w:val="000000"/>
          <w:position w:val="-4"/>
          <w:sz w:val="24"/>
          <w:szCs w:val="30"/>
        </w:rPr>
        <w:tab/>
        <w:t>录</w:t>
      </w:r>
      <w:r w:rsidR="00AD79FF" w:rsidRPr="00AD79FF">
        <w:rPr>
          <w:rFonts w:ascii="宋体" w:hAnsi="宋体"/>
          <w:color w:val="000000"/>
          <w:position w:val="-4"/>
          <w:sz w:val="24"/>
          <w:szCs w:val="30"/>
        </w:rPr>
        <w:fldChar w:fldCharType="begin"/>
      </w:r>
      <w:r w:rsidR="00AD79FF" w:rsidRPr="00AD79FF">
        <w:rPr>
          <w:rFonts w:ascii="宋体" w:hAnsi="宋体"/>
          <w:color w:val="000000"/>
          <w:position w:val="-4"/>
          <w:sz w:val="24"/>
          <w:szCs w:val="30"/>
        </w:rPr>
        <w:instrText xml:space="preserve"> TOC \o "1-3" \f - \h \t "-1" </w:instrText>
      </w:r>
      <w:r w:rsidR="00AD79FF" w:rsidRPr="00AD79FF">
        <w:rPr>
          <w:rFonts w:ascii="宋体" w:hAnsi="宋体"/>
          <w:color w:val="000000"/>
          <w:position w:val="-4"/>
          <w:sz w:val="24"/>
          <w:szCs w:val="30"/>
        </w:rPr>
        <w:fldChar w:fldCharType="separate"/>
      </w:r>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06" w:history="1">
        <w:r w:rsidRPr="00AD79FF">
          <w:rPr>
            <w:rStyle w:val="aa"/>
            <w:rFonts w:ascii="宋体" w:hAnsi="宋体" w:hint="eastAsia"/>
            <w:noProof/>
            <w:kern w:val="0"/>
            <w:sz w:val="24"/>
          </w:rPr>
          <w:t>重要提示</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_Toc231975006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1</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07" w:history="1">
        <w:r w:rsidRPr="00AD79FF">
          <w:rPr>
            <w:rStyle w:val="aa"/>
            <w:rFonts w:ascii="宋体" w:hAnsi="宋体" w:hint="eastAsia"/>
            <w:noProof/>
            <w:sz w:val="24"/>
          </w:rPr>
          <w:t>一、绪言</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_Toc231975007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5</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08" w:history="1">
        <w:r w:rsidRPr="00AD79FF">
          <w:rPr>
            <w:rStyle w:val="aa"/>
            <w:rFonts w:ascii="宋体" w:hAnsi="宋体" w:hint="eastAsia"/>
            <w:noProof/>
            <w:sz w:val="24"/>
          </w:rPr>
          <w:t>二、释义</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_Toc231975008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6</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09" w:history="1">
        <w:r w:rsidRPr="00AD79FF">
          <w:rPr>
            <w:rStyle w:val="aa"/>
            <w:rFonts w:ascii="宋体" w:hAnsi="宋体" w:hint="eastAsia"/>
            <w:noProof/>
            <w:sz w:val="24"/>
          </w:rPr>
          <w:t>三、基金管理人</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_Toc231975009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11</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10" w:history="1">
        <w:r w:rsidRPr="00AD79FF">
          <w:rPr>
            <w:rStyle w:val="aa"/>
            <w:rFonts w:ascii="宋体" w:hAnsi="宋体" w:hint="eastAsia"/>
            <w:noProof/>
            <w:sz w:val="24"/>
          </w:rPr>
          <w:t>四、基金托管人</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_Toc231975010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18</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11" w:history="1">
        <w:r w:rsidRPr="00AD79FF">
          <w:rPr>
            <w:rStyle w:val="aa"/>
            <w:rFonts w:ascii="宋体" w:hAnsi="宋体" w:hint="eastAsia"/>
            <w:noProof/>
            <w:sz w:val="24"/>
          </w:rPr>
          <w:t>五、相关服务机构</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_Toc231975011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23</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12" w:history="1">
        <w:r w:rsidRPr="00AD79FF">
          <w:rPr>
            <w:rStyle w:val="aa"/>
            <w:rFonts w:ascii="宋体" w:hAnsi="宋体" w:hint="eastAsia"/>
            <w:noProof/>
            <w:sz w:val="24"/>
          </w:rPr>
          <w:t>六、基金的历史沿革</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_Toc231975012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54</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13" w:history="1">
        <w:r w:rsidRPr="00AD79FF">
          <w:rPr>
            <w:rStyle w:val="aa"/>
            <w:rFonts w:ascii="宋体" w:hAnsi="宋体" w:hint="eastAsia"/>
            <w:noProof/>
            <w:sz w:val="24"/>
          </w:rPr>
          <w:t>七、基金的存续</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_Toc231975013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55</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14" w:history="1">
        <w:r w:rsidRPr="00AD79FF">
          <w:rPr>
            <w:rStyle w:val="aa"/>
            <w:rFonts w:ascii="宋体" w:hAnsi="宋体" w:hint="eastAsia"/>
            <w:noProof/>
            <w:sz w:val="24"/>
          </w:rPr>
          <w:t>八、基金份额的申购与赎回</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_Toc231975014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56</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15" w:history="1">
        <w:r w:rsidRPr="00AD79FF">
          <w:rPr>
            <w:rStyle w:val="aa"/>
            <w:rFonts w:ascii="宋体" w:hAnsi="宋体" w:hint="eastAsia"/>
            <w:noProof/>
            <w:sz w:val="24"/>
          </w:rPr>
          <w:t>九、基金的转换</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_Toc231975015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69</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16" w:history="1">
        <w:r w:rsidRPr="00AD79FF">
          <w:rPr>
            <w:rStyle w:val="aa"/>
            <w:rFonts w:ascii="宋体" w:hAnsi="宋体" w:hint="eastAsia"/>
            <w:noProof/>
            <w:sz w:val="24"/>
          </w:rPr>
          <w:t>十、基金的投资</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_Toc231975016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76</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17" w:history="1">
        <w:r w:rsidRPr="00AD79FF">
          <w:rPr>
            <w:rStyle w:val="aa"/>
            <w:rFonts w:ascii="宋体" w:hAnsi="宋体" w:hint="eastAsia"/>
            <w:noProof/>
            <w:sz w:val="24"/>
          </w:rPr>
          <w:t>十一、基金的业绩</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_Toc231975017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89</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18" w:history="1">
        <w:r w:rsidRPr="00AD79FF">
          <w:rPr>
            <w:rStyle w:val="aa"/>
            <w:rFonts w:ascii="宋体" w:hAnsi="宋体" w:hint="eastAsia"/>
            <w:noProof/>
            <w:sz w:val="24"/>
          </w:rPr>
          <w:t>十二、基金的财产</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_Toc231975018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92</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19" w:history="1">
        <w:r w:rsidRPr="00AD79FF">
          <w:rPr>
            <w:rStyle w:val="aa"/>
            <w:rFonts w:ascii="宋体" w:hAnsi="宋体" w:hint="eastAsia"/>
            <w:noProof/>
            <w:sz w:val="24"/>
          </w:rPr>
          <w:t>十三、基金资产的估值</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_Toc231975019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93</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20" w:history="1">
        <w:r w:rsidRPr="00AD79FF">
          <w:rPr>
            <w:rStyle w:val="aa"/>
            <w:rFonts w:ascii="宋体" w:hAnsi="宋体" w:hint="eastAsia"/>
            <w:noProof/>
            <w:sz w:val="24"/>
          </w:rPr>
          <w:t>十四、基金收益与分配</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_Toc231975020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100</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21" w:history="1">
        <w:r w:rsidRPr="00AD79FF">
          <w:rPr>
            <w:rStyle w:val="aa"/>
            <w:rFonts w:ascii="宋体" w:hAnsi="宋体" w:hint="eastAsia"/>
            <w:noProof/>
            <w:sz w:val="24"/>
          </w:rPr>
          <w:t>十五、基金的费用与税收</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_Toc231975021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102</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22" w:history="1">
        <w:r w:rsidRPr="00AD79FF">
          <w:rPr>
            <w:rStyle w:val="aa"/>
            <w:rFonts w:ascii="宋体" w:hAnsi="宋体" w:hint="eastAsia"/>
            <w:noProof/>
            <w:sz w:val="24"/>
          </w:rPr>
          <w:t>十六、基金的会计与审计</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_Toc231975022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105</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23" w:history="1">
        <w:r w:rsidRPr="00AD79FF">
          <w:rPr>
            <w:rStyle w:val="aa"/>
            <w:rFonts w:ascii="宋体" w:hAnsi="宋体" w:hint="eastAsia"/>
            <w:noProof/>
            <w:sz w:val="24"/>
          </w:rPr>
          <w:t>十七、基金的信息披露</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_Toc231975023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106</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24" w:history="1">
        <w:r w:rsidRPr="00AD79FF">
          <w:rPr>
            <w:rStyle w:val="aa"/>
            <w:rFonts w:ascii="宋体" w:hAnsi="宋体" w:hint="eastAsia"/>
            <w:noProof/>
            <w:sz w:val="24"/>
          </w:rPr>
          <w:t>十八、侧袋机制</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_Toc231975024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113</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25" w:history="1">
        <w:r w:rsidRPr="00AD79FF">
          <w:rPr>
            <w:rStyle w:val="aa"/>
            <w:rFonts w:ascii="宋体" w:hAnsi="宋体" w:hint="eastAsia"/>
            <w:noProof/>
            <w:sz w:val="24"/>
          </w:rPr>
          <w:t>十九、风险揭示</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_Toc231975025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116</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26" w:history="1">
        <w:r w:rsidRPr="00AD79FF">
          <w:rPr>
            <w:rStyle w:val="aa"/>
            <w:rFonts w:ascii="宋体" w:hAnsi="宋体" w:hint="eastAsia"/>
            <w:noProof/>
            <w:sz w:val="24"/>
          </w:rPr>
          <w:t>二十、基金合同的变更、终止与基金财产的清算</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_Toc231975026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126</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27" w:history="1">
        <w:r w:rsidRPr="00AD79FF">
          <w:rPr>
            <w:rStyle w:val="aa"/>
            <w:rFonts w:ascii="宋体" w:hAnsi="宋体" w:hint="eastAsia"/>
            <w:noProof/>
            <w:sz w:val="24"/>
          </w:rPr>
          <w:t>二十一、基金合同内容摘要</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_Toc231975027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128</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28" w:history="1">
        <w:r w:rsidRPr="00AD79FF">
          <w:rPr>
            <w:rStyle w:val="aa"/>
            <w:rFonts w:ascii="宋体" w:hAnsi="宋体" w:hint="eastAsia"/>
            <w:noProof/>
            <w:sz w:val="24"/>
          </w:rPr>
          <w:t>二十二、托管协议的内容摘要</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_Toc231975028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145</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29" w:history="1">
        <w:r w:rsidRPr="00AD79FF">
          <w:rPr>
            <w:rStyle w:val="aa"/>
            <w:rFonts w:ascii="宋体" w:hAnsi="宋体" w:hint="eastAsia"/>
            <w:noProof/>
            <w:sz w:val="24"/>
          </w:rPr>
          <w:t>二十三、对基金份额持有人的服务</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_Toc231975029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163</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30" w:history="1">
        <w:r w:rsidRPr="00AD79FF">
          <w:rPr>
            <w:rStyle w:val="aa"/>
            <w:rFonts w:ascii="宋体" w:hAnsi="宋体" w:hint="eastAsia"/>
            <w:noProof/>
            <w:sz w:val="24"/>
          </w:rPr>
          <w:t>二十四、其他应披露事项</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_Toc231975030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165</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31" w:history="1">
        <w:r w:rsidRPr="00AD79FF">
          <w:rPr>
            <w:rStyle w:val="aa"/>
            <w:rFonts w:ascii="宋体" w:hAnsi="宋体" w:hint="eastAsia"/>
            <w:noProof/>
            <w:sz w:val="24"/>
          </w:rPr>
          <w:t>二十五、招募说明书的存放及查阅方式</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_Toc231975031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167</w:t>
        </w:r>
        <w:r w:rsidRPr="00AD79FF">
          <w:rPr>
            <w:rFonts w:ascii="宋体" w:hAnsi="宋体"/>
            <w:noProof/>
            <w:sz w:val="24"/>
          </w:rPr>
          <w:fldChar w:fldCharType="end"/>
        </w:r>
      </w:hyperlink>
    </w:p>
    <w:p w:rsidR="00AD79FF" w:rsidRPr="00AD79FF" w:rsidRDefault="00AD79FF" w:rsidP="00AD79FF">
      <w:pPr>
        <w:pStyle w:val="10"/>
        <w:tabs>
          <w:tab w:val="right" w:leader="dot" w:pos="8550"/>
        </w:tabs>
        <w:spacing w:line="360" w:lineRule="auto"/>
        <w:rPr>
          <w:rFonts w:ascii="宋体" w:hAnsi="宋体" w:cstheme="minorBidi"/>
          <w:noProof/>
          <w:sz w:val="24"/>
        </w:rPr>
      </w:pPr>
      <w:hyperlink w:anchor="_Toc231975032" w:history="1">
        <w:r w:rsidRPr="00AD79FF">
          <w:rPr>
            <w:rStyle w:val="aa"/>
            <w:rFonts w:ascii="宋体" w:hAnsi="宋体" w:hint="eastAsia"/>
            <w:noProof/>
            <w:sz w:val="24"/>
          </w:rPr>
          <w:t>二十六、备查文件</w:t>
        </w:r>
        <w:r w:rsidRPr="00AD79FF">
          <w:rPr>
            <w:rFonts w:ascii="宋体" w:hAnsi="宋体"/>
            <w:noProof/>
            <w:sz w:val="24"/>
          </w:rPr>
          <w:tab/>
        </w:r>
        <w:r w:rsidRPr="00AD79FF">
          <w:rPr>
            <w:rFonts w:ascii="宋体" w:hAnsi="宋体"/>
            <w:noProof/>
            <w:sz w:val="24"/>
          </w:rPr>
          <w:fldChar w:fldCharType="begin"/>
        </w:r>
        <w:r w:rsidRPr="00AD79FF">
          <w:rPr>
            <w:rFonts w:ascii="宋体" w:hAnsi="宋体"/>
            <w:noProof/>
            <w:sz w:val="24"/>
          </w:rPr>
          <w:instrText xml:space="preserve"> PAGEREF _Toc231975032 \h </w:instrText>
        </w:r>
        <w:r w:rsidRPr="00AD79FF">
          <w:rPr>
            <w:rFonts w:ascii="宋体" w:hAnsi="宋体"/>
            <w:noProof/>
            <w:sz w:val="24"/>
          </w:rPr>
        </w:r>
        <w:r w:rsidRPr="00AD79FF">
          <w:rPr>
            <w:rFonts w:ascii="宋体" w:hAnsi="宋体"/>
            <w:noProof/>
            <w:sz w:val="24"/>
          </w:rPr>
          <w:fldChar w:fldCharType="separate"/>
        </w:r>
        <w:r w:rsidRPr="00AD79FF">
          <w:rPr>
            <w:rFonts w:ascii="宋体" w:hAnsi="宋体"/>
            <w:noProof/>
            <w:sz w:val="24"/>
          </w:rPr>
          <w:t>168</w:t>
        </w:r>
        <w:r w:rsidRPr="00AD79FF">
          <w:rPr>
            <w:rFonts w:ascii="宋体" w:hAnsi="宋体"/>
            <w:noProof/>
            <w:sz w:val="24"/>
          </w:rPr>
          <w:fldChar w:fldCharType="end"/>
        </w:r>
      </w:hyperlink>
    </w:p>
    <w:p w:rsidR="0038338B" w:rsidRPr="00AD79FF" w:rsidRDefault="00AD79FF" w:rsidP="00AD79FF">
      <w:pPr>
        <w:pStyle w:val="ad"/>
        <w:snapToGrid w:val="0"/>
        <w:spacing w:after="240" w:line="360" w:lineRule="auto"/>
        <w:jc w:val="center"/>
        <w:rPr>
          <w:rFonts w:ascii="宋体" w:hAnsi="宋体"/>
          <w:color w:val="000000"/>
          <w:sz w:val="24"/>
        </w:rPr>
      </w:pPr>
      <w:r w:rsidRPr="00AD79FF">
        <w:rPr>
          <w:rFonts w:ascii="宋体" w:hAnsi="宋体"/>
          <w:color w:val="000000"/>
          <w:position w:val="-4"/>
          <w:sz w:val="24"/>
          <w:szCs w:val="30"/>
        </w:rPr>
        <w:fldChar w:fldCharType="end"/>
      </w:r>
      <w:bookmarkStart w:id="3" w:name="_GoBack"/>
      <w:bookmarkEnd w:id="3"/>
    </w:p>
    <w:p w:rsidR="0038338B" w:rsidRDefault="0038338B">
      <w:pPr>
        <w:autoSpaceDE w:val="0"/>
        <w:autoSpaceDN w:val="0"/>
        <w:adjustRightInd w:val="0"/>
        <w:snapToGrid w:val="0"/>
        <w:spacing w:line="360" w:lineRule="auto"/>
        <w:ind w:left="120" w:rightChars="6" w:right="13"/>
        <w:rPr>
          <w:rFonts w:ascii="宋体" w:hAnsi="宋体"/>
          <w:kern w:val="0"/>
          <w:szCs w:val="24"/>
        </w:rPr>
        <w:sectPr w:rsidR="0038338B">
          <w:pgSz w:w="11920" w:h="16840"/>
          <w:pgMar w:top="1480" w:right="1680" w:bottom="280" w:left="1680" w:header="0" w:footer="1073" w:gutter="0"/>
          <w:cols w:space="720"/>
        </w:sectPr>
      </w:pPr>
    </w:p>
    <w:p w:rsidR="0038338B" w:rsidRDefault="003762A4">
      <w:pPr>
        <w:pStyle w:val="1"/>
        <w:snapToGrid w:val="0"/>
        <w:spacing w:beforeLines="0" w:before="240" w:after="240"/>
        <w:rPr>
          <w:rFonts w:ascii="宋体" w:hAnsi="宋体"/>
          <w:szCs w:val="30"/>
        </w:rPr>
      </w:pPr>
      <w:bookmarkStart w:id="4" w:name="_Toc231975007"/>
      <w:r>
        <w:rPr>
          <w:rFonts w:ascii="Times New Roman" w:hAnsi="Times New Roman"/>
          <w:sz w:val="30"/>
        </w:rPr>
        <w:lastRenderedPageBreak/>
        <w:t>一、绪言</w:t>
      </w:r>
      <w:bookmarkEnd w:id="4"/>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持续成长主题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规定》”）和其他相关法律法规的规定以及《交银施罗德持续成长主题混合型证券投资基金基金合同》（以下简称“基金合同”）编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变更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5" w:name="_Toc231975008"/>
      <w:r>
        <w:rPr>
          <w:rFonts w:ascii="Times New Roman" w:hAnsi="Times New Roman"/>
          <w:sz w:val="30"/>
        </w:rPr>
        <w:lastRenderedPageBreak/>
        <w:t>二、释义</w:t>
      </w:r>
      <w:bookmarkEnd w:id="5"/>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1、基金或本基金：指交银施罗德持续成长主题混合型证券投资基金</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3、基金托管人或本基金托管人：指中国工商银行股份有限公司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4、《基金合同》或基金合同：指《交银施罗德持续成长主题混合型证券投资基金基金合同》及对基金合同的任何有效修订和补充</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5、托管协议：指基金管理人与基金托管人就本基金签订之《交银施罗德持续成长主题混合型证券投资基金托管协议》及对该托管协议的任何有效修订和补充</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6、招募说明书或《招募说明书》或本招募说明书：指《交银施罗德持续成长主题混合型证券投资基金招募说明书》及其更新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7、基金份额发售公告：指《交银施罗德持续成长主题混合型证券投资基金基金份额发售公告》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8、基金产品资料概要：指《交银施罗德持续成长主题混合型证券投资基金基金产品资料概要》及其更新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14、《流动性规定》：指《公开募集开放式证券投资基金流动性风险管理规定》及颁布机关对其不时做出的修订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15、流动性受限资产：指由于法律法规、监管、合同或操作障碍等原因无法以合理价格予以变现的资产，包括但不限于到期日在10个交易日以上的逆回购与银行</w:t>
      </w:r>
      <w:r>
        <w:rPr>
          <w:rFonts w:ascii="宋体" w:hAnsi="宋体"/>
          <w:sz w:val="24"/>
        </w:rPr>
        <w:lastRenderedPageBreak/>
        <w:t>定期存款（含协议约定有条件提前支取的银行存款）、停牌股票、流通受限的新股及非公开发行股票、资产支持证券、因发行人债务违约无法进行转让或交易的债券以及法律法规或中国证监会规定的其他流动性受限资产，如未来法律法规变动，基金管理人在履行适当程序后，可对上述流动性受限资产范围进行调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摆动定价机制：指当开放式基金遭遇大额申购赎回时，通过调整基金份额净值的方式，将基金调整投资组合的市场冲击成本分配给实际申购、赎回的投资者，从而减少对存量基金份额持有人利益的不利影响，确保投资者的合法权益不受损害并得到公平对待</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17、中国证监会：指中国证券监督管理委员会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18、银行业监督管理机构：指中国人民银行和/或中国银行保险监督管理委员会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19、基金合同当事人：指受基金合同约束，根据基金合同享有权利并承担义务的法律主体，包括基金管理人、基金托管人和基金份额持有人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20、个人投资者：指依据有关法律法规规定可投资于证券投资基金的自然人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21、机构投资者：指依法可以投资证券投资基金的、在中华人民共和国境内合法登记并存续或经有关政府部门批准设立并存续的企业法人、事业法人、社会团体或其他组织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23、投资人或投资者：指个人投资者、机构投资者、合格境外投资者以及法律法规或中国证监会允许购买证券投资基金的其他投资人的合称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24、基金份额持有人：指依基金合同和招募说明书合法取得基金份额的投资人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25、基金销售业务：指基金管理人或销售机构宣传推介基金，发售基金份额，办理基金份额的申购、赎回、转换、转托管及定期定额投资等业务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26、销售机构：指交银施罗德基金管理有限公司以及符合《销售办法》和中国证监会规定的其他条件，取得基金销售业务资格并与基金管理人签订了基金销售服务协议，办理基金销售业务的机构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27、登记业务：指基金登记、存管、过户、清算和结算业务，具体内容包括投</w:t>
      </w:r>
      <w:r>
        <w:rPr>
          <w:rFonts w:ascii="宋体" w:hAnsi="宋体"/>
          <w:sz w:val="24"/>
        </w:rPr>
        <w:lastRenderedPageBreak/>
        <w:t>资人基金账户的建立和管理、基金份额登记、基金销售业务的确认、清算和结算、代理发放红利、建立并保管基金份额持有人名册和办理非交易过户等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28、登记机构：指办理登记业务的机构。基金的登记机构为交银施罗德基金管理有限公司或接受交银施罗德基金管理有限公司委托办理登记业务的机构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29、基金账户：指登记机构为投资人开立的、记录其持有的、基金管理人所管理的基金份额余额及其变动情况的账户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30、基金交易账户：指销售机构为投资人开立的、记录投资人通过该销售机构办理认购、申购、赎回、转换、定期定额投资及转托管等业务而引起的基金份额变动及结余情况的账户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生效日：指根据2023年2月24日至2023年3月27日基金份额持有人大会审议通过的《关于交银施罗德持续成长主题混合型证券投资基金调整投资范围及修改基金合同有关事项的议案》所修订的《交银施罗德持续成长主题混合型证券投资基金基金合同》生效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32、基金合同终止日：指基金合同规定的基金合同终止事由出现后，基金财产清算完毕，清算结果报中国证监会备案并予以公告的日期</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33、基金募集期：指自基金份额发售之日起至发售结束之日止的期间，最长不得超过3个月</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34、存续期：指基金合同生效至终止之间的不定期期限</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35、工作日：指上海证券交易所、深圳证券交易所的正常交易日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36、T日：指销售机构在规定时间受理投资人申购、赎回或其他业务申请的开放日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37、T+n日：指自T日起第n个工作日（不包含T日）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38、开放日：指为投资人办理基金份额申购、赎回或其他业务的工作日（若该工作日为非港股通交易日，则本基金可不开放）</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39、开放时间：指开放日基金接受申购、赎回或其他交易的时间段</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40、《业务规则》：指中国证券登记结算有限责任公司相关业务规则及其不时做出的修订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41、认购：指在基金募集期内，投资人根据基金合同和招募说明书的规定申请购买基金份额的行为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42、申购：指基金合同生效后，投资人根据基金合同和招募说明书的规定申请</w:t>
      </w:r>
      <w:r>
        <w:rPr>
          <w:rFonts w:ascii="宋体" w:hAnsi="宋体"/>
          <w:sz w:val="24"/>
        </w:rPr>
        <w:lastRenderedPageBreak/>
        <w:t>购买基金份额的行为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43、赎回：指基金合同生效后，基金份额持有人按基金合同和招募说明书规定的条件要求将基金份额兑换为现金的行为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44、基金转换：指基金份额持有人按照基金合同和基金管理人届时有效公告规定的条件，申请将其持有基金管理人管理的、某一基金的基金份额转换为基金管理人管理的其他基金基金份额的行为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45、转托管：指基金份额持有人在本基金的不同销售机构之间实施的变更所持基金份额销售机构的操作</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48、元：指人民币元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50、基金资产总值：指基金拥有的各类有价证券、股指期货合约、银行存款本息、基金应收款项及其他资产的价值总和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51、基金资产净值：指基金资产总值减去基金负债后的价值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52、基金份额净值：指计算日基金资产净值除以计算日基金份额总数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53、基金资产估值：指计算评估基金资产和负债的价值，以确定基金资产净值和基金份额净值的过程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54、港股通：指内地投资者委托内地证券公司，经由内地证券交易所在香港设立的证券交易服务公司，向香港联合交易所进行申报，买卖规定范围内的香港联合交易所上市的股票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55、销售服务费：指从基金财产中计提的，用于本基金市场推广、销售以及基金份额持有人服务的费用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56、A类基金份额：指在投资人申购时收取申购费用、赎回时收取赎回费用，且不从本类别基金资产中计提销售服务费的基金份额</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57、C类基金份额：指在投资人申购时不收取申购费用、赎回时收取赎回费用，并从本类别基金资产中计提销售服务费的基金份额</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58、规定媒介：指符合中国证监会规定条件的用以进行信息披露的全国性报刊及《信息披露办法》规定的互联网网站（包括基金管理人网站、基金托管人网站、中国证监会基金电子披露网站）等媒介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61、不可抗力：指基金合同当事人不能预见、不能避免且不能克服的客观事件</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6" w:name="_Toc231975009"/>
      <w:r>
        <w:rPr>
          <w:rFonts w:ascii="Times New Roman" w:hAnsi="Times New Roman"/>
          <w:sz w:val="30"/>
        </w:rPr>
        <w:lastRenderedPageBreak/>
        <w:t>三、基金管理人</w:t>
      </w:r>
      <w:bookmarkEnd w:id="6"/>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何帅先生:上海财经大学硕士，16年证券投资行业从业经验。2010年至2012年任国联安基金管理有限公司研究员。2012年加入交银施罗德基金管理有限公司，曾任行业分析师，现任权益部基金经理。现任交银施罗德优势行业灵活配置混合型证券投资基金(2015年07月09日至今)、交银施罗德阿尔法核心混合型证券投资基金(2015年09月16日至今)、交银施罗德持续成长主题混合型证券投资基金(2018年01月12日至今)、交银施罗德瑞和三年持有期混合型证券投资基金(2022年03月02日至今)的基金经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7、计算并公告基金净值信息，确定基金份额申购、赎回价格；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w:t>
      </w:r>
      <w:r>
        <w:rPr>
          <w:rFonts w:ascii="宋体" w:hAnsi="宋体"/>
          <w:sz w:val="24"/>
        </w:rPr>
        <w:lastRenderedPageBreak/>
        <w:t>关的交易活动；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（3）风险控制委员会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（2）建立相互分离、相互制衡的内控机制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7" w:name="_Toc231975010"/>
      <w:r>
        <w:rPr>
          <w:rFonts w:ascii="Times New Roman" w:hAnsi="Times New Roman"/>
          <w:sz w:val="30"/>
        </w:rPr>
        <w:lastRenderedPageBreak/>
        <w:t>四、基金托管人</w:t>
      </w:r>
      <w:bookmarkEnd w:id="7"/>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名称：中国工商银行股份有限公司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成立时间：1984年1月1日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注册资本：人民币35,640,625.7089万元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联系电话：010-66105799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截至2026年3月，中国工商银行资产托管部共有员工209人，平均年龄38岁，99%以上员工拥有大学本科以上学历，高管人员均拥有研究生以上学历或高级技术职称。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中国大陆托管服务的先行者，中国工商银行自1998年在国内首家提供托管服务以来，秉承“诚实信用、勤勉尽责”的宗旨，依靠严密科学的风险管理和内部控制体系、规范的管理模式、先进的营运系统和专业的服务团队，严格履行资产托管人职责，为境内外广大投资者、金融资产管理机构和企业客户提供安全、高效、专业的托管服务，展现优异的市场形象和影响力。建立了国内托管银行中最丰富、最成熟的产品线。拥有包括证券投资基金、信托资产、保险资产、社会保障基金、基本养老保险、企业年金基金、QFI资产、QDII资产、股权投资基金、证券公司集合资产管理计划、证券公司定向资产管理计划、商业银行信贷资产证券化、基金公司特定客户资产管理、QDII专户资产、ESCROW等门类齐全的托管产品体系，同时在国内率先开展绩效评估、风险管理等增值服务，可以为各类客户提供个性化的托管服务。截至2026年3月，中国工商银行共托管证券投资基金1577只。自2003年以来，本行连续二十二年获得香港《亚洲货币》、英国《全球托管人》、香港《财资》、美国《环球金融》、内地《证券时报》、《上海证券报》等境内外权威财经媒体评选的113项最佳托管银行大奖；是获得奖项最多的国内托管银行，优良的服务品质获得国内外金融领域的持续认可和广泛好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（四）基金托管人的内部控制情况</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工商银行资产托管部在风险管理的实操过程中根据国际公认的内部控制COSO准则从控制环境、风险评估、控制活动、信息与沟通、内部监督五个方面构建起了托管业务内部风险控制体系，并纳入统一的风险管理体系。</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工商银行资产托管部从成立之日起始终秉持规范运作的原则，将建立系统、高效的风险防范和控制体系视为工作重点。随着市场环境的变化和托管业务的快速发展，新问题新情况的不断出现，资产托管部自始至终将风险管理置于与业务发展同等重要的位置，视风险防范和控制为托管业务生存与发展的生命线。资产托管部实施全员风险管理，将风险控制责任落实到具体业务部门和相关业务岗位，每位员工均有义务对自己岗位职责范围内的风险负责。从2005年至今，中国工商银行资产托管部共十九次顺利通过评估组织内部控制和安全措施最权威的ISAE3402审阅，全部获得无保留意见的控制及有效性报告，充分表明独立第三方对中国工商银行托管服务在风险管理、内部控制方面的健全性和有效性的全面认可，也证明中国工商银行托管服务的风险控制能力已经与国际大型托管银行接轨，达到国际先进水平。</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（1）资产托管业务经营管理合法合规；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（2）促进实现资产托管业务发展战略和经营目标；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（3）资产托管业务风险管理的有效性和资产安全；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（4）提高资产托管经营效率和效果；</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（5）业务记录、会计信息和其他经营管理相关信息的真实、准确、完整、及时。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2.内部控制的原则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（1）全面性原则。资产托管业务内部控制应贯穿决策、执行和监督全过程，覆盖资产托管业务各项业务流程和管理活动，覆盖所有机构、部门和从业人员。</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（2）重要性原则。资产托管业务内部控制应在全面控制基础上，关注重要业务事项、重点业务环节和高风险领域。</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（3）制衡性原则。资产托管业务内部控制应在机构设置、权责分配及业务流程等方面形成相互制约、相互监督的机制，同时兼顾运营效率。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（4）适应性原则。资产托管业务内部控制应当与经营规模、业务范围和风险</w:t>
      </w:r>
      <w:r>
        <w:rPr>
          <w:rFonts w:ascii="宋体" w:hAnsi="宋体"/>
          <w:sz w:val="24"/>
        </w:rPr>
        <w:lastRenderedPageBreak/>
        <w:t>特点相适应，并进行动态调整，以合理成本实现内部控制目标。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（5）审慎性原则。资产托管业务内部控制应坚持风险为本、审慎经营的理念，设立机构或开展各项经营管理活动均应坚持内控优先。</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（6）成本效益原则。资产托管业务内部控制应权衡实施成本与预期效益，以合理成本实现有效控制。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3.内部控制组织结构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资产托管业务内部控制纳入全行统一的内部控制体系。</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总行资产托管部根据内部控制基本规定建立健全资产托管业务内部控制体系，作为全行托管业务的牵头管理部门，根据行内内部控制基本规定建立健全内部控制体系，建立与托管业务条线相适应的内部控制运行机制，确定各项业务活动的风险控制点，制定标准统一的业务制度；采取适当的控制措施，合理保证托管业务流程的经营效率和效果，组织开展资产托管业务内部控制措施的执行、监督和检查，督促各机构落实控制措施。</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（2）总行内控合规部负责托管业务的内控管理工作再监督，根据年度工作重点，定期或不定期在全行开展相关业务监督检查，将托管业务检查项目整合到全行业务监督检查工作中。</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（3）总行内部审计局负责对资产托管业务的审计与评价工作。</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（4）一级（直属）分行资产托管业务部门作为内部控制的执行机构，负责组织开展本机构内部控制的日常运行及自查工作，及时整改、纠正、处理存在的问题。</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工商银行资产托管部重视内部控制制度的建设，坚持把风险防范和控制的理念和方法融入岗位职责、制度建设和工作流程中，建立了一整套内部控制制度体系，包括《资产托管业务管理规定》、《资产托管业务内部控制管理办法》、《资产托管业务全面风险管理办法》、《资产托管业务营运管理办法》、《资产托管业务合同管理办法》、《资产托管业务档案管理办法》、《资产托管业务系统管理办法》、《资产托管业务重大突发事件应急预案》、《资产托管业务从业人员管理办法》等，在制度、流程、岗位、系统、授权审批、新机构、新客户、新业务及新产品、合同、印章、利益冲突、反洗钱、业务连续性等全方面执行内部控制措施。</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5.风险控制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资产托管业务切实履行风险管理第一道防线的主体职责，按照“主动防、智能控、全面管”的管理思路，主动将资产托管业务的风险管理纳入全行全面风险管理体系，以“管住人、管住钱、管好防线、管好底线”为管理重点，搭建适应资产托管业务特点的风险管理架构，通过推进托管业务体制机制与完善集约化营运改革、建立资产托管风险管理与内部控制委员会机制、完善资产托管业务制度体系、加强资产托管业务队伍建设、科技赋能、建立健全应急灾备体系、建立审计发现问题整改台账、加强人员管理等措施，有效控制操作风险、合规风险、声誉风险、信息科技风险、次生风险和道德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6.业务连续性保障</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工商银行制订了完善的资产托管业务连续性工作计划和应急预案，具备行之有效的灾备恢复方案、充足的移动办公设备、同城异城相结合的备份办公场所、必要的工作人员、科学清晰的AB岗位设置及定期演练机制。在重大突发事件发生后，可根据突发事件的对托管业务连续性营运影响程度的评估，适时选择或依次启动“原场所现场+居家”、“部分同城异地+居家”、“部分异城异地+居家”、“异地全部切换”四种方案，由“总部+总行级营运中心+托管分部+境外营运机构”形成全球、全天候营运网络，向客户提供连续性服务，确保托管产品日常交易的及时清算和交割。</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合同、托管协议和有关基金法规的规定，基金托管人对基金的投资范围和投资对象、基金投融资比例、基金投资禁止行为、基金参与银行间债券市场、基金资产净值的计算、基金份额净值计算、应收资金到账、基金费用开支及收入确定、基金收益分配、相关信息披露、基金宣传推介材料中登载基金业绩表现数据等进行监督和核查，其中对基金的投资比例的监督和核查自基金合同生效之后六个月开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违反《基金法》、基金合同、基金托管协议或有关基金法律法规规定的行为，应及时以书面形式通知基金管理人限期纠正，基金管理人收到通知后应及时核对，并以书面形式对基金托管人发出回函确认。在限期内，基金托管人有权随时对通知事项进行复查，督促基金管理人改正。基金管理人对基金托管人通知的违规事项未能在限期内纠正的，基金托管人应报告中国证监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w:t>
      </w:r>
      <w:r>
        <w:rPr>
          <w:rFonts w:ascii="宋体" w:hAnsi="宋体"/>
          <w:sz w:val="24"/>
        </w:rPr>
        <w:lastRenderedPageBreak/>
        <w:t>知基金管理人限期纠正。</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8" w:name="_Toc231975011"/>
      <w:r>
        <w:rPr>
          <w:rFonts w:ascii="Times New Roman" w:hAnsi="Times New Roman"/>
          <w:sz w:val="30"/>
        </w:rPr>
        <w:lastRenderedPageBreak/>
        <w:t>五、相关服务机构</w:t>
      </w:r>
      <w:bookmarkEnd w:id="8"/>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（3）名称：中国工商银行股份有限公司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办公地址：北京市西城区复兴门内大街55号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网址：www.icbc.com.cn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（4）名称：招商银行股份有限公司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（5）名称：中信银行股份有限公司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客户服务电话：95558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（6）名称：东莞农村商业银行股份有限公司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（7）名称：宁波银行股份有限公司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（8）名称：平安银行股份有限公司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（9）名称：中国光大银行股份有限公司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办公地址：北京市西城区太平桥大街25号、甲25号中国光大中心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（10）名称：兴业银行股份有限公司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（11）名称：中国邮政储蓄银行股份有限公司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（12）名称：中信证券（山东）有限责任公司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客户服务电话：95548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（13）名称：中信证券股份有限公司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（14）名称：山西证券股份有限公司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（15）名称：国投证券股份有限公司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（16）名称：东莞证券股份有限公司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联系人：李荣</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（17）名称：财通证券股份有限公司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（18）名称：东方财富证券股份有限公司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（19）名称：国信证券股份有限公司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网址：www.guosen.com.cn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（20）名称：招商证券股份有限公司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（21）名称：中信证券华南股份有限公司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（22）名称：联储证券有限责任公司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住所：深圳市福田区福田街道岗厦社区深南大道南侧金地中心大厦9楼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办公地址：北京市朝阳区安定路5号院3号楼中建财富国际中心27层联储证券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法定代表人：吕春卫</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传真：010-86499401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祝博文、张婉婷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 400-620-6868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www.lczq.com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（23）名称：中泰证券股份有限公司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法定代表人：王洪</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（24）名称：中国中金财富证券有限公司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（25）名称：万联证券股份有限公司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（26）名称：华龙证券股份有限公司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客户服务电话：4006898888、（0931）4890208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（27）名称：西部证券股份有限公司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（28）名称：东兴证券股份有限公司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（29）名称：国联民生证券股份有限公司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（30）名称：华宝证券股份有限公司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电话：（021）68777222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（31）名称：广发证券股份有限公司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（32）名称：天风证券股份有限公司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注册地址：湖北省武汉市东湖新技术开发区关东园路2号高科大厦4楼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（33）名称：国金证券股份有限公司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客户服务电话：95310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（34）名称：金融街证券股份有限公司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（35）名称：国泰海通证券股份有限公司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（36）名称：兴业证券股份有限公司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（37）名称：浙商证券股份有限公司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住所：浙江省杭州市江干区五星路201号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办公地址：浙江省杭州市江干区五星路201号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法定代表人：吴承根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电话：（0571）87901964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传真：（0571）87901955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联系人：胡相斌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客户服务电话：95345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网址：www.stocke.com.cn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（38）名称：华西证券股份有限公司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（39）名称：中邮证券有限责任公司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（40）名称：中信建投证券股份有限公司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电话：（010）56135784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（41）名称：开源证券股份有限公司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（42）名称：长江证券股份有限公司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（43）名称：湘财证券股份有限公司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（44）名称：华泰证券股份有限公司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（45）名称：国元证券股份有限公司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（46）名称：第一创业证券股份有限公司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（47）名称：南京证券股份有限公司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法定代表人：李剑锋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（48）名称：申万宏源证券有限公司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（49）名称：申万宏源西部证券有限公司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（50）名称：平安证券股份有限公司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客户服务电话：95511-8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（51）名称：民生证券股份有限公司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（52）名称：上海中欧财富基金销售有限公司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（53）名称：大连网金基金销售有限公司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（54）名称：阳光人寿保险股份有限公司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住所：海南省三亚市迎宾路360-1号三亚阳光金融广场16层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（55）名称：玄元保险代理有限公司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（56）名称：京东肯特瑞基金销售有限公司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（57）名称：上海大智慧基金销售有限公司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电话：021-0219988-35374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（58）名称：北京广源达信基金销售有限公司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（59）名称：深圳市新兰德证券投资咨询有限公司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（60）名称：北京展恒基金销售股份有限公司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客户服务电话：400-888-6661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（61）名称：泛华普益基金销售有限公司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（62）名称：中国人寿保险股份有限公司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（63）名称：上海联泰基金销售有限公司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（64）名称：宜信普泽（北京）基金销售有限公司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电话：010-5090-5707</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（65）名称：浙江同花顺基金销售有限公司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（66）名称：上海基煜基金销售有限公司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（67）名称：中信期货有限公司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电话：010-60833754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（68）名称：蚂蚁（杭州）基金销售有限公司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（69）名称：深圳众禄基金销售股份有限公司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（70）名称：上海长量基金销售有限公司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客户服务电话：400-820-2899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（71）名称：上海好买基金销售有限公司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（72）名称：诺亚正行基金销售有限公司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（73）名称：和讯信息科技有限公司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（74）名称：上海天天基金销售有限公司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办公地址：上海市徐汇区宛平南路88号金座东方财富大厦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（75）名称：奕丰基金销售有限公司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（76）名称：北京创金启富基金销售有限公司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（77）名称：上海证达通基金销售有限公司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电话：（021）20530186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（78）名称：中证金牛（北京）基金销售有限公司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（79）名称：北京新浪仓石基金销售有限公司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（80）名称：北京雪球基金销售有限公司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联系人：武安广</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（81）名称：深圳市金斧子基金销售有限公司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（82）名称：格上富信投资顾问有限公司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（83）名称：上海万得基金销售有限公司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（84）名称：万家财富基金销售（天津）有限公司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（85）名称：上海挖财基金销售有限公司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（86）名称：上海陆金所基金销售有限公司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（87）名称：北京虹点基金销售有限公司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办公地址：北京市朝阳区工人体育场北路甲2号裙房2层222单元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（88）名称：上海利得基金销售有限公司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（89）名称：北京汇成基金销售有限公司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（90）名称：嘉实财富管理有限公司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 010-85097302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（91）名称：南京苏宁基金销售有限公司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（92）名称：北京度小满基金销售有限公司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（93）名称：上海华夏财富投资管理有限公司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 www.amcfortune.com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（94）名称：珠海盈米基金销售有限公司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（95）名称：和耕传承基金销售有限公司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（96）名称：腾安基金销售（深圳）有限公司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（97）名称：济安财富（北京）基金销售有限公司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住所：北京市朝阳区太阳宫中路16号院1号楼10层1005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（98）名称：博时财富基金销售有限公司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（99）名称：深圳前海微众银行股份有限公司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名称：中国证券登记结算有限责任公司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9" w:name="_Toc231975012"/>
      <w:r>
        <w:rPr>
          <w:rFonts w:ascii="Times New Roman" w:hAnsi="Times New Roman"/>
          <w:sz w:val="30"/>
        </w:rPr>
        <w:lastRenderedPageBreak/>
        <w:t>六、基金的历史沿革</w:t>
      </w:r>
      <w:bookmarkEnd w:id="9"/>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持续成长主题混合型证券投资基金经中国证监会证监许可[2017]1156号文准予募集注册，自2017年11月22日起向社会公开募集，于2018年1月8日结束募集工作，并于2018年1月12日获得中国证监会的书面确认，《交银施罗德持续成长主题混合型证券投资基金基金合同》自该日起生效。</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2023年2月24日至2023年3月27日交银施罗德持续成长主题混合型证券投资基金以通讯方式召开基金份额持有人大会，大会于2023年3月28日审议通过了《关于交银施罗德持续成长主题混合型证券投资基金调整投资范围及修改基金合同有关事项的议案》，内容包括在交银施罗德持续成长主题混合型证券投资基金的投资范围中增加港股通标的股票、删除权证和中小板，相应调整投资策略、业绩比较基准、投资比例限制、估值方法等内容，增加基金合同自动终止条款、增加C类基金份额、增加侧袋机制相关表述，并修改基金合同中根据上述调整需要同步进行修订的其他部分条款，以及按照最新的法律法规及中国证监会要求修改的内容。上述基金份额持有人大会决议事项自表决通过之日起生效。自2023年3月29日起，根据《关于交银施罗德持续成长主题混合型证券投资基金调整投资范围及修改基金合同有关事项的议案》修改而成的《交银施罗德持续成长主题混合型证券投资基金基金合同》生效。</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10" w:name="_Toc231975013"/>
      <w:r>
        <w:rPr>
          <w:rFonts w:ascii="Times New Roman" w:hAnsi="Times New Roman"/>
          <w:sz w:val="30"/>
        </w:rPr>
        <w:lastRenderedPageBreak/>
        <w:t>七、基金的存续</w:t>
      </w:r>
      <w:bookmarkEnd w:id="10"/>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法律法规或监管机构另有规定时，从其规定。</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11" w:name="_Toc231975014"/>
      <w:r>
        <w:rPr>
          <w:rFonts w:ascii="Times New Roman" w:hAnsi="Times New Roman"/>
          <w:sz w:val="30"/>
        </w:rPr>
        <w:lastRenderedPageBreak/>
        <w:t>八、基金份额的申购与赎回</w:t>
      </w:r>
      <w:bookmarkEnd w:id="11"/>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w:t>
      </w:r>
      <w:r>
        <w:rPr>
          <w:rFonts w:ascii="宋体" w:hAnsi="宋体"/>
          <w:sz w:val="24"/>
        </w:rPr>
        <w:lastRenderedPageBreak/>
        <w:t>规定公告暂停申购、赎回时除外。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本基金A类基金份额已于2018年3月5日起开放申购、赎回业务。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本基金C类基金份额已于2023年3月29日起开放申购、赎回业务。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 元。本基金直销机构单笔申购最低金额可由基金管理人酌情调整。其他销售机构接</w:t>
      </w:r>
      <w:r>
        <w:rPr>
          <w:rFonts w:ascii="宋体" w:hAnsi="宋体"/>
          <w:sz w:val="24"/>
        </w:rPr>
        <w:lastRenderedPageBreak/>
        <w:t>受申购申请的最低金额为单笔1元，如果销售机构业务规则规定的最低单笔申购金额高于1元，以该销售机构的规定为准。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3、最低余额的限制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每个工作日投资人在单个交易账户的本基金份额余额少于1份时，若当日该账户同时有基金份额减少类业务（如赎回、转换出等）被确认，则基金管理人有权将投资人在该账户的本基金份额一次性全部赎回。</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规定媒介上刊登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或基金合同载明的其他暂停赎回或延缓支付赎回款项的情形时，款项的支付办</w:t>
      </w:r>
      <w:r>
        <w:rPr>
          <w:rFonts w:ascii="宋体" w:hAnsi="宋体"/>
          <w:sz w:val="24"/>
        </w:rPr>
        <w:lastRenderedPageBreak/>
        <w:t>法参照基金合同有关条款处理。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本基金A类基金份额的申购费用由申购A类基金份额的申购人承担，不列入基金财产，主要用于本基金的市场推广、销售、登记等各项费用。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38338B">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38338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8338B" w:rsidRDefault="0038338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38338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8338B" w:rsidRDefault="0038338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38338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8338B" w:rsidRDefault="0038338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企业年金理事会委托的特定客户资产管理计划、企业年金养老金产品。如将来出现经养老基金监管部门认可的新的养老基金类型，基金管理人可在招募说明书更新或发布临时公告将其纳入养老金客户范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38338B">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38338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8338B" w:rsidRDefault="0038338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38338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8338B" w:rsidRDefault="0038338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38338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8338B" w:rsidRDefault="0038338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A类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w:t>
      </w:r>
      <w:r>
        <w:rPr>
          <w:rFonts w:ascii="宋体" w:hAnsi="宋体"/>
          <w:sz w:val="24"/>
        </w:rPr>
        <w:lastRenderedPageBreak/>
        <w:t>财产；对持续持有期大于等于6个月的投资人，应当将赎回费总额的25%计入基金财产。上述“月”指的是30个自然日。未归入基金财产的部分用于支付登记费和其他必要的手续费。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38338B">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类基金份额赎回费率</w:t>
            </w:r>
          </w:p>
        </w:tc>
      </w:tr>
      <w:tr w:rsidR="0038338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8338B" w:rsidRDefault="0038338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38338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8338B" w:rsidRDefault="0038338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38338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8338B" w:rsidRDefault="0038338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38338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8338B" w:rsidRDefault="0038338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38338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8338B" w:rsidRDefault="0038338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38338B">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38338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8338B" w:rsidRDefault="0038338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38338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8338B" w:rsidRDefault="0038338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38338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8338B" w:rsidRDefault="0038338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5、当发生大额申购或赎回情形时，基金管理人可以采用摆动定价机制以确保基金估值的公平性。具体处理原则与操作规范遵循相关法律法规以及监管部门、自律规则的规定。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和C类基金份额有效赎回份额乘以当日该类基金份额净值并扣除相应的费用（如有），赎回金额单位为元。赎回金额计算结果按四舍五入方法，保留到小数点后2位，由此产生的收益或损失由基金财产承担。</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例一：某投资者（非养老金客户）投资40,000元申购本基金A类基金份额，假设申购当日A类基金份额净值为1.0400元，申购费率为1.5%，则其可得到的申购份额为：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即：某投资者（非养老金客户）投资40,000元申购本基金A类基金份额，假设申购当日A类基金份额净值为1.0400元，则其可得到37,893.14份A类基金份额。</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例二：某养老金客户投资100,000元通过基金管理人的直销柜台申购本基金A类基金份额，假设申购当日A类基金份额净值为1.0400元，申购费率为0.6%，则其可得到的申购份额为：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申购费用=100,000-99,403.58=596.42元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即：该养老金客户投资100,000元通过基金管理人的直销柜台申购本基金A类基金份额，假设申购当日A类基金份额净值为1.0400元，则其可得到95,580.37份A类基金份额。</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赎回金额为按实际确认的A类基金份额和C类基金份额有效赎回份额乘以当日该类基金份额净值并扣除相应的费用（如有），赎回金额单位为元，计算结果保留到小数点后两位，第三位四舍五入。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投资者赎回A类基金份额，赎回金额的计算方法如下：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例四：某投资者赎回持有的10,000份A类基金份额，持有期限为30日，对应的赎回费率为0.5%，假设赎回当日A类基金份额净值是1.0160元，则其可得到的赎回金额为：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即：投资者赎回本基金10,000份A类基金份额，对应的赎回费率为0.5%，假设赎回当日A类基金份额净值是1.0160元，则其可得到的赎回金额为10,109.20元。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赎回费用=赎回份额×T日C类基金份额净值×赎回费率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例五：某投资者赎回10,000份C类基金份额，持有期限为20日，对应的赎回费率为0.5%，假设赎回当日C类基金份额净值是1.0160元，则其可得到的赎回金额为：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即：投资者赎回10,000份C类基金份额，持有期限为20日，对应的赎回费率为0.5%，假设赎回当日C类基金份额净值是1.0160元，则其可得到的赎回金额为10,109.20元。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和C类基金份额的基金份额净值的计算，均保留到小数点后4位，小数点后第5位四舍五入，由此误差产生的收益或损失由基金财产承担。</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w:t>
      </w:r>
      <w:r>
        <w:rPr>
          <w:rFonts w:ascii="宋体" w:hAnsi="宋体"/>
          <w:sz w:val="24"/>
        </w:rPr>
        <w:lastRenderedPageBreak/>
        <w:t>机构的异常情况导致基金销售系统、基金销售支付结算系统、基金注册登记系统或基金会计系统无法正常运行。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7、基金管理人接受某笔或者某些申购申请有可能导致单一投资者持有基金份额的比例超过50%，或者变相规避50%集中度的。出现上述情形时，基金管理人有权将上述申购申请全部或部分确认失败。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8、港股通交易每日额度不足。</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9、当前一估值日基金资产净值50%以上的资产出现无可参考的活跃市场价格且采用估值技术仍导致公允价值存在重大不确定性时，经与基金托管人协商确认后，基金管理人应当暂停接受申购申请。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10、基金合同约定、法律法规规定或中国证监会认定的其他情形。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8、9、10项暂停申购情形之一且基金管理人决定暂停接受投资人的申购申请时，基金管理人应当根据有关规定在规定媒介上刊登暂停申购公告。如果投资人的申购申请被拒绝，被拒绝的申购款项将退还给投资人。在暂停申购的情况消除时，基金管理人应及时恢复申购业务的办理并依法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5、发生继续接受赎回申请将损害现有基金份额持有人利益的情形时，可暂停接受投资人的赎回申请。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7、基金合同约定、法律法规规定或中国证监会认定的其他情形。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w:t>
      </w:r>
      <w:r>
        <w:rPr>
          <w:rFonts w:ascii="宋体" w:hAnsi="宋体"/>
          <w:sz w:val="24"/>
        </w:rPr>
        <w:lastRenderedPageBreak/>
        <w:t>回款项时，基金管理人应及时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如基金份额持有人在当日选择取消赎回，</w:t>
      </w:r>
      <w:r>
        <w:rPr>
          <w:rFonts w:ascii="宋体" w:hAnsi="宋体"/>
          <w:sz w:val="24"/>
        </w:rPr>
        <w:lastRenderedPageBreak/>
        <w:t>则其当日未获受理的部分赎回申请将被撤销。</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规定媒介上进行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当发生上述巨额赎回并延期办理时，基金管理人应当通过邮寄、传真、刊登公告或者通知销售机构代为告知等方式在3个交易日内通知基金份额持有人，说明有关处理方法，并在2日内在规定媒介上刊登公告。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规定媒介上刊登基金重新开放申购或赎回公告，并公布最近一个开放日各类基金份额的基金份额净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w:t>
      </w:r>
      <w:r>
        <w:rPr>
          <w:rFonts w:ascii="宋体" w:hAnsi="宋体"/>
          <w:sz w:val="24"/>
        </w:rPr>
        <w:lastRenderedPageBreak/>
        <w:t>必须不低于基金管理人在相关公告或更新的招募说明书中所规定的定期定额投资计划最低申购金额。</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2018年3月2日刊登公告自2018年3月5日起开通A类基金份额的定期定额投资计划业务，本基金2023年3月29日刊登公告自2023年3月29日起增设C类基金份额并开通C类基金份额的定期定额投资计划业务，具体开通销售机构名单和业务规则参见相关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12" w:name="_Toc231975015"/>
      <w:r>
        <w:rPr>
          <w:rFonts w:ascii="Times New Roman" w:hAnsi="Times New Roman"/>
          <w:sz w:val="30"/>
        </w:rPr>
        <w:lastRenderedPageBreak/>
        <w:t>九、基金的转换</w:t>
      </w:r>
      <w:bookmarkEnd w:id="12"/>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本基金2018年5月15日刊登公告自2018年5月17日起开放A类基金份额的日常转换业务。本基金2023年3月29日刊登公告自2023年3月29日起增设C类基金份额并开通C类基金份额的日常转换业务。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该工作日为非港股通交易日，则本基金可不办理）。若出现新的证券交易市场或交易所交易时间更改或其它原因，基金管理人将视情况进行相应的调整并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（四）基金转换的数额限制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补差，若遇固定费用，则按实际产生补差费用收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w:t>
      </w:r>
      <w:r>
        <w:rPr>
          <w:rFonts w:ascii="宋体" w:hAnsi="宋体"/>
          <w:sz w:val="24"/>
        </w:rPr>
        <w:lastRenderedPageBreak/>
        <w:t>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转入基金确认份额的计算精确到小数点后两位，小数点后两位以后的部分四舍五入，误差部分归基金财产。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A类基金份额净值为2.2700元。若该投资者将100,000份交银趋势前端A类基金份额转换为交银成长前端A类基金份额，则转入交银成长确认的基金份额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w:t>
      </w:r>
      <w:r>
        <w:rPr>
          <w:rFonts w:ascii="宋体" w:hAnsi="宋体"/>
          <w:sz w:val="24"/>
        </w:rPr>
        <w:lastRenderedPageBreak/>
        <w:t>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w:t>
      </w:r>
      <w:r>
        <w:rPr>
          <w:rFonts w:ascii="宋体" w:hAnsi="宋体"/>
          <w:sz w:val="24"/>
        </w:rPr>
        <w:lastRenderedPageBreak/>
        <w:t>理基金转换业务时，转出方的基金必须处于可赎回状态，转入方的基金必须处于可申购状态。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13" w:name="_Toc231975016"/>
      <w:r>
        <w:rPr>
          <w:rFonts w:ascii="Times New Roman" w:hAnsi="Times New Roman"/>
          <w:sz w:val="30"/>
        </w:rPr>
        <w:lastRenderedPageBreak/>
        <w:t>十、基金的投资</w:t>
      </w:r>
      <w:bookmarkEnd w:id="13"/>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本基金在有效控制组合风险并保持良好流动性的前提下，把握市场发展趋势，通过专业化研究分析，重点投资具备充分成长空间和拥有持续成长性的上市公司，力争实现基金资产的长期稳定增值。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货币市场工具、债券回购、同业存单、银行存款（含协议存款、定期存款及其他银行存款）、资产支持证券、股指期货以及法律法规或中国证监会允许基金投资的其他金融工具（但须符合中国证监会相关规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60%-95%，其中投资于港股通标的股票的比例占股票资产的0%-50%；本基金投资于持续成长主题相关股票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定量与定性相结合的评价方法，评估其行业的持续成长性。通过对消费者需求变化趋势、产业结构变迁、全球技术创新和商业模式演化等多因素的分析和预测，得出各行业的相对投资价值与投资时机。除行业的持续成长性评估之外，本基金将基于对相关个股深入的基本面研究和细致的实地调研，结合交银施罗</w:t>
      </w:r>
      <w:r>
        <w:rPr>
          <w:rFonts w:ascii="宋体" w:hAnsi="宋体"/>
          <w:sz w:val="24"/>
        </w:rPr>
        <w:lastRenderedPageBreak/>
        <w:t>德企业成长性评价体系从行业前景、公司质量和成长性质量等方面对上市公司的持续成长性进行综合评价，精选个股，力争实现基金资产的长期稳定增值。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对象为具备充分成长空间和拥有持续成长性的公司。本基金将充分发挥研究团队自下而上的选股能力，基于对个股深入的基本面研究和细致的实地调研，精选股票构建投资组合。具体分以下两个层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定量与定性相结合的评价方法，评估其行业地位和业绩持续成长性。本基金将结合中长期中国经济结构调整优化的方向，通过消费者需求变化趋势、产业结构变迁、全球技术创新和商业模式演化等多因素的分析和预测，确定宏观及行业经济变量的变动对不同行业的潜在影响，得出各行业的相对投资价值与投资时机。具体操作中，本基金从经济周期因素评估、行业政策因素评估和行业基本面指标评估（包括行业生命周期、行业发展趋势和发展空间、行业内竞争态势、行业收入及利润增长情况等）等方面评估持续成长性行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在行业的持续成长性评估之外，本基金将基于对相关个股深入的基本面研究和细致的实地调研，结合交银施罗德企业成长性评价体系对企业的持续成长性进行综合评价。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本基金所指持续成长主题型公司为：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公司业务发展方向在技术上或商业模式上具有竞争优势，符合需求变化特</w:t>
      </w:r>
      <w:r>
        <w:rPr>
          <w:rFonts w:ascii="宋体" w:hAnsi="宋体"/>
          <w:sz w:val="24"/>
        </w:rPr>
        <w:lastRenderedPageBreak/>
        <w:t>征，契合消费需求变化趋势；</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公司拥有难以被竞争对手模仿的竞争优势，如在资源、技术、人才、资金、经营许可证、销售网络等方面的优势；</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公司治理结构完善、拥有良好管理团队，具备清晰的公司发展战略，企业经营具备持续成长潜力。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管理策略、类属配置策略、收益率曲线配置策略、杠杆放大策略及信用债券、可转换债券投资等多种策略，以期获取债券市场的长期稳定收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（2）类属配置策略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在控制信用风险和流动性风险为主的基金总体风险水平的前提下，谋求更高的经风险调整后的稳定收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（3）收益率曲线配置策略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本基金将通过预期收益率曲线形态变化来调整投资组合的头寸。在考察收益率曲线的基础上，将确定采用子弹策略、哑铃策略或梯形策略等，以从收益率曲线的形变中获利。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（4）杠杆放大策略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当回购利率低于债券收益率时，本基金将通过正回购融入资金并投资于信用债</w:t>
      </w:r>
      <w:r>
        <w:rPr>
          <w:rFonts w:ascii="宋体" w:hAnsi="宋体"/>
          <w:sz w:val="24"/>
        </w:rPr>
        <w:lastRenderedPageBreak/>
        <w:t>券等可投资标的，从而获取收益率超出回购资金成本（即回购利率）的套利价值。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本基金通过交银施罗德的信用债券信用评级指标体系，对信用债券进行信用评级，并在信用评级的基础上，建立本基金的信用债券池。基金经理从信用债券池中精选债券构建信用债券投资组合。</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（6）可转换债券与可交换公司债券投资策略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于可转换债券与可交换公司债券股性的研究将完全依托于公司投研团队对标的股票的研究，在此基础上利用可转换债券与可交换公司债券定价模型，充分考虑转债发行后目标转债标的股票股价波动率可能出现的变化，对目标转债的股性进行合理定价。通过对标的转债股性与债性的合理定价，力求寻找出被市场低估的品种，构建本基金可转换债券与可交换公司债券的投资组合。</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基金的投资组合应遵循以下限制：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（1）股票资产（含存托凭证）占基金资产的60%-95%，其中投资于港股通标的股票的比例占股票资产的0%-50%；本基金投资于持续成长主题相关股票的比例不低于非现金基金资产的80%；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（2）每个交易日日终在扣除股指期货合约需缴纳的交易保证金后，保持不低于基金资产净值5%的现金或者到期日在一年以内的政府债券，其中现金不包括结算备付金、存出保证金、应收申购款等；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（7）本基金与私募类证券资管产品及中国证监会认定的其他主体为交易对手开展逆回购交易的，可接受质押品的资质要求应当与基金合同约定的投资范围保持一致；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w:t>
      </w:r>
      <w:r>
        <w:rPr>
          <w:rFonts w:ascii="宋体" w:hAnsi="宋体"/>
          <w:sz w:val="24"/>
        </w:rPr>
        <w:lastRenderedPageBreak/>
        <w:t>券，不得超过其各类资产支持证券合计规模的10%；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（14）本基金进入全国银行间同业市场进行债券回购的资金余额不得超过基金资产净值的40%，本基金在全国银行间同业市场中的债券回购最长期限为1年，债券回购到期后不得展期；</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（15）本基金若投资股指期货，则遵循以下投资比例限制：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资产支持证券、买入返售金融资产（不含质押式回购）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（16）本基金的基金资产总值不得超过基金资产净值的140%；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流通受限证券，基金管理人应事先根据中国证监会相关规定，与基金托管人在基金托管协议中明确基金投资流通受限证券的比例，根据比例进行投资。基金管理人应制订严格的投资决策流程和风险控制制度，防范流动性风险、法律风险和操作风险等各种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（18）本基金投资存托凭证的比例限制依照境内上市交易的股票执行；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（19）法律法规及中国证监会规定的和《基金合同》约定的其他投资限制。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除上述第（2）项、第（6）项、第（7）项、第（12）项以外，因证券、期货</w:t>
      </w:r>
      <w:r>
        <w:rPr>
          <w:rFonts w:ascii="宋体" w:hAnsi="宋体"/>
          <w:sz w:val="24"/>
        </w:rPr>
        <w:lastRenderedPageBreak/>
        <w:t>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70%×沪深300指数收益率+10%×恒生指数收益率+20%×中证综合债券指数收益率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恒生指数是由恒生指数服务有限公司编制，以香港股票市场中的50家上市股票为成份股样本，以其发行量为权数的加权平均股价指数，是反映香港股市价幅趋势最有影响的一种股价指数。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根据本基金的投资范围和投资比例，选用上述业绩比较基准能够客观、合理地反映本基金的风险收益特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无需召开基金份额持有人大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本基金是一只混合型基金，其预期风险和预期收益理论上高于债券型基金和货币市场基金，低于股票型基金。</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（七）基金管理人代表基金行使股东及债权人权利的处理原则及方法</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3、有利于基金财产的安全与增值；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侧袋账户的实施条件、实施程序、运作安排、投资安排、特定资产的处置变现和支付等对投资者权益有重大影响的事项详见招募说明书“侧袋机制”部分的规定。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本基金托管人中国工商银行股份有限公司根据基金合同规定，于2026年04月20日复核了本报告中的财务指标、净值表现和投资组合报告等内容，保证复核内容不存在虚假记载、误导性陈述或者重大遗漏。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本报告期为2026年01月01日日起至03月31日。本报告财务资料未经审计师审计。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611,205,445.34</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91.52</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611,205,445.34</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91.52</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40,617,402.74</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6.08</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40,617,402.74</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6.08</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15,236,442.24</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2.28</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809,732.32</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667,869,022.64</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注：本基金本报告期末通过港股通机制投资香港股票的公允价值为132,349,774.09元，占基金资产净值比例为19.93%。</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19,399,320.04</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2.92</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361,457,346.66</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54.44</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5,495,364.00</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0.83</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21,739.80</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13,158,043.18</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1.98</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79,089,092.57</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11.91</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234,765.00</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478,855,671.25</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72.12</w:t>
            </w:r>
          </w:p>
        </w:tc>
      </w:tr>
    </w:tbl>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56,570,148.25</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8.52</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38,338,653.18</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5.77</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37,440,972.66</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5.64</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132,349,774.09</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19.93</w:t>
            </w:r>
          </w:p>
        </w:tc>
      </w:tr>
    </w:tbl>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600519</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贵州茅台</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46,538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67,480,100.00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10.16</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603259</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药明康德</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673,800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66,099,780.00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9.95</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106,400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60,585,224.00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9.12</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09988 HK</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阿里巴巴</w:t>
            </w:r>
            <w:r>
              <w:rPr>
                <w:rFonts w:ascii="Times New Roman" w:hAnsi="Times New Roman"/>
                <w:color w:val="000000"/>
                <w:kern w:val="0"/>
                <w:sz w:val="25"/>
                <w:szCs w:val="24"/>
              </w:rPr>
              <w:t>-W</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538,399</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56,570,148.25</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8.52</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125,770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55,695,986.80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8.39</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00700 HK</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89,713</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38,338,653.18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5.77</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01801 HK</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信达生物</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499,463</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37,440,972.66</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5.64</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002028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思源电气</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165,200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33,370,400.00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5.03</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603986</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兆易创新</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133,001</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31,667,538.10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4.77</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601138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工业富联</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614,700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31,632,462.00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4.76</w:t>
            </w:r>
          </w:p>
        </w:tc>
      </w:tr>
    </w:tbl>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40,617,402.74</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6.12</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40,617,402.74</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6.12</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40,617,402.74</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6.12</w:t>
            </w:r>
          </w:p>
        </w:tc>
      </w:tr>
    </w:tbl>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092404001</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农发清发绿债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400,000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40,617,402.74</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6.12</w:t>
            </w:r>
          </w:p>
        </w:tc>
      </w:tr>
    </w:tbl>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2025年08月01日,国家金融监督管理总局公示行政处罚决定书,给予中国农业发展银行1020万元人民币的行政处罚。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500,354.03</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309,378.29</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right"/>
              <w:rPr>
                <w:rFonts w:ascii="宋体" w:hAnsi="宋体"/>
                <w:color w:val="000000"/>
                <w:kern w:val="0"/>
                <w:sz w:val="25"/>
                <w:szCs w:val="24"/>
              </w:rPr>
            </w:pPr>
            <w:r>
              <w:rPr>
                <w:rFonts w:ascii="Times New Roman" w:hAnsi="Times New Roman"/>
                <w:color w:val="000000"/>
                <w:kern w:val="0"/>
                <w:sz w:val="25"/>
                <w:szCs w:val="24"/>
              </w:rPr>
              <w:t>809,732.32</w:t>
            </w:r>
          </w:p>
        </w:tc>
      </w:tr>
    </w:tbl>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14" w:name="_Toc231975017"/>
      <w:r>
        <w:rPr>
          <w:rFonts w:ascii="Times New Roman" w:hAnsi="Times New Roman"/>
          <w:sz w:val="30"/>
        </w:rPr>
        <w:lastRenderedPageBreak/>
        <w:t>十一、基金的业绩</w:t>
      </w:r>
      <w:bookmarkEnd w:id="14"/>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38338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38338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-2.48%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1.39%</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-2.84%</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r>
      <w:tr w:rsidR="0038338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43.17%</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15.38%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27.79%</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r>
      <w:tr w:rsidR="0038338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-2.79%</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14.17%</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-16.96%</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r>
      <w:tr w:rsidR="0038338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-29.45%</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-8.21%</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-21.24%</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r>
      <w:tr w:rsidR="0038338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-11.10%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1.60%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-15.70%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4.60%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r>
      <w:tr w:rsidR="0038338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23.00%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-2.39%</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25.39%</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rsidR="0038338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40.43%</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21.26%</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19.17%</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r>
      <w:tr w:rsidR="0038338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50.61%</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1.34%</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27.90%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0.93%</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22.71%</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r>
      <w:tr w:rsidR="0038338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2018</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-3.49%</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-20.32%</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16.83%</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r>
    </w:tbl>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38338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38338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-2.62%</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1.39%</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-2.84%</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r>
      <w:tr w:rsidR="0038338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42.26%</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15.38%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26.88%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r>
      <w:tr w:rsidR="0038338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-3.81%</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14.17%</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-17.98%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r>
      <w:tr w:rsidR="0038338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-25.30%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1.30%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-10.94%</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-14.36%</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r>
    </w:tbl>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注：本基金业绩比较基准自2023年3月29日起，由“75%×沪深300指数收益率</w:t>
      </w:r>
      <w:r>
        <w:rPr>
          <w:rFonts w:ascii="宋体" w:hAnsi="宋体"/>
          <w:sz w:val="24"/>
        </w:rPr>
        <w:lastRenderedPageBreak/>
        <w:t>+25%×中证综合债券指数收益率”变更为“70%×沪深300指数收益率+10%×恒生指数收益率+20%×中证综合债券指数收益率”，每日进行再平衡过程。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2、自基金合同生效以来A类基金份额累计净值增长率变动及其与同期业绩比较基准收益率变动的比较</w:t>
      </w:r>
    </w:p>
    <w:p w:rsidR="0038338B" w:rsidRDefault="003762A4">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交银施罗德持续成长主题混合型证券投资基金</w:t>
      </w:r>
    </w:p>
    <w:p w:rsidR="0038338B" w:rsidRDefault="003762A4">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A类基金份额累计净值增长率与业绩比较基准收益率历史走势对比图</w:t>
      </w:r>
    </w:p>
    <w:p w:rsidR="0038338B" w:rsidRDefault="003762A4">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（2018年1月12日至2026年03月31日）</w:t>
      </w:r>
    </w:p>
    <w:p w:rsidR="0038338B" w:rsidRDefault="00AD79FF">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38338B" w:rsidRDefault="003762A4">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C类基金份额累计净值增长率与业绩比较基准收益率历史走势对比图</w:t>
      </w:r>
    </w:p>
    <w:p w:rsidR="0038338B" w:rsidRDefault="003762A4">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（2023年03月30日至2026年03月31日）</w:t>
      </w:r>
    </w:p>
    <w:p w:rsidR="0038338B" w:rsidRDefault="00AD79FF">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2、本基金自2023年3月29日起，开始销售C类份额，投资者提交的申购申请于2023年3月30日被确认并将有效份额登记在册。</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15" w:name="_Toc231975018"/>
      <w:r>
        <w:rPr>
          <w:rFonts w:ascii="Times New Roman" w:hAnsi="Times New Roman"/>
          <w:sz w:val="30"/>
        </w:rPr>
        <w:lastRenderedPageBreak/>
        <w:t>十二、基金的财产</w:t>
      </w:r>
      <w:bookmarkEnd w:id="15"/>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协助开立股指期货业务相关账户及交易编码。开立的基金专用账户与基金管理人、基金托管人、基金销售机构和基金登记机构自有的财产账户以及其他基金财产账户相独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16" w:name="_Toc231975019"/>
      <w:r>
        <w:rPr>
          <w:rFonts w:ascii="Times New Roman" w:hAnsi="Times New Roman"/>
          <w:sz w:val="30"/>
        </w:rPr>
        <w:lastRenderedPageBreak/>
        <w:t>十三、基金资产的估值</w:t>
      </w:r>
      <w:bookmarkEnd w:id="16"/>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（2）交易所市场上市交易或挂牌转让的固定收益品种（另有规定的除外），选取估值日第三方估值机构提供的相应品种当日的估值净价进行估值；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市场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2、证券交易所发行未上市期间的有价证券应区分如下情况处理：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5、同一证券同时在两个或两个以上市场交易的，按证券所处的市场分别估值。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估值计算中涉及港币对人民币汇率的，将依据下列信息提供机构所提供的汇率为基准：当日中国人民银行或其授权机构公布的人民币汇率中间价。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6、摆动定价机制：当发生大额申购或赎回情形时，基金管理人可以对本基金采用摆动定价机制，以确保基金估值的公平性。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8、如有确凿证据表明按上述方法进行估值不能客观反映其公允价值的，基金管理人可根据具体情况与基金托管人商定后，按最能反映公允价值的方法估值。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基金管理人可以设立大额赎回情形下的净值精度应急调整机制，具体可参见相关公告。国家另有规定的，从其规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的约定和相关法律法规的规定对外公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w:t>
      </w:r>
      <w:r>
        <w:rPr>
          <w:rFonts w:ascii="宋体" w:hAnsi="宋体"/>
          <w:sz w:val="24"/>
        </w:rPr>
        <w:lastRenderedPageBreak/>
        <w:t>计算差错、系统故障差错、下达指令差错等。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（3）根据估值错误处理原则或当事人协商的方法由估值错误的责任方进行更正和赔偿损失；</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3、当特定资产占前一估值日基金资产净值50%以上的，经与基金托管人协商一致的，基金管理人应当暂停估值；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1、基金管理人或基金托管人按估值方法的第8项进行估值时，所造成的误差不作为基金资产估值错误处理。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等，基金管理人和基金托管人虽然已经采取必要、适当、合理的措施进行检查，但是未能发现该错误而造成的基金资产估值错误，基</w:t>
      </w:r>
      <w:r>
        <w:rPr>
          <w:rFonts w:ascii="宋体" w:hAnsi="宋体"/>
          <w:sz w:val="24"/>
        </w:rPr>
        <w:lastRenderedPageBreak/>
        <w:t>金管理人、基金托管人免除赔偿责任。但基金管理人、基金托管人应积极采取必要的措施减轻或消除由此造成的影响。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17" w:name="_Toc231975020"/>
      <w:r>
        <w:rPr>
          <w:rFonts w:ascii="Times New Roman" w:hAnsi="Times New Roman"/>
          <w:sz w:val="30"/>
        </w:rPr>
        <w:lastRenderedPageBreak/>
        <w:t>十四、基金收益与分配</w:t>
      </w:r>
      <w:bookmarkEnd w:id="17"/>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4、由于本基金A类基金份额不收取销售服务费，C类基金份额收取销售服务费，各基金份额类别对应的可供分配利润将有所不同；本基金同一基金份额类别的每一基金份额享有同等分配权；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本基金收益分配方案由基金管理人拟定，并由基金托管人复核，依照《信息披露办法》的有关规定在规定媒介公告。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法律法规或监管机关另有规定的，从其规定。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18" w:name="_Toc231975021"/>
      <w:r>
        <w:rPr>
          <w:rFonts w:ascii="Times New Roman" w:hAnsi="Times New Roman"/>
          <w:sz w:val="30"/>
        </w:rPr>
        <w:lastRenderedPageBreak/>
        <w:t>十五、基金的费用与税收</w:t>
      </w:r>
      <w:bookmarkEnd w:id="18"/>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10、本基金从C类基金份额的基金财产中计提的销售服务费；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基金管理费按基金资产净值的1.2%年费率计提。</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在通常情况下，基金管理费按前一日基金资产净值1.2%年费率计提。计算方法如下：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H＝E×1.2%÷当年天数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基金托管费按基金资产净值的 0.2%年费率计提。</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在通常情况下，基金托管费按前一日基金资产净值的0.2%年费率计提。计算方法如下：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基金托管费划付指令，经基金托管人复核后于次月首日起3个工作日内从基金财产中一次性支付给基金管理人，由基金管理人代付给销售机构。若遇法定节假日、休息日或不可抗力致使无法按时支付的，顺延至最近可支付日支付。</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（2）赎回费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本基金实施侧袋机制的，与侧袋账户有关的费用可以从侧袋账户中列支，但应待侧袋账户资产变现后方可列支，有关费用可酌情收取或减免，但不得收取管理费，详见招募说明书“侧袋机制”部分的规定。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19" w:name="_Toc231975022"/>
      <w:r>
        <w:rPr>
          <w:rFonts w:ascii="Times New Roman" w:hAnsi="Times New Roman"/>
          <w:sz w:val="30"/>
        </w:rPr>
        <w:lastRenderedPageBreak/>
        <w:t>十六、基金的会计与审计</w:t>
      </w:r>
      <w:bookmarkEnd w:id="19"/>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3、基金管理人认为有充足理由更换会计师事务所，须通报基金托管人。更换会计师事务所需按照《信息披露办法》的有关规定在规定媒介公告。</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20" w:name="_Toc231975023"/>
      <w:r>
        <w:rPr>
          <w:rFonts w:ascii="Times New Roman" w:hAnsi="Times New Roman"/>
          <w:sz w:val="30"/>
        </w:rPr>
        <w:lastRenderedPageBreak/>
        <w:t>十七、基金的信息披露</w:t>
      </w:r>
      <w:bookmarkEnd w:id="20"/>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中国证监会准予变更注册后，基金管理人按照《信息披露办法》的规定，将基金招募说明书、基金产品资料概要、《基金合同》和基金托管协议登载在规定媒介上；基金管理人、基金托管人应当将《基金合同》、基金托管协议登载在网站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w:t>
      </w:r>
      <w:r>
        <w:rPr>
          <w:rFonts w:ascii="宋体" w:hAnsi="宋体"/>
          <w:sz w:val="24"/>
        </w:rPr>
        <w:lastRenderedPageBreak/>
        <w:t>计净值。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3、基金份额申购、赎回价格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4、基金定期报告，包括基金年度报告、基金中期报告和基金季度报告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运作期间，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5、临时报告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本基金发生重大事件，有关信息披露义务人应当在2日内编制临时报告书，并登载在规定报刊和规定网站上。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w:t>
      </w:r>
      <w:r>
        <w:rPr>
          <w:rFonts w:ascii="宋体" w:hAnsi="宋体"/>
          <w:sz w:val="24"/>
        </w:rPr>
        <w:lastRenderedPageBreak/>
        <w:t>务所；</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（23）本基金增加或调整基金份额类别；</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（25）本基金连续30个工作日、40个工作日、45个工作日出现基金份额持有人数量不满200人或者基金资产净值低于5000万元情形的；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（26）基金信息披露义务人认为可能对基金份额持有人权益或者基金份额的价格产生重大影响的其他事项或中国证监会规定的其他事项。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6、澄清公告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7、基金份额持有人大会决议</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8、实施侧袋机制期间的信息披露</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本基金实施侧袋机制的，相关信息披露义务人应当根据法律法规、基金合同和招募说明书的规定进行信息披露，详见招募说明书“侧袋机制”部分的规定。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9、清算报告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10、基金投资股指期货情况</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11、基金投资资产支持证券情况</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12、基金投资港股通标的股票情况</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13、基金投资非公开发行股票情况</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基金管理人在本基金投资非公开发行股票后2个交易日内，在中国证监会规定媒介披露所投资非公开发行股票的名称、数量、总成本、账面价值，以及总成本和账面价值占基金资产净值的比例、锁定期等信息。</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基金管理人、基金托管人应当在规定报刊中选择一家报刊披露本基金信息。基金管理人、基金托管人应当向中国证监会基金电子披露网站报送拟披露的基金信息，并保证相关报送信息的真实、准确、完整、及时。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w:t>
      </w:r>
      <w:r>
        <w:rPr>
          <w:rFonts w:ascii="宋体" w:hAnsi="宋体"/>
          <w:sz w:val="24"/>
        </w:rPr>
        <w:lastRenderedPageBreak/>
        <w:t>机构，应当制作工作底稿，并将相关档案至少保存到《基金合同》终止后10年。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21" w:name="_Toc231975024"/>
      <w:r>
        <w:rPr>
          <w:rFonts w:ascii="Times New Roman" w:hAnsi="Times New Roman"/>
          <w:sz w:val="30"/>
        </w:rPr>
        <w:lastRenderedPageBreak/>
        <w:t>十八、侧袋机制</w:t>
      </w:r>
      <w:bookmarkEnd w:id="21"/>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38338B" w:rsidRDefault="003762A4">
      <w:pPr>
        <w:pStyle w:val="1"/>
        <w:snapToGrid w:val="0"/>
        <w:spacing w:beforeLines="0" w:before="240" w:after="240"/>
        <w:rPr>
          <w:rFonts w:ascii="宋体" w:hAnsi="宋体"/>
          <w:szCs w:val="30"/>
        </w:rPr>
      </w:pPr>
      <w:bookmarkStart w:id="22" w:name="_Toc231975025"/>
      <w:r>
        <w:rPr>
          <w:rFonts w:ascii="Times New Roman" w:hAnsi="Times New Roman"/>
          <w:sz w:val="30"/>
        </w:rPr>
        <w:lastRenderedPageBreak/>
        <w:t>十九、风险揭示</w:t>
      </w:r>
      <w:bookmarkEnd w:id="22"/>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w:t>
      </w:r>
      <w:r>
        <w:rPr>
          <w:rFonts w:ascii="宋体" w:hAnsi="宋体"/>
          <w:sz w:val="24"/>
        </w:rPr>
        <w:lastRenderedPageBreak/>
        <w:t>做出投资决策后，基金运营状况与基金净值变化引致的投资风险，由投资人自行负担。</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w:t>
      </w:r>
      <w:r>
        <w:rPr>
          <w:rFonts w:ascii="宋体" w:hAnsi="宋体"/>
          <w:sz w:val="24"/>
        </w:rPr>
        <w:lastRenderedPageBreak/>
        <w:t>不利的影响，都会影响基金运作和收益水平。尤其是在发生巨额赎回时，如果基金资产变现能力差，可能会产生基金仓位调整的困难，导致流动性风险，可能影响基金份额净值。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包括国内依法发行上市的股票、港股通标的股票、债券和货币市场工具等），同时本基金基于分散投资的原则在行业和个券方面未有高集中度的特征，综合评估在正常市场环境下本基金的流动性风险适中。</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w:t>
      </w:r>
      <w:r>
        <w:rPr>
          <w:rFonts w:ascii="宋体" w:hAnsi="宋体"/>
          <w:sz w:val="24"/>
        </w:rPr>
        <w:lastRenderedPageBreak/>
        <w:t>以下一开放日的该类基金份额净值为基础计算赎回金额，以此类推，直到全部赎回为止。如投资人在提交赎回申请时未作明确选择，投资人未能赎回部分作自动延期赎回处理。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如基金份额持有人在当日选择取消赎回，则其当日未获受理的部分赎回申请将被撤销。</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规定媒介上进行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基金管理人将根据主袋账户运作情况合理确定申购政策，因此实施侧袋机制后主袋账户份额存在暂停申购的可能。</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3、投资主题风险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本基金投资于核心资产主题相关证券的比例不低于非现金基金资产的 80%，因此本基金的股票投资业绩与本基金界定的具有核心资产的公司发行证券的相关性较大，需承担相应风险。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4、本基金可投资港股通标的股票，会面临港股通机制下因投资环境、投资标的、市场制度以及交易规则等差异带来的特有风险，具体如下：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w:t>
      </w:r>
      <w:r>
        <w:rPr>
          <w:rFonts w:ascii="宋体" w:hAnsi="宋体"/>
          <w:sz w:val="24"/>
        </w:rPr>
        <w:lastRenderedPageBreak/>
        <w:t>算有限责任公司进行净额换汇，将换汇成本按成交金额分摊至每笔交易，确定交易实际适用的结算汇率。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 股市场规则，此外，在“内地与香港股票市场交易互联互通机制”下参与香港股票投资还将面临包括但不限于如下特殊风险：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 回转交易机制（即当日买入的股票，在交收前可以于当日卖出），且证券交易价格并无涨跌幅上下限的规定，因此每日涨跌幅空间相对较大，可能表现出比A股更为剧烈的股价波动；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香港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w:t>
      </w:r>
      <w:r>
        <w:rPr>
          <w:rFonts w:ascii="宋体" w:hAnsi="宋体"/>
          <w:sz w:val="24"/>
        </w:rPr>
        <w:lastRenderedPageBreak/>
        <w:t>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5、基金合同提前终止风险。连续50个工作日出现基金份额持有人数量不满200人或者基金资产净值低于5000万元情形的，基金合同终止，不需召开基金份额持有人大会。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6、本基金可投资创业板股票，创业板个股上市后的前五个交易日不设价格涨跌幅限制，第六个交易日开始涨跌幅限制比例为20%。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（4）保证金风险是指由于无法及时筹措资金满足建立或者维持股指期货合约头寸所要求的保证金而带来的风险。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（七）投资资产支持证券的特定风险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支持证券具有一定的价格波动风险、流动性风险、信用风险等风险，本公司将本着谨慎和控制风险的原则进行资产支持证券投资，请基金份额持有人关注包括投资资产支持证券可能导致的基金净值波动在内的各项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（八）投资流通受限证券的特定风险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（九）投资科创板股票的特定风险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 投资存托凭证的特定风险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（十一）本基金法律文件风险收益特征表述与销售机构基金风险评价可能不一致的风险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（十二）其他风险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23" w:name="_Toc231975026"/>
      <w:r>
        <w:rPr>
          <w:rFonts w:ascii="Times New Roman" w:hAnsi="Times New Roman"/>
          <w:sz w:val="30"/>
        </w:rPr>
        <w:lastRenderedPageBreak/>
        <w:t>二十、基金合同的变更、终止与基金财产的清算</w:t>
      </w:r>
      <w:bookmarkEnd w:id="23"/>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2、关于《基金合同》变更的基金份额持有人大会决议生效后方可执行，并自决议生效后依照《信息披露办法》的规定在规定媒介公告。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4、连续50个工作日出现基金份额持有人数量不满200人或者基金资产净值低于5000万元情形的，基金合同终止，不需召开基金份额持有人大会；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（2）对基金财产和债权债务进行清理和确认；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24" w:name="_Toc231975027"/>
      <w:r>
        <w:rPr>
          <w:rFonts w:ascii="Times New Roman" w:hAnsi="Times New Roman"/>
          <w:sz w:val="30"/>
        </w:rPr>
        <w:lastRenderedPageBreak/>
        <w:t>二十一、基金合同内容摘要</w:t>
      </w:r>
      <w:bookmarkEnd w:id="24"/>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（11）在《基金合同》约定的范围内，拒绝或暂停受理申购、赎回与转换申请；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w:t>
      </w:r>
      <w:r>
        <w:rPr>
          <w:rFonts w:ascii="宋体" w:hAnsi="宋体"/>
          <w:sz w:val="24"/>
        </w:rPr>
        <w:lastRenderedPageBreak/>
        <w:t>其他为基金提供服务的外部机构；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（16）在符合有关法律、法规的前提下，制定和调整有关基金认购、申购、赎回、转换等的业务规则；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w:t>
      </w:r>
      <w:r>
        <w:rPr>
          <w:rFonts w:ascii="宋体" w:hAnsi="宋体"/>
          <w:sz w:val="24"/>
        </w:rPr>
        <w:lastRenderedPageBreak/>
        <w:t>分配基金收益；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w:t>
      </w:r>
      <w:r>
        <w:rPr>
          <w:rFonts w:ascii="宋体" w:hAnsi="宋体"/>
          <w:sz w:val="24"/>
        </w:rPr>
        <w:lastRenderedPageBreak/>
        <w:t>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（4）根据相关市场规则，为基金开设资金账户、证券账户等投资所需账户、协助开立股指期货业务相关账户及交易编码、为基金办理证券、期货交易资金清算；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w:t>
      </w:r>
      <w:r>
        <w:rPr>
          <w:rFonts w:ascii="宋体" w:hAnsi="宋体"/>
          <w:sz w:val="24"/>
        </w:rPr>
        <w:lastRenderedPageBreak/>
        <w:t>定外，在基金信息公开披露前予以保密，不得向他人泄露；</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（8）复核、审查基金管理人计算的基金资产净值、各类基金份额净值、基金份额申购、赎回价格；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（12）从基金管理人或其委托的登记机构处接收并保存基金份额持有人名册；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w:t>
      </w:r>
      <w:r>
        <w:rPr>
          <w:rFonts w:ascii="宋体" w:hAnsi="宋体"/>
          <w:sz w:val="24"/>
        </w:rPr>
        <w:lastRenderedPageBreak/>
        <w:t>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同一类别的每份基金份额具有同等的合法权益。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（9）遵守基金管理人、基金托管人、销售机构和登记机构的相关交易及业务规则；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w:t>
      </w:r>
      <w:r>
        <w:rPr>
          <w:rFonts w:ascii="宋体" w:hAnsi="宋体"/>
          <w:sz w:val="24"/>
        </w:rPr>
        <w:lastRenderedPageBreak/>
        <w:t>持有人大会：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1）调低除基金管理费、基金托管费之外的其他应由本基金或基金份额持有人承担的费用；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3）在法律法规和《基金合同》规定的范围内，且在对现有基金份额持有人利益无实质性不利影响的前提下调整本基金的申购费率、调低赎回费率及销售服务费率、变更或增加收费方式；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60日内召开；基金管理人决定不召集，基金托管人仍认为有必要召开的，应当由基金托管人自行召集，并自出具书面决定之日起60日内召开并告知基金管理人，基金管理人应当配合；</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（2）通讯开会。通讯开会系指基金份额持有人将其对表决事项的投票以会议通知载明的形式在表决截止日以前送达至召集人指定的地址或系统。</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w:t>
      </w:r>
      <w:r>
        <w:rPr>
          <w:rFonts w:ascii="宋体" w:hAnsi="宋体"/>
          <w:sz w:val="24"/>
        </w:rPr>
        <w:lastRenderedPageBreak/>
        <w:t>（如果基金托管人为召集人，则为基金管理人）和公证机关的监督下按照会议通知规定的方式收取基金份额持有人的表决意见；基金托管人或基金管理人经通知不参加收取表决意见的，不影响表决效力；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1）现场开会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或代理人作为该次基金份额持有人大会的主持人。基金管理人和基金托管人拒不出席或主持基金份额持有人大会，不影响基金份额持有人大会作出的决议的效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w:t>
      </w:r>
      <w:r>
        <w:rPr>
          <w:rFonts w:ascii="宋体" w:hAnsi="宋体"/>
          <w:sz w:val="24"/>
        </w:rPr>
        <w:lastRenderedPageBreak/>
        <w:t>表决，但应当计入出具表决意见的基金份额持有人所代表的基金份额总数。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基金份额持有人大会的决定的事项自表决通过之日起生效，召集人应当自通过之日起5日内报中国证监会备案。</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基金份额持有人大会决议自生效之日起2日内在规定媒介上公告。如果采用通讯方式进行表决，在公告基金份额持有人大会决议时，必须将公证书全文、公证机构、公证员姓名等一同公告。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基金管理人、基金托管人和基金份额持有人应当执行生效的基金份额持有人大会的决议。生效的基金份额持有人大会决议对全体基金份额持有人、基金管理人、基金托管人均有约束力。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w:t>
      </w:r>
      <w:r>
        <w:rPr>
          <w:rFonts w:ascii="宋体" w:hAnsi="宋体"/>
          <w:sz w:val="24"/>
        </w:rPr>
        <w:lastRenderedPageBreak/>
        <w:t>或变更的，基金管理人与基金托管人协商一致并提前公告后，可直接对本部分内容进行修改和调整，无需召开基金份额持有人大会审议。</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（2）关于《基金合同》变更的基金份额持有人大会决议生效后方可执行，并自决议生效后依照《信息披露办法》的规定在规定媒介公告。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（4）连续50个工作日出现基金份额持有人数量不满200人或者基金资产净值低于5000万元情形的，基金合同终止，不需召开基金份额持有人大会；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1）《基金合同》终止情形出现时，由基金财产清算小组统一接管基金财产；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w:t>
      </w:r>
      <w:r>
        <w:rPr>
          <w:rFonts w:ascii="宋体" w:hAnsi="宋体"/>
          <w:sz w:val="24"/>
        </w:rPr>
        <w:lastRenderedPageBreak/>
        <w:t>点为北京市。仲裁裁决是终局的，对各方当事人均有约束力，除非仲裁裁决另有规定，仲裁费用由败诉方承担。</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争议处理期间，双方当事人应恪守基金管理人和基金托管人职责，各自继续忠实、勤勉、尽责地履行基金合同规定的义务，维护基金份额持有人的合法权益。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25" w:name="_Toc231975028"/>
      <w:r>
        <w:rPr>
          <w:rFonts w:ascii="Times New Roman" w:hAnsi="Times New Roman"/>
          <w:sz w:val="30"/>
        </w:rPr>
        <w:lastRenderedPageBreak/>
        <w:t>二十二、托管协议的内容摘要</w:t>
      </w:r>
      <w:bookmarkEnd w:id="25"/>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批准设立机关及批准设立文号：证监基金字[2005]128号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 2亿元人民币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 有限责任公司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联系人：郭佳敏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名称：中国工商银行股份有限公司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住所：北京市西城区复兴门内大街55号（100032）</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法定代表人：陈四清</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电话：（010）66105799</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传真：（010）66105798</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成立时间：1984年1月1日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注册资本：人民币35,640,625.71万元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批准设立机关和设立文号：国务院《关于中国人民银行专门行使中央银行职能的决定》（国发[1983]146号）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经营范围：办理人民币存款、贷款、同业拆借业务；国内外结算；办理票据承</w:t>
      </w:r>
      <w:r>
        <w:rPr>
          <w:rFonts w:ascii="宋体" w:hAnsi="宋体"/>
          <w:sz w:val="24"/>
        </w:rPr>
        <w:lastRenderedPageBreak/>
        <w:t>兑、贴现、转贴现、各类汇兑业务；代理资金清算；提供信用证服务及担保；代理销售业务；代理发行、代理承销、代理兑付政府债券；代收代付业务；代理证券投资基金清算业务（银证转账）；保险代理业务；代理政策性银行、外国政府和国际金融机构贷款业务；保管箱服务；发行金融债券；买卖政府债券、金融债券；证券投资基金、企业年金托管业务；企业年金受托管理服务；年金账户管理服务；开放式基金的注册登记、认购、申购和赎回业务；资信调查、咨询、见证业务；贷款承诺；企业、个人财务顾问服务；组织或参加银团贷款；外汇存款；外汇贷款；外币兑换；出口托收及进口代收；外汇票据承兑和贴现；外汇借款；外汇担保；发行、代理发行、买卖或代理买卖股票以外的外币有价证券；自营、代客外汇买卖；外汇金融衍生业务；银行卡业务；电话银行、网上银行、手机银行业务；办理结汇、售汇业务；经国务院银行业监督管理机构批准的其他业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本基金将投资于以下金融工具：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货币市场工具、债券回购、同业存单、银行存款（含协议存款、定期存款及其他银行存款）、资产支持证券、股指期货以及法律法规或中国证监会允许基金投资的其他金融工具（但须符合中国证监会相关规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如法律法规或监管机构以后允许基金投资其他品种，基金管理人在履行适当程序后，可以将其纳入投资范围。本基金不得投资于相关法律、法规、部门规章及《基金合同》禁止投资的投资工具。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1）按法律法规的规定及《基金合同》的约定，本基金的投资资产配置比例</w:t>
      </w:r>
      <w:r>
        <w:rPr>
          <w:rFonts w:ascii="宋体" w:hAnsi="宋体"/>
          <w:sz w:val="24"/>
        </w:rPr>
        <w:lastRenderedPageBreak/>
        <w:t>为：股票资产（含存托凭证）占基金资产的60%-95%，其中投资于港股通标的股票的比例占股票资产的0%-50%，本基金投资于持续成长主题相关股票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将拟投资的持续成长主题相关股票的股票库提供给基金托管人，基金管理人可以根据实际情况的变化，对上述股票库予以调整和更新，并通知基金托管人，基金托管人根据上述投资范围对基金的投资比例进行监督。</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2）根据法律法规的规定及《基金合同》的约定，本基金投资组合遵循以下投资限制：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a、股票资产（含存托凭证）占基金资产的60%-95%，其中投资于港股通标的股票的比例占股票资产的0%-50%，本基金投资于持续成长主题相关股票的比例不低于非现金基金资产的80%；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b、每个交易日日终在扣除股指期货合约需缴纳的交易保证金后，保持不低于基金资产净值5%的现金或者到期日在一年以内的政府债券，其中现金不包括结算备付金、存出保证金、应收申购款等；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c、本基金持有一家公司发行的证券（同一家公司在内地和香港同时上市的A+H股合计计算），其市值不超过基金资产净值的10%；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管理人管理并由本基金托管人托管的全部基金持有一家公司发行的证券（同一家公司在内地和香港同时上市的A+H股合计计算），不超过该证券的10%，完全按照有关指数的构成比例进行证券投资的基金品种可以不受此条款规定的比例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管理人管理并由本基金托管人托管的全部开放式基金（包括开放式基金以及处于开放期的定期开放基金）持有一家上市公司发行的可流通股票，不得超过该上市公司可流通股票的15%；本基金管理人管理并由本基金托管人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f、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g、本基金与私募类证券资管产品及中国证监会认定的其他主体为交易对手开展逆回购交易的，可接受质押品的资质要求应当与基金合同约定的投资范围保持一致；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h、本基金投资于同一原始权益人的各类资产支持证券的比例，不得超过基金资产净值的10%；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i、本基金持有的全部资产支持证券，其市值不得超过基金资产净值的20%；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j、本基金持有的同一（指同一信用级别）资产支持证券的比例，不得超过该资产支持证券规模的10%；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k、本基金管理人管理并由本基金托管人托管的全部基金投资于同一原始权益人的各类资产支持证券，不得超过其各类资产支持证券合计规模的10%；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l、本基金应投资于信用级别评级为BBB以上（含BBB）的资产支持证券。基金持有资产支持证券期间，如果其信用等级下降、不再符合投资标准，应在评级报告发布之日起3个月内予以全部卖出；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m、基金财产参与股票发行申购，本基金所申报的金额不超过本基金的总资产，本基金所申报的股票数量不超过拟发行股票公司本次发行股票的总量；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n、本基金进入全国银行间同业市场进行债券回购的资金余额不得超过基金资产净值的40%，本基金在全国银行间同业市场中的债券回购最长期限为1年，债券回购到期后不得展期；</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o、本基金若投资股指期货，则遵循以下投资比例限制：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i.本基金在任何交易日日终，持有的买入股指期货合约价值，不得超过基金资产净值的10%；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ii.本基金在任何交易日日终，持有的买入期货合约价值与有价证券市值之和，不得超过基金资产净值的95%。其中，有价证券指股票、债券（不含到期日在一年以内的政府债券）、资产支持证券、买入返售金融资产（不含质押式回购）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iii.本基金在任何交易日日终，持有的卖出期货合约价值不得超过基金持有的</w:t>
      </w:r>
      <w:r>
        <w:rPr>
          <w:rFonts w:ascii="宋体" w:hAnsi="宋体"/>
          <w:sz w:val="24"/>
        </w:rPr>
        <w:lastRenderedPageBreak/>
        <w:t>股票总市值的20%；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iv.本基金所持有的股票市值和买入、卖出股指期货合约价值，合计（轧差计算）应当符合基金合同关于股票投资比例的有关约定；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v.本基金在任何交易日内交易（不包括平仓）的股指期货合约的成交金额不得超过上一交易日基金资产净值的20%。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p、本基金的基金资产总值不得超过基金资产净值的140%；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q、本基金持有的同一流通受限证券，其公允价值不得超过基金资产净值的10%；</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r、本基金投资存托凭证的比例限制依照境内上市交易的股票执行。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但须与基金托管人协商一致后方可纳入基金托管人投资监督范围。《基金法》及其他有关法律法规或监管部门取消上述限制的，如适用于本基金，基金管理人在履行适当程序后，基金不受上述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3）法规允许的基金投资比例调整期限</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b项、第f项、第g项、第l项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应当符合基金合同的约定。基金托管人对基金的投资的监督与检查自基金合同生效之日起开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w:t>
      </w:r>
      <w:r>
        <w:rPr>
          <w:rFonts w:ascii="宋体" w:hAnsi="宋体"/>
          <w:sz w:val="24"/>
        </w:rPr>
        <w:lastRenderedPageBreak/>
        <w:t>理人在履行适当程序后，本基金可不受上述规定的限制。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（4）基金托管人依据有关法律法规的规定和《基金合同》的约定对基金管理人参与银行间债券市场进行监督。</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1）基金托管人按以下方式对基金管理人参与银行间市场交易的交易对手资信风险控制措施进行监督。</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向基金托管人提供符合法律法规及行业标准的银行间市场交易对手的名单。基金托管人在收到名单后2个工作日内回函确认收到该名单。基金管理人应定期或不定期对银行间市场现券及回购交易对手的名单进行更新，名单中增加或减少银行间市场交易对手时须提前书面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协议进行结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市场交易对手进行交易，应及时提醒基金管理人撤销交易，经提醒后基金管理人仍执行交易并造成基金资产损失的，基金托管人不承担责任，发生此种情形时，托管人有权报告中国证监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参与银行间市场交易的核心交易对手为中国工商银行、中国银行、中国建设银行、中国农业银行和交通银行，基金管理人在通知基金托管人后，可以根据当时的市场情况调整核心交易对手名单。基金管理人有责任建立完善的内部流程防范交易对手的资信风险，在与核心交易对手以外的交易对手进行交易时，由于交易对手资信风险引起的损失不由托管人承担。基金托管人的监督责任仅限于根据已提供的名单，审核交易对手是否在名单内列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（5）基金托管人对基金管理人选择存款银行进行监督。</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的信用风险主要包括存款银行的信用等级、存款银行的支付能力等涉及到存款银行选择方面的风险。本基金核心存款银行名单为中国工商银行、中国银行、中国建设银行、中国农业银行和交通银行，本基金投资除核心存款银行以外的银行存款出现由于存款银行信用风险而造成的损失时，该损失不由托管人承担。基金管理人在通知基金托管人后，可以根据当时的市场情况对于核心存款银行名单进行调整。基金托管人的监督责任仅限于根据已提供的名单，审核核心存款银行是否在名单内列明。</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（6）基金托管人对基金投资流通受限证券的监督</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1）基金投资流通受限证券，应遵守《关于基金投资非公开发行股票等流通受限证券有关问题的通知》规定。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投资流通受限证券前，基金管理人应向基金托管人提供符合法律法规要求的有关书面信息，包括但不限于拟发行证券主体的中国证监会批准文件、发行证券数量、发行价格、锁定期，基金拟认购的数量、价格、总成本、总成本占基金资产净值的比例、已持有流通受限证券市值占基金资产净值的比例、资金划付时间等。基金管理人应保证上述信息的真实、完整，并应至少于拟执行投资指令前两个工作日将上述信息书面发至基金托管人，保证基金托管人有足够的时间进行审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应按照《关于基金投资非公开发行股票等流通受限证券有关问题的通知》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否则，基金托管人有权拒绝执行有关指令。因拒绝执行该指令造成基金财产损失的，基金托管人不承担任何责任，并有权报告中国证监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w:t>
      </w:r>
      <w:r>
        <w:rPr>
          <w:rFonts w:ascii="宋体" w:hAnsi="宋体"/>
          <w:sz w:val="24"/>
        </w:rPr>
        <w:lastRenderedPageBreak/>
        <w:t>履行监督职责，导致基金出现风险，基金托管人应承担连带责任。</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基金托管协议及其他有关规定时，应及时以书面形式通知基金管理人限期纠正，基金管理人收到通知后应在下一个工作日及时核对，并以书面形式向基金托管人发出回函，进行解释或举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基金托管人有义务要求基金管理人赔偿因其违反《基金合同》而致使投资者遭受的损失。</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依据交易程序尚未成交的且基金托管人在交易前能够监控的投资指令，基金托管人发现该投资指令违反有关法律法规规定或者违反《基金合同》约定的，应当拒绝执行，立即通知基金管理人，并向中国证监会报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对于必须于估值完成后方可获知的监控指标或依据交易程序已经成交的投资指令，基金托管人发现该投资指令违反法律法规或者违反《基金合同》约定的，应当立即通知基金管理人，并报告中国证监会。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律法规要求需向中国证监会报送基金监督报告的，基金管理人应积极配合提供相关数据资料和制度等。</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w:t>
      </w:r>
      <w:r>
        <w:rPr>
          <w:rFonts w:ascii="宋体" w:hAnsi="宋体"/>
          <w:sz w:val="24"/>
        </w:rPr>
        <w:lastRenderedPageBreak/>
        <w:t>基金托管人安全保管基金财产、开设基金财产的资金账户、证券账户、协助开立股指期货业务相关账户及交易编码、复核基金管理人计算的基金资产净值和各类基金份额净值、根据基金管理人指令办理清算交收、相关信息披露和监督基金投资运作等行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无故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的，基金管理人应报告中国证监会。基金管理人有义务要求基金托管人赔偿基金因此所遭受的损失。</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（2）基金托管人应安全保管基金财产。未经基金管理人的正当指令，不得自行运用、处分、分配基金的任何财产。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（3）基金托管人按照规定开设基金财产的资金账户、证券账户，协助开立股指期货业务相关账户及交易编码。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（5）对于因基金认（申）购、基金投资过程中产生的应收财产，应由基金管</w:t>
      </w:r>
      <w:r>
        <w:rPr>
          <w:rFonts w:ascii="宋体" w:hAnsi="宋体"/>
          <w:sz w:val="24"/>
        </w:rPr>
        <w:lastRenderedPageBreak/>
        <w:t>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对此不承担责任。</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（6）除依据法律法规和基金合同的规定外，基金托管人不得委托第三人托管基金财产。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2、基金的银行账户的开立和管理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基金托管人以基金托管人的名义在其营业机构开设资产托管专户，保管基金的银行存款。该账户的开设和管理由基金托管人承担。本基金的一切货币收支活动，均需通过基金托管人的资产托管专户进行。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资产托管专户的开立和使用，限于满足开展本基金业务的需要。基金托管人和基金管理人不得假借本基金的名义开立其他任何银行账户；亦不得使用基金的任何银行账户进行本基金业务以外的活动。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资产托管专户的管理应符合《人民币银行结算账户管理办法》、《现金管理暂行条例》、《人民币利率管理规定》、《利率管理暂行规定》、《支付结算办法》以及银行业监督管理机构的其他规定。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3、基金证券账户与证券交易资金账户的开设和管理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基金托管人以基金托管人和本基金联名的方式在中国证券登记结算有限责任公司上海分公司/深圳分公司开设证券账户。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4、债券托管账户的开立和管理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基金的名义申请并取得进入全国银行间同业拆借市场的交易资格，并代表基金进行交易；基金托管人负责以基金的名义在中央国债登记结算有限责任公司开设银行间债券市场债券托管自营账户，并由基金托管人负责基金的债券的后台匹配及资金的清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2）基金管理人和基金托管人应一起负责为基金对外签订全国银行间债券市场</w:t>
      </w:r>
      <w:r>
        <w:rPr>
          <w:rFonts w:ascii="宋体" w:hAnsi="宋体"/>
          <w:sz w:val="24"/>
        </w:rPr>
        <w:lastRenderedPageBreak/>
        <w:t>回购主协议，正本由基金托管人保管，基金管理人保存副本。</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5、其他账户的开设和管理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订立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6、基金财产投资的有关实物证券、银行定期存款存单等有价凭证的保管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中国证券登记结算有限责任公司上海分公司/深圳分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或保管的证券不承担保管责任。</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7、与基金财产有关的重大合同的保管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应由基金托管人、基金管理人保管。除本协议另有规定外，基金管理人在代表基金签署与基金有关的重大合同时应保证基金一方持有两份以上的正本，以便基金管理人和基金托管人至少各持有一份正本的原件。基金管理人在合同签署后5个工作日内通过专人送达、挂号邮寄等安全方式将合同原件送达基金托管人处。合同原件应存放于基金管理人和基金托管人各自文件保管部门，保存期限不低于法律法规规定的最低期限。</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（五）基金资产净值计算和会计复核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各类基金份额的基金份额净值是指计算日该类基金份额的基金资产净值除以该计算日该类基金份额总份额后的数值。各类基金份额的基金份额净值的计算均保留到小数点后4位，小数点后第5位四舍五入，由此产生的误差计入基金财产。基金管理人可以设立大额赎回情形下的净值精度应急调整机制，具体可参见相关公告。国家另有规定的，从其规定。</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基金管理人应每工作日对基金资产估值。估值原则应符合《基金合同》、《证券投资基金会计核算业务指引》及其他法律、法规的规定。各类基金份额的基金资产</w:t>
      </w:r>
      <w:r>
        <w:rPr>
          <w:rFonts w:ascii="宋体" w:hAnsi="宋体"/>
          <w:sz w:val="24"/>
        </w:rPr>
        <w:lastRenderedPageBreak/>
        <w:t>净值和基金份额净值由基金管理人负责计算，基金托管人复核。基金管理人应于每个工作日交易结束后计算当日各类基金份额的基金资产净值和基金份额净值并以双方认可的方式发送给基金托管人。基金托管人对净值计算结果复核后以双方认可的方式发送给基金管理人，由基金管理人对基金净值予以公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各类基金份额的基金资产净值和基金份额净值，基金托管人复核、审查基金管理人计算的各类基金份额的基金资产净值和基金份额净值。因此，本基金的会计责任方是基金管理人，就与本基金有关的会计问题，如经相关各方在平等基础上充分讨论后，仍无法达成一致的意见，按照基金管理人对各类基金份额的基金资产净值和基金份额净值的计算结果对外予以公布。法律法规以及监管部门有强制规定的，从其规定。如有新增事项，按国家最新规定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b、交易所市场上市交易或挂牌转让的固定收益品种（另有规定的除外），选取估值日第三方估值机构提供的相应品种当日的估值净价进行估值；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交易所市场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w:t>
      </w:r>
      <w:r>
        <w:rPr>
          <w:rFonts w:ascii="宋体" w:hAnsi="宋体"/>
          <w:sz w:val="24"/>
        </w:rPr>
        <w:lastRenderedPageBreak/>
        <w:t>易市价，确定公允价格；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d、交易所上市实行全价交易的债券（可转债除外），选取第三方估值机构提供的估值全价减去估值全价中所含的债券（税后）应收利息得到的净价进行估值；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e、交易所上市不存在活跃市场的有价证券，采用估值技术确定公允价值。交易所市场挂牌转让的资产支持证券，采用估值技术确定公允价值；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2）证券交易所发行未上市期间的有价证券应区分如下情况处理：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a、送股、转增股、配股和公开增发的新股，按估值日在证券交易所挂牌的同一股票的估值方法估值；该日无交易的，以最近一日的市价（收盘价）估值；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b、首次公开发行未上市的股票和债券，采用估值技术确定公允价值，在估值技术难以可靠计量公允价值的情况下，按成本估值；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5）同一证券同时在两个或两个以上市场交易的，按证券所处的市场分别估</w:t>
      </w:r>
      <w:r>
        <w:rPr>
          <w:rFonts w:ascii="宋体" w:hAnsi="宋体"/>
          <w:sz w:val="24"/>
        </w:rPr>
        <w:lastRenderedPageBreak/>
        <w:t>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估值计算中涉及港币对人民币汇率的，将依据下列信息提供机构所提供的汇率为基准：当日中国人民银行或其授权机构公布的人民币汇率中间价。</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6）摆动定价机制：当发生大额申购或赎回情形时，基金管理人可以对本基金采用摆动定价机制，以确保基金估值的公平性。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8）如有确凿证据表明按上述方法进行估值不能客观反映其公允价值的，基金管理人可根据具体情况与基金托管人商定后，按最能反映公允价值的方法估值。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3、估值差错处理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因基金估值错误给投资者造成损失的应先由基金管理人承担，基金管理人对不应由其承担的责任，有权向过错人追偿。</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基金份额净值已由基金托管人复核确认后公告的，由此造成的投资者或基金的损失，应根据法律法规的规定对投资者或基金支付赔偿金，就实际向投资者或基金支付的赔偿金额，由基金管理人与基金托管人按照管理费率和托管费率的比例各自承担相应的责任。</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基金管理人或基金托管人按估值方法的第8）项进行估值时，所造成的误差不作为基金资产估值错误处理。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由于一方当事人提供的信息错误，另一方当事人在采取了必要合理的措施后仍不能发现该错误，进而导致基金资产净值、基金份额净值计算错误造成投资者或基金的损失，以及由此造成以后交易日基金资产净值、基金份额净值计算顺延错误而引起的投资者或基金的损失，由提供错误信息的当事人一方负责赔偿。</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证券、期货交易所、证券经纪机构、期货公司及其登记结算公司发送的数据错误，或由于其他不可抗力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与基金托管人的计算结果不一致时，相关各方应本着勤勉尽责的态度重新计算核对，如果最后仍无法达成一致，应以基金管理人的计算结果为准对外公布，由此造成的损失以及因该交易日基金资产净值计算顺延错误而引起的损失由基金管理人承担赔偿责任，基金托管人不负赔偿责任。</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4、基金账册的建立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5、基金定期报告的编制和复核</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生效后，基金招募说明书、基金产品资料概要的信息发生重大变更的，基金管理人应当在三个工作日内，更新基金招募说明书和基金产品资料概要并登载在规定网站上；基金招募说明书、基金产品资料概要其他信息发生变更的，基金管理人至少每年更新一次。基金终止运作的，基金管理人不再更新基金招募说明书、基金产品资料概要。基金管理人在季度结束之日起15个工作日内完成季</w:t>
      </w:r>
      <w:r>
        <w:rPr>
          <w:rFonts w:ascii="宋体" w:hAnsi="宋体"/>
          <w:sz w:val="24"/>
        </w:rPr>
        <w:lastRenderedPageBreak/>
        <w:t>度报告编制并公告；在上半年终了后两个月内完成中期报告编制并公告；在每年结束后三个月内完成年度报告编制并公告。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告完成当日，对报告加盖公章后，以加密传真方式将有关报告提供基金托管人复核；基金托管人在3个工作日内进行复核，并将复核结果及时书面通知基金管理人。基金管理人在季度报告完成当日，将有关报告提供基金托管人复核，基金托管人在收到后7个工作日内进行复核，并将复核结果书面通知基金管理人。基金管理人在中期报告完成当日，将有关报告提供基金托管人复核，基金托管人在收到后30日内进行复核，并将复核结果书面通知基金管理人。基金管理人在年度报告完成当日，将有关报告提供基金托管人复核，基金托管人在收到后45日内复核，并将复核结果书面通知基金管理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相关各方的报表存在不符时，基金管理人和基金托管人应共同查明原因，进行调整，调整以相关各方认可的账务处理方式为准。核对无误后，基金托管人在基金管理人提供的报告上加盖业务印鉴或者出具加盖托管业务部门公章的复核意见书，相关各方各自留存一份。如果基金管理人与基金托管人不能于应当发布公告之日之前就相关报表达成一致，基金管理人有权按照其编制的报表对外发布公告，基金托管人有权就相关情况报证监会备案。</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基金托管人在对财务会计报告、中期报告或年度报告复核完毕后，需盖章确认或出具相应的复核确认书，以备有权机构对相关文件审核时提示。</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须分别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基金登记机构根据基金管理人的指令编制和保管，基金份额登记机构的保存期限自基金账户销户之日起不得少于20年。基金管理人和基金托管人应按照目前相关规则分别保管基金份额持有人名册。保管方式可以采用电子或文档的形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向基金托管人提交下列日期的基金份额持有人名册：《基金合同》生效日、《基金合同》终止日、基金份额持有人大会权益登记日、每年6月30日、每年12月31日的基金份额持有人名册。基金份额持有人名册的内容必须包括</w:t>
      </w:r>
      <w:r>
        <w:rPr>
          <w:rFonts w:ascii="宋体" w:hAnsi="宋体"/>
          <w:sz w:val="24"/>
        </w:rPr>
        <w:lastRenderedPageBreak/>
        <w:t>基金份额持有人的名称和持有的基金份额。其中每年12月31日的基金份额持有人名册应于下月前十个工作日内提交；《基金合同》生效日、《基金合同》终止日等涉及到基金重要事项日期的基金份额持有人名册应于发生日后十个工作日内提交。</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电子版形式妥善保管基金份额持有人名册，并定期刻成光盘备份，保存期限不低于法律法规规定的最低期限。基金托管人不得将所保管的基金份额持有人名册用于基金托管业务以外的其他用途，并应遵守保密义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各方当事人同意，因本协议而产生的或与本协议有关的一切争议，除经友好协商可以解决的，应提交中国国际经济贸易仲裁委员会，根据该会届时有效的仲裁规则进行仲裁，仲裁的地点在北京市。仲裁裁决是终局性的，并对相关各方均有约束力，除非仲裁裁决另有规定，仲裁费用由败诉方承担。</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争议处理期间，相关各方当事人应恪守基金管理人和基金托管人职责，继续忠实、勤勉、尽责地履行《基金合同》和托管协议规定的义务，维护基金份额持有人的合法权益。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本协议受中国法律（不含港澳台地区法律）管辖。</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本协议双方当事人经协商一致，可以对协议的内容进行变更。变更后的托管协议，其内容不得与《基金合同》的规定有任何冲突。基金托管协议的变更报中国证监会备案。</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（2）基金托管人解散、依法被撤销、破产或有其他基金托管人接管基金资产；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（3）基金管理人解散、依法被撤销、破产或有其他基金管理人接管基金管理权；</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（4）发生法律法规、中国证监会或《基金合同》规定的终止事项。</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38338B" w:rsidRDefault="003762A4">
      <w:pPr>
        <w:pStyle w:val="1"/>
        <w:snapToGrid w:val="0"/>
        <w:spacing w:beforeLines="0" w:before="240" w:after="240"/>
        <w:rPr>
          <w:rFonts w:ascii="宋体" w:hAnsi="宋体"/>
          <w:szCs w:val="30"/>
        </w:rPr>
      </w:pPr>
      <w:bookmarkStart w:id="26" w:name="_Toc231975029"/>
      <w:r>
        <w:rPr>
          <w:rFonts w:ascii="Times New Roman" w:hAnsi="Times New Roman"/>
          <w:sz w:val="30"/>
        </w:rPr>
        <w:lastRenderedPageBreak/>
        <w:t>二十三、对基金份额持有人的服务</w:t>
      </w:r>
      <w:bookmarkEnd w:id="26"/>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A类基金份额和C类基金份额的申购、赎回、转换、定期定额投资等业务。通过网上直销交易平台办理本基金A类基金份额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（四）基金转换业务</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27" w:name="_Toc231975030"/>
      <w:r>
        <w:rPr>
          <w:rFonts w:ascii="Times New Roman" w:hAnsi="Times New Roman"/>
          <w:sz w:val="30"/>
        </w:rPr>
        <w:lastRenderedPageBreak/>
        <w:t>二十四、其他应披露事项</w:t>
      </w:r>
      <w:bookmarkEnd w:id="27"/>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交银施罗德持续成长主题混合型证券投资基金招募说明书更新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交银施罗德持续成长主题混合型证券投资基金（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交银施罗德持续成长主题混合型证券投资基金（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交银施罗德持续成长主题混合型证券投资基金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交银施罗德持续成长主题混合型证券投资基金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交银施罗德基金管理有限公司关于增加宁波银行股份有限公司为旗下基金的销售机构的公告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2025-09-01</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交银施罗德基金管理有限公司关于增加上海联泰基金销售有限公司为旗下基金的销售机构的公告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2025-09-02</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交银施罗德持续成长主题混合型证券投资基金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交银施罗德基金管理有限公司关于终止方正中期期货有限公司办理相关销售业务的公告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2025-11-14</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交银施罗德持续成长主题混合型证券投资基金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交银施罗德持续成长主题混合型证券投资基金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38338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交银施罗德持续成长主题混合型证券投资基金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8338B" w:rsidRDefault="00376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28" w:name="_Toc231975031"/>
      <w:r>
        <w:rPr>
          <w:rFonts w:ascii="Times New Roman" w:hAnsi="Times New Roman"/>
          <w:sz w:val="30"/>
        </w:rPr>
        <w:lastRenderedPageBreak/>
        <w:t>二十五、招募说明书的存放及查阅方式</w:t>
      </w:r>
      <w:bookmarkEnd w:id="28"/>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376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8338B" w:rsidRDefault="003762A4">
      <w:pPr>
        <w:pStyle w:val="1"/>
        <w:snapToGrid w:val="0"/>
        <w:spacing w:beforeLines="0" w:before="240" w:after="240"/>
        <w:rPr>
          <w:rFonts w:ascii="宋体" w:hAnsi="宋体"/>
          <w:szCs w:val="30"/>
        </w:rPr>
      </w:pPr>
      <w:bookmarkStart w:id="29" w:name="_Toc231975032"/>
      <w:r>
        <w:rPr>
          <w:rFonts w:ascii="Times New Roman" w:hAnsi="Times New Roman"/>
          <w:sz w:val="30"/>
        </w:rPr>
        <w:lastRenderedPageBreak/>
        <w:t>二十六、备查文件</w:t>
      </w:r>
      <w:bookmarkEnd w:id="29"/>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（一）中国证监会准予交银施罗德持续成长主题混合型证券投资基金募集注册的文件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（二）中国证监会准予交银施罗德持续成长主题混合型证券投资基金变更注册的文件</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（三）《交银施罗德持续成长主题混合型证券投资基金基金合同》</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（四）《交银施罗德持续成长主题混合型证券投资基金托管协议》</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（五）基金管理人业务资格批件、营业执照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（六）基金托管人业务资格批件、营业执照</w:t>
      </w:r>
    </w:p>
    <w:p w:rsidR="0038338B" w:rsidRDefault="00376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（七）法律意见书</w:t>
      </w:r>
    </w:p>
    <w:sectPr w:rsidR="0038338B">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1047" w:rsidRDefault="003762A4">
      <w:r>
        <w:separator/>
      </w:r>
    </w:p>
  </w:endnote>
  <w:endnote w:type="continuationSeparator" w:id="0">
    <w:p w:rsidR="00C51047" w:rsidRDefault="00376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38B" w:rsidRDefault="0038338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38B" w:rsidRDefault="00AD79FF">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38338B" w:rsidRDefault="003762A4">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AD79FF">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38B" w:rsidRDefault="0038338B">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38B" w:rsidRDefault="00AD79FF">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38338B" w:rsidRDefault="003762A4">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AD79FF">
                  <w:rPr>
                    <w:rFonts w:ascii="Times New Roman" w:hAnsi="Times New Roman"/>
                    <w:noProof/>
                    <w:kern w:val="0"/>
                    <w:sz w:val="18"/>
                    <w:szCs w:val="18"/>
                  </w:rPr>
                  <w:t>168</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1047" w:rsidRDefault="003762A4">
      <w:r>
        <w:separator/>
      </w:r>
    </w:p>
  </w:footnote>
  <w:footnote w:type="continuationSeparator" w:id="0">
    <w:p w:rsidR="00C51047" w:rsidRDefault="003762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38B" w:rsidRDefault="0038338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38B" w:rsidRDefault="003762A4">
    <w:pPr>
      <w:pStyle w:val="a3"/>
      <w:jc w:val="right"/>
      <w:rPr>
        <w:rFonts w:ascii="宋体" w:hAnsi="宋体"/>
      </w:rPr>
    </w:pPr>
    <w:r>
      <w:rPr>
        <w:rFonts w:ascii="宋体" w:hAnsi="宋体" w:hint="eastAsia"/>
      </w:rPr>
      <w:t>交银施罗德持续成长主题混合型证券投资基金招募说明书更新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38B" w:rsidRDefault="0038338B">
    <w:pPr>
      <w:pStyle w:val="10"/>
      <w:jc w:val="right"/>
    </w:pPr>
  </w:p>
  <w:p w:rsidR="0038338B" w:rsidRDefault="0038338B">
    <w:pPr>
      <w:pStyle w:val="10"/>
      <w:jc w:val="right"/>
    </w:pPr>
  </w:p>
  <w:p w:rsidR="0038338B" w:rsidRDefault="0038338B">
    <w:pPr>
      <w:pStyle w:val="a3"/>
      <w:jc w:val="right"/>
    </w:pPr>
  </w:p>
  <w:p w:rsidR="0038338B" w:rsidRDefault="003762A4">
    <w:pPr>
      <w:pStyle w:val="a3"/>
      <w:jc w:val="right"/>
      <w:rPr>
        <w:rFonts w:ascii="宋体" w:hAnsi="宋体"/>
      </w:rPr>
    </w:pPr>
    <w:r>
      <w:rPr>
        <w:rFonts w:ascii="宋体" w:hAnsi="宋体" w:hint="eastAsia"/>
      </w:rPr>
      <w:t>交银施罗德持续成长主题混合型证券投资基金招募说明书更新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38B" w:rsidRDefault="0038338B">
    <w:pPr>
      <w:pStyle w:val="a3"/>
      <w:jc w:val="right"/>
    </w:pPr>
  </w:p>
  <w:p w:rsidR="0038338B" w:rsidRDefault="0038338B">
    <w:pPr>
      <w:pStyle w:val="a3"/>
      <w:jc w:val="right"/>
    </w:pPr>
  </w:p>
  <w:p w:rsidR="0038338B" w:rsidRDefault="0038338B">
    <w:pPr>
      <w:pStyle w:val="a3"/>
      <w:jc w:val="right"/>
    </w:pPr>
  </w:p>
  <w:p w:rsidR="0038338B" w:rsidRDefault="003762A4">
    <w:pPr>
      <w:pStyle w:val="a3"/>
      <w:jc w:val="right"/>
      <w:rPr>
        <w:rFonts w:ascii="宋体" w:hAnsi="宋体"/>
      </w:rPr>
    </w:pPr>
    <w:r>
      <w:rPr>
        <w:rFonts w:ascii="宋体" w:hAnsi="宋体" w:hint="eastAsia"/>
      </w:rPr>
      <w:t>交银施罗德持续成长主题混合型证券投资基金招募说明书更新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762A4"/>
    <w:rsid w:val="0038254F"/>
    <w:rsid w:val="003828EC"/>
    <w:rsid w:val="0038338B"/>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D79FF"/>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1047"/>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693A4406-E69C-4960-9E65-9588FF66D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169</Pages>
  <Words>17702</Words>
  <Characters>100902</Characters>
  <Application>Microsoft Office Word</Application>
  <DocSecurity>0</DocSecurity>
  <Lines>840</Lines>
  <Paragraphs>236</Paragraphs>
  <ScaleCrop>false</ScaleCrop>
  <Company>Microsoft</Company>
  <LinksUpToDate>false</LinksUpToDate>
  <CharactersWithSpaces>118368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2026-06-10T01:09:00Z</dcterms:created>
  <dcterms:modified xsi:type="dcterms:W3CDTF">2026-06-10T01:09:00Z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