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86049">
      <w:pPr>
        <w:rPr>
          <w:sz w:val="32"/>
        </w:rPr>
      </w:pPr>
    </w:p>
    <w:p w:rsidR="00C92FC0" w:rsidRPr="00EB07BC" w:rsidRDefault="00586049">
      <w:pPr>
        <w:rPr>
          <w:sz w:val="32"/>
        </w:rPr>
      </w:pPr>
    </w:p>
    <w:p w:rsidR="00C92FC0" w:rsidRPr="00EB07BC" w:rsidRDefault="00586049">
      <w:pPr>
        <w:rPr>
          <w:sz w:val="32"/>
        </w:rPr>
      </w:pPr>
    </w:p>
    <w:p w:rsidR="00C607A0" w:rsidRDefault="00C607A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607A0" w:rsidRDefault="00C607A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607A0" w:rsidRDefault="00C607A0">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607A0" w:rsidRDefault="00D32A9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交银施罗德多策略回报灵活配置混合型证券投资基金</w:t>
      </w:r>
    </w:p>
    <w:p w:rsidR="00C607A0" w:rsidRDefault="00D32A9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607A0" w:rsidRDefault="00C607A0">
      <w:pPr>
        <w:snapToGrid w:val="0"/>
        <w:spacing w:line="360" w:lineRule="auto"/>
        <w:jc w:val="center"/>
        <w:rPr>
          <w:rFonts w:ascii="宋体" w:hAnsi="宋体"/>
          <w:b/>
          <w:sz w:val="30"/>
          <w:szCs w:val="30"/>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D32A9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607A0" w:rsidRDefault="00D32A9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C607A0">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607A0" w:rsidRDefault="00D32A9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C607A0" w:rsidRDefault="00C607A0">
      <w:pPr>
        <w:autoSpaceDE w:val="0"/>
        <w:autoSpaceDN w:val="0"/>
        <w:adjustRightInd w:val="0"/>
        <w:snapToGrid w:val="0"/>
        <w:spacing w:line="360" w:lineRule="auto"/>
        <w:ind w:left="1347" w:rightChars="6" w:right="13"/>
        <w:rPr>
          <w:rFonts w:ascii="宋体" w:hAnsi="宋体"/>
          <w:kern w:val="0"/>
          <w:sz w:val="32"/>
          <w:szCs w:val="32"/>
        </w:rPr>
        <w:sectPr w:rsidR="00C607A0">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607A0" w:rsidRDefault="00D32A9A">
      <w:pPr>
        <w:pStyle w:val="1"/>
        <w:snapToGrid w:val="0"/>
        <w:spacing w:beforeLines="0" w:before="240" w:after="240"/>
        <w:rPr>
          <w:rFonts w:ascii="宋体" w:hAnsi="宋体"/>
          <w:kern w:val="0"/>
        </w:rPr>
      </w:pPr>
      <w:bookmarkStart w:id="0" w:name="_Toc324920538"/>
      <w:bookmarkStart w:id="1" w:name="_Toc496884613"/>
      <w:bookmarkStart w:id="2" w:name="_Toc231995025"/>
      <w:r>
        <w:rPr>
          <w:rFonts w:ascii="Times New Roman" w:hAnsi="Times New Roman"/>
          <w:kern w:val="0"/>
        </w:rPr>
        <w:lastRenderedPageBreak/>
        <w:t>重要提示</w:t>
      </w:r>
      <w:bookmarkEnd w:id="0"/>
      <w:bookmarkEnd w:id="1"/>
      <w:bookmarkEnd w:id="2"/>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交银施罗德多策略回报灵活配置混合型证券投资基金（以下简称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873</w:t>
      </w:r>
      <w:r>
        <w:rPr>
          <w:rFonts w:ascii="Times New Roman" w:hAnsi="Times New Roman"/>
          <w:kern w:val="0"/>
          <w:sz w:val="24"/>
        </w:rPr>
        <w:t>号文准予募集注册。本基金基金合同于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日正式生效。</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607A0" w:rsidRDefault="00D32A9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C607A0" w:rsidRDefault="00C607A0">
      <w:pPr>
        <w:autoSpaceDE w:val="0"/>
        <w:autoSpaceDN w:val="0"/>
        <w:adjustRightInd w:val="0"/>
        <w:snapToGrid w:val="0"/>
        <w:spacing w:before="51" w:line="360" w:lineRule="auto"/>
        <w:ind w:left="120" w:rightChars="6" w:right="13" w:firstLine="480"/>
        <w:rPr>
          <w:rFonts w:ascii="宋体" w:hAnsi="宋体"/>
          <w:kern w:val="0"/>
          <w:szCs w:val="24"/>
        </w:rPr>
        <w:sectPr w:rsidR="00C607A0">
          <w:headerReference w:type="default" r:id="rId14"/>
          <w:pgSz w:w="11920" w:h="16840"/>
          <w:pgMar w:top="1440" w:right="1680" w:bottom="280" w:left="1680" w:header="0" w:footer="1073" w:gutter="0"/>
          <w:pgNumType w:start="1"/>
          <w:cols w:space="720"/>
        </w:sectPr>
      </w:pPr>
    </w:p>
    <w:p w:rsidR="00586049" w:rsidRPr="00586049" w:rsidRDefault="00D32A9A" w:rsidP="00586049">
      <w:pPr>
        <w:pStyle w:val="ad"/>
        <w:snapToGrid w:val="0"/>
        <w:spacing w:after="240" w:line="360" w:lineRule="auto"/>
        <w:jc w:val="center"/>
        <w:rPr>
          <w:rFonts w:ascii="宋体" w:hAnsi="宋体"/>
          <w:noProof/>
          <w:sz w:val="24"/>
        </w:rPr>
      </w:pPr>
      <w:r w:rsidRPr="00586049">
        <w:rPr>
          <w:rFonts w:ascii="宋体" w:hAnsi="宋体"/>
          <w:color w:val="000000"/>
          <w:position w:val="-4"/>
          <w:sz w:val="24"/>
          <w:szCs w:val="30"/>
        </w:rPr>
        <w:lastRenderedPageBreak/>
        <w:t>目</w:t>
      </w:r>
      <w:r w:rsidRPr="00586049">
        <w:rPr>
          <w:rFonts w:ascii="宋体" w:hAnsi="宋体"/>
          <w:color w:val="000000"/>
          <w:position w:val="-4"/>
          <w:sz w:val="24"/>
          <w:szCs w:val="30"/>
        </w:rPr>
        <w:tab/>
        <w:t>录</w:t>
      </w:r>
      <w:r w:rsidR="00586049" w:rsidRPr="00586049">
        <w:rPr>
          <w:rFonts w:ascii="宋体" w:hAnsi="宋体"/>
          <w:color w:val="000000"/>
          <w:position w:val="-4"/>
          <w:sz w:val="24"/>
          <w:szCs w:val="30"/>
        </w:rPr>
        <w:fldChar w:fldCharType="begin"/>
      </w:r>
      <w:r w:rsidR="00586049" w:rsidRPr="00586049">
        <w:rPr>
          <w:rFonts w:ascii="宋体" w:hAnsi="宋体"/>
          <w:color w:val="000000"/>
          <w:position w:val="-4"/>
          <w:sz w:val="24"/>
          <w:szCs w:val="30"/>
        </w:rPr>
        <w:instrText xml:space="preserve"> TOC \o "1-3" \f - \h \t "-1" </w:instrText>
      </w:r>
      <w:r w:rsidR="00586049" w:rsidRPr="00586049">
        <w:rPr>
          <w:rFonts w:ascii="宋体" w:hAnsi="宋体"/>
          <w:color w:val="000000"/>
          <w:position w:val="-4"/>
          <w:sz w:val="24"/>
          <w:szCs w:val="30"/>
        </w:rPr>
        <w:fldChar w:fldCharType="separate"/>
      </w:r>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25" w:history="1">
        <w:r w:rsidRPr="00586049">
          <w:rPr>
            <w:rStyle w:val="aa"/>
            <w:rFonts w:ascii="宋体" w:hAnsi="宋体" w:hint="eastAsia"/>
            <w:noProof/>
            <w:kern w:val="0"/>
            <w:sz w:val="24"/>
          </w:rPr>
          <w:t>重要提示</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_Toc231995025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26" w:history="1">
        <w:r w:rsidRPr="00586049">
          <w:rPr>
            <w:rStyle w:val="aa"/>
            <w:rFonts w:ascii="宋体" w:hAnsi="宋体" w:hint="eastAsia"/>
            <w:noProof/>
            <w:sz w:val="24"/>
          </w:rPr>
          <w:t>一、绪言</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_Toc231995026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4</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27" w:history="1">
        <w:r w:rsidRPr="00586049">
          <w:rPr>
            <w:rStyle w:val="aa"/>
            <w:rFonts w:ascii="宋体" w:hAnsi="宋体" w:hint="eastAsia"/>
            <w:noProof/>
            <w:sz w:val="24"/>
          </w:rPr>
          <w:t>二、释义</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_Toc231995027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5</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28" w:history="1">
        <w:r w:rsidRPr="00586049">
          <w:rPr>
            <w:rStyle w:val="aa"/>
            <w:rFonts w:ascii="宋体" w:hAnsi="宋体" w:hint="eastAsia"/>
            <w:noProof/>
            <w:sz w:val="24"/>
          </w:rPr>
          <w:t>三、基金管理人</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_Toc231995028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9</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29" w:history="1">
        <w:r w:rsidRPr="00586049">
          <w:rPr>
            <w:rStyle w:val="aa"/>
            <w:rFonts w:ascii="宋体" w:hAnsi="宋体" w:hint="eastAsia"/>
            <w:noProof/>
            <w:sz w:val="24"/>
          </w:rPr>
          <w:t>四、基金托管人</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_Toc231995029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17</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0" w:history="1">
        <w:r w:rsidRPr="00586049">
          <w:rPr>
            <w:rStyle w:val="aa"/>
            <w:rFonts w:ascii="宋体" w:hAnsi="宋体" w:hint="eastAsia"/>
            <w:noProof/>
            <w:sz w:val="24"/>
          </w:rPr>
          <w:t>五、相关服务机构</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_Toc231995030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20</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1" w:history="1">
        <w:r w:rsidRPr="00586049">
          <w:rPr>
            <w:rStyle w:val="aa"/>
            <w:rFonts w:ascii="宋体" w:hAnsi="宋体" w:hint="eastAsia"/>
            <w:noProof/>
            <w:sz w:val="24"/>
          </w:rPr>
          <w:t>六、基金的历史沿革</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_Toc231995031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51</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2" w:history="1">
        <w:r w:rsidRPr="00586049">
          <w:rPr>
            <w:rStyle w:val="aa"/>
            <w:rFonts w:ascii="宋体" w:hAnsi="宋体" w:hint="eastAsia"/>
            <w:noProof/>
            <w:sz w:val="24"/>
          </w:rPr>
          <w:t>七、基金合同的生效</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_Toc231995032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52</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3" w:history="1">
        <w:r w:rsidRPr="00586049">
          <w:rPr>
            <w:rStyle w:val="aa"/>
            <w:rFonts w:ascii="宋体" w:hAnsi="宋体" w:hint="eastAsia"/>
            <w:noProof/>
            <w:sz w:val="24"/>
          </w:rPr>
          <w:t>八、基金份额的申购与赎回</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_Toc231995033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53</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4" w:history="1">
        <w:r w:rsidRPr="00586049">
          <w:rPr>
            <w:rStyle w:val="aa"/>
            <w:rFonts w:ascii="宋体" w:hAnsi="宋体" w:hint="eastAsia"/>
            <w:noProof/>
            <w:sz w:val="24"/>
          </w:rPr>
          <w:t>九、基金的转换</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_Toc231995034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67</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5" w:history="1">
        <w:r w:rsidRPr="00586049">
          <w:rPr>
            <w:rStyle w:val="aa"/>
            <w:rFonts w:ascii="宋体" w:hAnsi="宋体" w:hint="eastAsia"/>
            <w:noProof/>
            <w:sz w:val="24"/>
          </w:rPr>
          <w:t>十、基金的投资</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_Toc231995035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74</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6" w:history="1">
        <w:r w:rsidRPr="00586049">
          <w:rPr>
            <w:rStyle w:val="aa"/>
            <w:rFonts w:ascii="宋体" w:hAnsi="宋体" w:hint="eastAsia"/>
            <w:noProof/>
            <w:sz w:val="24"/>
          </w:rPr>
          <w:t>十一、基金的业绩</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_Toc231995036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86</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7" w:history="1">
        <w:r w:rsidRPr="00586049">
          <w:rPr>
            <w:rStyle w:val="aa"/>
            <w:rFonts w:ascii="宋体" w:hAnsi="宋体" w:hint="eastAsia"/>
            <w:noProof/>
            <w:sz w:val="24"/>
          </w:rPr>
          <w:t>十二、基金的财产</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_Toc231995037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89</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8" w:history="1">
        <w:r w:rsidRPr="00586049">
          <w:rPr>
            <w:rStyle w:val="aa"/>
            <w:rFonts w:ascii="宋体" w:hAnsi="宋体" w:hint="eastAsia"/>
            <w:noProof/>
            <w:sz w:val="24"/>
          </w:rPr>
          <w:t>十三、基金资产的估值</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_Toc231995038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90</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39" w:history="1">
        <w:r w:rsidRPr="00586049">
          <w:rPr>
            <w:rStyle w:val="aa"/>
            <w:rFonts w:ascii="宋体" w:hAnsi="宋体" w:hint="eastAsia"/>
            <w:noProof/>
            <w:sz w:val="24"/>
          </w:rPr>
          <w:t>十四、基金收益与分配</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_Toc231995039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95</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0" w:history="1">
        <w:r w:rsidRPr="00586049">
          <w:rPr>
            <w:rStyle w:val="aa"/>
            <w:rFonts w:ascii="宋体" w:hAnsi="宋体" w:hint="eastAsia"/>
            <w:noProof/>
            <w:sz w:val="24"/>
          </w:rPr>
          <w:t>十五、基金的费用与税收</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_Toc231995040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97</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1" w:history="1">
        <w:r w:rsidRPr="00586049">
          <w:rPr>
            <w:rStyle w:val="aa"/>
            <w:rFonts w:ascii="宋体" w:hAnsi="宋体" w:hint="eastAsia"/>
            <w:noProof/>
            <w:sz w:val="24"/>
          </w:rPr>
          <w:t>十六、基金的会计与审计</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_Toc231995041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100</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2" w:history="1">
        <w:r w:rsidRPr="00586049">
          <w:rPr>
            <w:rStyle w:val="aa"/>
            <w:rFonts w:ascii="宋体" w:hAnsi="宋体" w:hint="eastAsia"/>
            <w:noProof/>
            <w:sz w:val="24"/>
          </w:rPr>
          <w:t>十七、基金的信息披露</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_Toc231995042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101</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3" w:history="1">
        <w:r w:rsidRPr="00586049">
          <w:rPr>
            <w:rStyle w:val="aa"/>
            <w:rFonts w:ascii="宋体" w:hAnsi="宋体" w:hint="eastAsia"/>
            <w:noProof/>
            <w:sz w:val="24"/>
          </w:rPr>
          <w:t>十八、风险揭示</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_Toc231995043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107</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4" w:history="1">
        <w:r w:rsidRPr="00586049">
          <w:rPr>
            <w:rStyle w:val="aa"/>
            <w:rFonts w:ascii="宋体" w:hAnsi="宋体" w:hint="eastAsia"/>
            <w:noProof/>
            <w:sz w:val="24"/>
          </w:rPr>
          <w:t>十九、基金合同的变更、终止与基金财产的清算</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_Toc231995044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114</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5" w:history="1">
        <w:r w:rsidRPr="00586049">
          <w:rPr>
            <w:rStyle w:val="aa"/>
            <w:rFonts w:ascii="宋体" w:hAnsi="宋体" w:hint="eastAsia"/>
            <w:noProof/>
            <w:sz w:val="24"/>
          </w:rPr>
          <w:t>二十、基金合同内容摘要</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_Toc231995045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116</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6" w:history="1">
        <w:r w:rsidRPr="00586049">
          <w:rPr>
            <w:rStyle w:val="aa"/>
            <w:rFonts w:ascii="宋体" w:hAnsi="宋体" w:hint="eastAsia"/>
            <w:noProof/>
            <w:sz w:val="24"/>
          </w:rPr>
          <w:t>二十一、托管协议的内容摘要</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_Toc231995046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131</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7" w:history="1">
        <w:r w:rsidRPr="00586049">
          <w:rPr>
            <w:rStyle w:val="aa"/>
            <w:rFonts w:ascii="宋体" w:hAnsi="宋体" w:hint="eastAsia"/>
            <w:noProof/>
            <w:sz w:val="24"/>
          </w:rPr>
          <w:t>二十二、对基金份额持有人的服务</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_Toc231995047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149</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8" w:history="1">
        <w:r w:rsidRPr="00586049">
          <w:rPr>
            <w:rStyle w:val="aa"/>
            <w:rFonts w:ascii="宋体" w:hAnsi="宋体" w:hint="eastAsia"/>
            <w:noProof/>
            <w:sz w:val="24"/>
          </w:rPr>
          <w:t>二十三、其他应披露事项</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_Toc231995048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151</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49" w:history="1">
        <w:r w:rsidRPr="00586049">
          <w:rPr>
            <w:rStyle w:val="aa"/>
            <w:rFonts w:ascii="宋体" w:hAnsi="宋体" w:hint="eastAsia"/>
            <w:noProof/>
            <w:sz w:val="24"/>
          </w:rPr>
          <w:t>二十四、招募说明书的存放及查阅方式</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_Toc231995049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153</w:t>
        </w:r>
        <w:r w:rsidRPr="00586049">
          <w:rPr>
            <w:rFonts w:ascii="宋体" w:hAnsi="宋体"/>
            <w:noProof/>
            <w:sz w:val="24"/>
          </w:rPr>
          <w:fldChar w:fldCharType="end"/>
        </w:r>
      </w:hyperlink>
    </w:p>
    <w:p w:rsidR="00586049" w:rsidRPr="00586049" w:rsidRDefault="00586049" w:rsidP="00586049">
      <w:pPr>
        <w:pStyle w:val="10"/>
        <w:tabs>
          <w:tab w:val="right" w:leader="dot" w:pos="8550"/>
        </w:tabs>
        <w:spacing w:line="360" w:lineRule="auto"/>
        <w:rPr>
          <w:rFonts w:ascii="宋体" w:hAnsi="宋体" w:cstheme="minorBidi"/>
          <w:noProof/>
          <w:sz w:val="24"/>
        </w:rPr>
      </w:pPr>
      <w:hyperlink w:anchor="_Toc231995050" w:history="1">
        <w:r w:rsidRPr="00586049">
          <w:rPr>
            <w:rStyle w:val="aa"/>
            <w:rFonts w:ascii="宋体" w:hAnsi="宋体" w:hint="eastAsia"/>
            <w:noProof/>
            <w:sz w:val="24"/>
          </w:rPr>
          <w:t>二十五、备查文件</w:t>
        </w:r>
        <w:r w:rsidRPr="00586049">
          <w:rPr>
            <w:rFonts w:ascii="宋体" w:hAnsi="宋体"/>
            <w:noProof/>
            <w:sz w:val="24"/>
          </w:rPr>
          <w:tab/>
        </w:r>
        <w:r w:rsidRPr="00586049">
          <w:rPr>
            <w:rFonts w:ascii="宋体" w:hAnsi="宋体"/>
            <w:noProof/>
            <w:sz w:val="24"/>
          </w:rPr>
          <w:fldChar w:fldCharType="begin"/>
        </w:r>
        <w:r w:rsidRPr="00586049">
          <w:rPr>
            <w:rFonts w:ascii="宋体" w:hAnsi="宋体"/>
            <w:noProof/>
            <w:sz w:val="24"/>
          </w:rPr>
          <w:instrText xml:space="preserve"> PAGEREF _Toc231995050 \h </w:instrText>
        </w:r>
        <w:r w:rsidRPr="00586049">
          <w:rPr>
            <w:rFonts w:ascii="宋体" w:hAnsi="宋体"/>
            <w:noProof/>
            <w:sz w:val="24"/>
          </w:rPr>
        </w:r>
        <w:r w:rsidRPr="00586049">
          <w:rPr>
            <w:rFonts w:ascii="宋体" w:hAnsi="宋体"/>
            <w:noProof/>
            <w:sz w:val="24"/>
          </w:rPr>
          <w:fldChar w:fldCharType="separate"/>
        </w:r>
        <w:r w:rsidRPr="00586049">
          <w:rPr>
            <w:rFonts w:ascii="宋体" w:hAnsi="宋体"/>
            <w:noProof/>
            <w:sz w:val="24"/>
          </w:rPr>
          <w:t>154</w:t>
        </w:r>
        <w:r w:rsidRPr="00586049">
          <w:rPr>
            <w:rFonts w:ascii="宋体" w:hAnsi="宋体"/>
            <w:noProof/>
            <w:sz w:val="24"/>
          </w:rPr>
          <w:fldChar w:fldCharType="end"/>
        </w:r>
      </w:hyperlink>
    </w:p>
    <w:p w:rsidR="00C607A0" w:rsidRPr="00586049" w:rsidRDefault="00586049" w:rsidP="00586049">
      <w:pPr>
        <w:pStyle w:val="ad"/>
        <w:snapToGrid w:val="0"/>
        <w:spacing w:after="240" w:line="360" w:lineRule="auto"/>
        <w:jc w:val="center"/>
        <w:rPr>
          <w:rFonts w:ascii="宋体" w:hAnsi="宋体"/>
          <w:color w:val="000000"/>
          <w:sz w:val="24"/>
        </w:rPr>
      </w:pPr>
      <w:r w:rsidRPr="00586049">
        <w:rPr>
          <w:rFonts w:ascii="宋体" w:hAnsi="宋体"/>
          <w:color w:val="000000"/>
          <w:position w:val="-4"/>
          <w:sz w:val="24"/>
          <w:szCs w:val="30"/>
        </w:rPr>
        <w:fldChar w:fldCharType="end"/>
      </w:r>
      <w:bookmarkStart w:id="3" w:name="_GoBack"/>
      <w:bookmarkEnd w:id="3"/>
    </w:p>
    <w:p w:rsidR="00C607A0" w:rsidRDefault="00C607A0">
      <w:pPr>
        <w:autoSpaceDE w:val="0"/>
        <w:autoSpaceDN w:val="0"/>
        <w:adjustRightInd w:val="0"/>
        <w:snapToGrid w:val="0"/>
        <w:spacing w:line="360" w:lineRule="auto"/>
        <w:ind w:left="120" w:rightChars="6" w:right="13"/>
        <w:rPr>
          <w:rFonts w:ascii="宋体" w:hAnsi="宋体"/>
          <w:kern w:val="0"/>
          <w:szCs w:val="24"/>
        </w:rPr>
        <w:sectPr w:rsidR="00C607A0">
          <w:pgSz w:w="11920" w:h="16840"/>
          <w:pgMar w:top="1480" w:right="1680" w:bottom="280" w:left="1680" w:header="0" w:footer="1073" w:gutter="0"/>
          <w:cols w:space="720"/>
        </w:sectPr>
      </w:pPr>
    </w:p>
    <w:p w:rsidR="00C607A0" w:rsidRDefault="00D32A9A">
      <w:pPr>
        <w:pStyle w:val="1"/>
        <w:snapToGrid w:val="0"/>
        <w:spacing w:beforeLines="0" w:before="240" w:after="240"/>
        <w:rPr>
          <w:rFonts w:ascii="宋体" w:hAnsi="宋体"/>
          <w:szCs w:val="30"/>
        </w:rPr>
      </w:pPr>
      <w:bookmarkStart w:id="4" w:name="_Toc231995026"/>
      <w:r>
        <w:rPr>
          <w:rFonts w:ascii="Times New Roman" w:hAnsi="Times New Roman"/>
          <w:sz w:val="30"/>
        </w:rPr>
        <w:lastRenderedPageBreak/>
        <w:t>一、绪言</w:t>
      </w:r>
      <w:bookmarkEnd w:id="4"/>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多策略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多策略回报灵活配置混合型证券投资基金基金合同》（以下简称“基金合同”）编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5" w:name="_Toc231995027"/>
      <w:r>
        <w:rPr>
          <w:rFonts w:ascii="Times New Roman" w:hAnsi="Times New Roman"/>
          <w:sz w:val="30"/>
        </w:rPr>
        <w:lastRenderedPageBreak/>
        <w:t>二、释义</w:t>
      </w:r>
      <w:bookmarkEnd w:id="5"/>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指中国农业银行股份有限公司</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基金合同或《基金合同》</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指《交银施罗德多策略回报灵活配置混合型证券投资基金基金合同》及对基金合同的任何有效修订和补充</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指基金管理人与基金托管人就本基金签订之《交银施罗德多策略回报灵活配置混合型证券投资基金托管协议》及对该托管协议的任何有效修订和补充</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指《交银施罗德多策略回报灵活配置混合型证券投资基金招募说明书》及其更新</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指《交银施罗德多策略回报灵活配置混合型证券投资基金基金份额发售公告》</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指《交银施罗德多策略回报灵活配置混合型证券投资基金基金产品资料概要》及其更新</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指中国现行有效并公布实施的法律、行政法规、规范性文件、司法解释、行政规章以及其他对基金合同当事人有约束力的决定、决议、通知等</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指《中华人民共和国证券投资基金法》及其后颁布机关对其不时做出的修订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指《证券投资基金销售管理办法》及颁布机关对其不时做出的修订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日实施的《公开募集证券投资基金信息披露管理办法》及颁布机关对其不时做出的修订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指《公开募集证券投资基金运作管理办法》及颁布机关对其不时做出的修订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指依据有关法律法规规定可投资于证券投资基金的自然人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指依法可以投资证券投资基金的、在中华人民共和国境内合法登记并存续或经有关政府部门批准设立并存续的企业法人、事业法人、社会团体或其他组织</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指符合《合格境外机构投资者境内证券投资管理办法》及相关法律法规规定可以投资于在中国境内依法募集的证券投资基金的中国境外的机构投资者</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人民币合格境外机构投资者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指按照《人民币合格境外机构投资者境内证券投资试点办法》及相关法律法规规定，运用来自境外的人民币资金进行中国境内证券投资的境外机构投资者</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投资人或投资者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指个人投资者、机构投资者、合格境外机构投资者和人民币合格境外机构投资者以及法律法规或中国证监会允许购买证券投资基金的其他投资人的合称</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指依基金合同和招募说明书合法取得基金份额的投资人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指基金管理人或销售机构宣传推介基金，发售基金份额，办理基金份额的申购、赎回、转换、转托管及定期定额投资等业务</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指交银施罗德基金管理有限公司以及符合《销售办法》和中国证监会规定的其他条件，取得基金销售业务资格并与基金管理人签订了基金销售服务协议，办理基金销售业务的机构</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登记业务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指基金登记、存管、过户、清算和结算业务，具体内容包括投资人基金账户的建立和管理、基金份额登记、基金销售业务的确认、清算和结算、代理发放红利、建立并保管基金份额持有人名册和办理非交易过户等</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登记机构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指办理登记业务的机构。基金的登记机构为交银施罗德基金管理有限公司或接受交银施罗德基金管理有限公司委托办理登记业务的机构</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指登记机构为投资人开立的、记录其持有的、基金管理人所管理的基金份额余额及其变动情况的账户</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指销售机构为投资人开立的、记录投资人通过该销售机构办理认购、申购、赎回、转换及转托管等业务而引起的基金份额变动及结余情况的账户</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指基金募集达到法律法规规定及基金合同规定的条件，基金管理人向中国证监会办理基金备案手续完毕，并获得中国证监会书面确认的日期</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指基金合同规定的基金合同终止事由出现后，基金财产清算完毕，清算结果报中国证监会备案并予以公告的日期</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指为投资人办理基金份额申购、赎回或其他业务的工作日</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开放时间</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指开放日基金接受申购、赎回或其他交易的时间段</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指在基金募集期内，投资人根据基金合同和招募说明书的规定申请购买基金份额的行为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指基金合同生效后，基金份额持有人按基金合同和招募说明书规定的条件要求将基金份额兑换为现金的行为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销售服务费</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指从基金资产中计提的，用于本基金市场推广、销售以及基金份额持有人服务的费用</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基金份额类别</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本基金根据申购费用、赎回费用及销售服务费收取方式的不同，将基金份额分为不同的类别。两类基金份额分设不同的基金代码，并分别公布基金份额净值和基金资产净值</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指对投资者收取申购费用、赎回时收取赎回费用的，且不从本类别基金资产中计提销售服务费的基金份额</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指对投资者不收取申购费用、赎回时收取赎回费用的，且从本类别基金资产中计提销售服务费的基金份额</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指基金份额持有人按照基金合同和基金管理人届时有效公告规定的条件，申请将其持有基金管理人管理的、某一基金的基金份额转换为基金管理人管理的其他基金基金份额的行为</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指基金份额持有人在本基金的不同销售机构之间实施的变更所持基金份额销售机构的操作</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指投资人通过有关销售机构提出申请，约定每期申购日、扣款金额及扣款方式，由指定的销售机构在投资人指定银行账户内自动完成扣款并于每期约定的申购日受理基金申购申请的一种投资方式</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指本基金单个开放日，基金净赎回申请（赎回申请份额总数加上基金转换中转出申请份额总数后扣除申购申请份额总数及基金转换中转入申请份额总数后的余额）超过上一开放日基金总份额的</w:t>
            </w:r>
            <w:r>
              <w:rPr>
                <w:rFonts w:ascii="Times New Roman" w:hAnsi="Times New Roman"/>
                <w:color w:val="000000"/>
                <w:kern w:val="0"/>
                <w:sz w:val="25"/>
                <w:szCs w:val="24"/>
              </w:rPr>
              <w:t>10%</w:t>
            </w:r>
            <w:r>
              <w:rPr>
                <w:rFonts w:ascii="Times New Roman" w:hAnsi="Times New Roman"/>
                <w:color w:val="000000"/>
                <w:kern w:val="0"/>
                <w:sz w:val="25"/>
                <w:szCs w:val="24"/>
              </w:rPr>
              <w:t>的情形</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指基金拥有的各类有价证券、股指期货合约、银行存款本息、基金应收申购款及其他资产的价值总和</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指计算日基金资产净值除以计算日基金份额总数</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指基金合同当事人不能预见、不能避免且不能克服的客观事件</w:t>
            </w:r>
          </w:p>
        </w:tc>
      </w:tr>
    </w:tbl>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6" w:name="_Toc231995028"/>
      <w:r>
        <w:rPr>
          <w:rFonts w:ascii="Times New Roman" w:hAnsi="Times New Roman"/>
          <w:sz w:val="30"/>
        </w:rPr>
        <w:lastRenderedPageBreak/>
        <w:t>三、基金管理人</w:t>
      </w:r>
      <w:bookmarkEnd w:id="6"/>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基金经理。北京大学经济学硕士，吉林大学经济学学士、理学学士。14年证券投资行业从业经验。2012年至2014年任光大证券研究所宏观分析师。2014年加入交银施罗德基金管理有限公司，曾任研究员、研究部助理总经理、基金经理助理、固定收益部基金经理，现任混合资产投资助理总监、基金经理。曾任交银施罗德荣鑫灵活配置混合型证券投资基金(2019年11月28日至2023年02月16日)、交银施罗德安心收益债券型证券投资基金(2019年11月28日至2022年01月26日)、交银施罗德优择回报灵活配置混合型证券投资基金(2020年07月09日至2024年12月07日)、交银施罗德优选回报灵活配置混合型证券投资基金(2020年07月09日至2024年12月03日)、交银施罗德稳进回报六个月持有期混合型证券投资基金(2023年02月01日至2025年03月15日)、交银施罗德稳悦回报债券型证券投资基金(2024年03月27日至2026年03月04日)的基金经理。现任交银施罗德新回报灵活配置混合型证券投资基金(2020年07月09日至今)、交银施罗德瑞鑫六个月持有期混合型证券投资基金(2020年07月09日至今)、交银施罗德周期回报灵活配置混合型证券投资基金(2020年07月09日至今)、交银施罗德恒益灵活配置混合型证券投资基金(2020年07月09日至今)、交银施罗德多策略回报灵活配置混合型证券投资基金(2020年07月09日至今)、交银施罗德臻选回报混合型证券投资基金(2020年12月23日至今)的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丰享收益债券型证券投资基金(2024年01月10日至2025年05月30日)、交银施罗德稳益短债债券型证券投资基金(2024年01月10日至2025年05月30日)、交银施罗德稳安30天滚动持有债券型证券投资基金(2024年01月10日至2025年05月30日)、交银施罗德丰盈收益债券型证券投资基金(2024年01月10日至2025年05月30日)、交银施罗德优择回报</w:t>
      </w:r>
      <w:r>
        <w:rPr>
          <w:rFonts w:ascii="宋体" w:hAnsi="宋体"/>
          <w:sz w:val="24"/>
        </w:rPr>
        <w:lastRenderedPageBreak/>
        <w:t>灵活配置混合型证券投资基金(2024年12月06日至2025年12月27日)的基金经理。现任交银施罗德稳进丰利六个月持有期混合型证券投资基金(2024年11月26日至今)、交银施罗德优选回报灵活配置混合型证券投资基金(2024年12月03日至今)、交银施罗德稳固收益债券型证券投资基金(2024年12月27日至今)、交银施罗德多策略回报灵活配置混合型证券投资基金(2025年01月09日至今)的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森洲先生:基金经理。上海财经大学经济学学士、硕士。12年证券投资行业从业经验。2014年加入交银施罗德基金管理有限公司，曾任交易员、研究部行业分析师。现任交银施罗德多策略回报灵活配置混合型证券投资基金(2025年01月09日至今)、交银施罗德成长混合型证券投资基金(2025年09月27日至今)、交银施罗德蓝筹混合型证券投资基金(2025年09月27日至今)、交银施罗德稳悦回报债券型证券投资基金(2026年02月04日至今)的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项廷锋先生(2015年06月02日至2015年10月06日)；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李娜女士(2015年08月04日至2020年12月18日)；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w:t>
      </w:r>
      <w:r>
        <w:rPr>
          <w:rFonts w:ascii="宋体" w:hAnsi="宋体"/>
          <w:sz w:val="24"/>
        </w:rPr>
        <w:lastRenderedPageBreak/>
        <w:t>法性、合规性和风险状况进行检查和评估，对公司监察稽核制度的有效性进行评价，监督检查公司财务状况，审计公司的财务报表，评估公司的财务表现，保证公司的财务运作符合法律的要求和通行的会计标准。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公司建立、健全了内控体系，通过高管人员关于内控的明确分工，确保各项业务活动有恰当的组织和授权，确保监察活动独立，并得到高管人员的支持，同时置备操作手册，并定期更新。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7" w:name="_Toc231995029"/>
      <w:r>
        <w:rPr>
          <w:rFonts w:ascii="Times New Roman" w:hAnsi="Times New Roman"/>
          <w:sz w:val="30"/>
        </w:rPr>
        <w:lastRenderedPageBreak/>
        <w:t>四、基金托管人</w:t>
      </w:r>
      <w:bookmarkEnd w:id="7"/>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8" w:name="_Toc231995030"/>
      <w:r>
        <w:rPr>
          <w:rFonts w:ascii="Times New Roman" w:hAnsi="Times New Roman"/>
          <w:sz w:val="30"/>
        </w:rPr>
        <w:lastRenderedPageBreak/>
        <w:t>五、相关服务机构</w:t>
      </w:r>
      <w:bookmarkEnd w:id="8"/>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本基金直销机构为基金管理人以及基金管理人的网上直销交易平台(网站及手机APP，下同)。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以及本基金C类基金份额的申购、赎回、定期定额投资、转换等业务，具体交易细则请参阅本公司网站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网址：http://www.jnbank.com.cn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办公地址：北京市东城区朝阳门北大街9号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（6）名称：东莞农村商业银行股份有限公司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（8）名称：中国民生银行股份有限公司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传真：（010）57092611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（9）名称：平安银行股份有限公司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（11）名称：中国光大银行股份有限公司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（12）名称：上海浦东发展银行股份有限公司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（13）名称：中国邮政储蓄银行股份有限公司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（14）名称：光大证券股份有限公司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（15）名称：中国中金财富证券有限公司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法定代表人：高涛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（16）名称：德邦证券股份有限公司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（17）名称：财通证券股份有限公司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网址：www.csc108.com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（19）名称：东方财富证券股份有限公司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（20）名称：华龙证券股份有限公司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（21）名称：华宝证券股份有限公司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（22）名称：爱建证券有限责任公司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办公地址：上海市浦东新区世纪大道1600号32楼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（23）名称：第一创业证券股份有限公司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（24）名称：国新证券股份有限公司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（25）名称：西南证券股份有限公司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传真：（023）63786212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（26）名称：信达证券股份有限公司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（27）名称：国金证券股份有限公司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（28）名称：中国国际金融股份有限公司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（29）名称：江海证券有限公司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（30）名称：中泰证券股份有限公司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（31）名称：申万宏源西部证券有限公司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（32）名称：中国银河证券股份有限公司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电话：010-83574507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（33）名称：申万宏源证券有限公司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（34）名称：国都证券股份有限公司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（35）名称：平安证券股份有限公司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（36）名称：华泰证券股份有限公司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（37）名称：中信证券（山东）有限责任公司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（38）名称：中信证券股份有限公司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（39）名称：广发证券股份有限公司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网址：www.gf.com.cn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（40）名称：中信证券华南股份有限公司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（41）名称：大同证券有限责任公司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（42）名称：兴业证券股份有限公司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（43）名称：国投证券股份有限公司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法定代表人：王苏望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（44）名称：招商证券股份有限公司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（45）名称：方正证券股份有限公司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（46）名称：华西证券股份有限公司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客户服务电话：95584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（47）名称：东莞证券股份有限公司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（48）名称：国泰海通证券股份有限公司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（49）名称：东方证券股份有限公司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（50）名称：上海中欧财富基金销售有限公司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法定代表人：许欣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（51）名称：大连网金基金销售有限公司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（52）名称：阳光人寿保险股份有限公司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（53）名称：玄元保险代理有限公司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客户服务电话：400-080-8208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（54）名称：京东肯特瑞基金销售有限公司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（55）名称：上海大智慧基金销售有限公司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（56）名称：腾安基金销售（深圳）有限公司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（57）名称：珠海盈米基金销售有限公司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（58）名称：上海华夏财富投资管理有限公司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（59）名称：北京度小满基金销售有限公司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（60）名称：南京苏宁基金销售有限公司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（61）名称：嘉实财富管理有限公司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（62）名称：北京汇成基金销售有限公司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（63）名称：上海利得基金销售有限公司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伍豪</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（64）名称：北京虹点基金销售有限公司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（65）名称：上海陆金所基金销售有限公司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（66）名称：上海挖财基金销售有限公司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网址：www.wacaijijin.com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（67）名称：万家财富基金销售（天津）有限公司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（68）名称：上海万得基金销售有限公司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（69）名称：格上富信投资顾问有限公司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（70）名称：深圳市金斧子基金销售有限公司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办公地址：深圳市南山区粤海街道科苑路科兴科学园B3单元7楼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（71）名称：北京雪球基金销售有限公司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（72）名称：北京新浪仓石基金销售有限公司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（73）名称：中证金牛（北京）基金销售有限公司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电话：（010）59336512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（74）名称：上海证达通基金销售有限公司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（75）名称：北京创金启富基金销售有限公司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（76）名称：奕丰基金销售有限公司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联系人：叶健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（77）名称：上海天天基金销售有限公司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（78）名称：和讯信息科技有限公司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（79）名称：诺亚正行基金销售有限公司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（80）名称：上海好买基金销售有限公司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（81）名称：上海长量基金销售有限公司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（82）名称：深圳众禄基金销售股份有限公司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（83）名称：蚂蚁（杭州）基金销售有限公司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电话：（0571）28829790，（021）60897869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（84）名称：中信期货有限公司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（85）名称：天相投资顾问有限公司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（86）名称：上海基煜基金销售有限公司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电话：（021）65370077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（87）名称：浙江同花顺基金销售有限公司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（88）名称：宜信普泽（北京）基金销售有限公司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（89）名称：上海联泰基金销售有限公司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客户服务电话：400-118-1188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（90）名称：北京广源达信基金销售有限公司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（91）名称：深圳市新兰德证券投资咨询有限公司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（92）名称：北京展恒基金销售股份有限公司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（93）名称：泛华普益基金销售有限公司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住所：成都市成华区建设路9号高地中心1101室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（94）名称：和耕传承基金销售有限公司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（95）名称：中国人寿保险股份有限公司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（96）名称：济安财富（北京）基金销售有限公司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联系人：宋静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（97）名称：博时财富基金销售有限公司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（98）名称：深圳前海微众银行股份有限公司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（99）名称：易方达财富管理基金销售（广州）有限公司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基金管理人可根据有关法律法规的要求，选择其它符合要求的机构代理销售本基金，并在管理人网站公示。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9" w:name="_Toc231995031"/>
      <w:r>
        <w:rPr>
          <w:rFonts w:ascii="Times New Roman" w:hAnsi="Times New Roman"/>
          <w:sz w:val="30"/>
        </w:rPr>
        <w:lastRenderedPageBreak/>
        <w:t>六、基金的历史沿革</w:t>
      </w:r>
      <w:bookmarkEnd w:id="9"/>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本基金由基金管理人依照《基金法》、《运作办法》、基金合同及其他有关规定，并经中国证监会2015年5月11日证监许可[2015]873号文准予募集注册。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基金管理人为交银施罗德基金管理有限公司，基金托管人为中国农业银行股份有限公司。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本基金自2015年5月26日至2015年5月28日进行发售。本基金设立募集期共募集2,640,658,330.23份基金份额，有效认购户数为13,508户。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和《交银施罗德多策略回报灵活配置混合型证券投资基金基金合同》的有关规定，经与基金托管人协商一致并报中国证券监督管理委员会备案，本基金自2015年11月19日起增加收取销售服务费的C类基金份额，并相应修改基金合同和托管协议相关表述。</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0" w:name="_Toc231995032"/>
      <w:r>
        <w:rPr>
          <w:rFonts w:ascii="Times New Roman" w:hAnsi="Times New Roman"/>
          <w:sz w:val="30"/>
        </w:rPr>
        <w:lastRenderedPageBreak/>
        <w:t>七、基金合同的生效</w:t>
      </w:r>
      <w:bookmarkEnd w:id="10"/>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根据有关规定，本基金满足基金合同生效条件，基金合同已于2015年6月2日正式生效。自基金合同生效之日起，本基金管理人正式开始管理本基金。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1" w:name="_Toc231995033"/>
      <w:r>
        <w:rPr>
          <w:rFonts w:ascii="Times New Roman" w:hAnsi="Times New Roman"/>
          <w:sz w:val="30"/>
        </w:rPr>
        <w:lastRenderedPageBreak/>
        <w:t>八、基金份额的申购与赎回</w:t>
      </w:r>
      <w:bookmarkEnd w:id="11"/>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本基金直销机构为本基金管理人以及本基金管理人的网上直销交易平台。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基金管理人网上直销交易平台办理开户、本基金A类基金份额前端基金份额的申购、赎回、定期定额投资、转换等业务以及本基金C类基金份额的申购、赎回、定期定额投资、转换等业务，具体交易细则请参阅基金管理人网站。网上直销交易平台网址：www.fund001.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如有其他销售机构新增办理本基金的申购赎回等业务，请以管理人网站公示为准。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本基金A类、C类基金份额已分别于2015年6月10日、2015年11月19日起开放申购业务。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本基金A类、C类基金份额已分别于2015年7月9日、2015年11月19日起开放赎回业务。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1、“未知价”原则，即申购、赎回价格以申请当日收市后计算的各类基金份额净值为基准进行计算；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1、申购金额的限制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销售机构的规定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w:t>
      </w:r>
      <w:r>
        <w:rPr>
          <w:rFonts w:ascii="宋体" w:hAnsi="宋体"/>
          <w:sz w:val="24"/>
        </w:rPr>
        <w:lastRenderedPageBreak/>
        <w:t>全额到账则申购不成立。投资人全额交付申购款项，申购成立；登记机构确认基金份额时，申购生效。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本基金基金份额分为A类和C类基金份额，投资人申购A类基金份额在申购时支付申购费用，申购C类基金份额不支付申购费用，而是从该类别基金资产中计提销售服务费。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1、A类基金份额的申购费用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607A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因红利自动再投资而产生的A类基金份额，不收取相应的申购费用。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自2015年6月10日起，对通过本公司直销柜台申购本基金A类基金份额的养老金客户实施特定申购费率。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C607A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607A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607A0">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607A0">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607A0" w:rsidRDefault="00C607A0">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申购的有效份额为净申购金额除以当日的A类基金份额净值，有效份额单位为份，申购份额计算结果按四舍五入方法，保留到小数点后2位，由此产生的收益或损失由基金财产承担。本基金C类基金份额不收取申购费用，申购的有效份额为申购金额除以当日的C类基金份额净值，有效份额单位为份，申购份额计算结果按四舍五入方法，保留到小数点后2位，由此产生的收益或损失由基金财产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的各类基金份额净值并扣除相应的费用（如有），赎回金额单位为元。赎回金额计算结果按四舍五入方法，保留到小数点后2位，由此产生的收益或损失由基金财产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如果投资者选择申购A类基金份额，则申购份额的计算方法如下：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例一：某投资者（非养老金客户）投资40,000元申购本基金的A类基金份额，假设申购当日A类基金份额净值为1.0400元，申购费率为1.5%，则其可得到的申购份额为：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即：该投资者（非养老金客户）投资40,000元申购本基金的A类基金份额，假设申购当日A类基金份额净值为1.0400元，则其可得到37,893.14份A类基金份额。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例二：某养老金客户投资100,000元通过基金管理人的直销柜台申购本基金的A类基金份额，假设申购当日A类基金份额净值为1.0400元，申购费率为0.6%，则其可得到的申购份额为：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即：该养老金客户投资100,000元通过基金管理人的直销柜台申购本基金的A类基金份额，假设申购当日A类基金份额净值为1.0400元，则其可得到95,580.37份A类基金份额。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如果投资者选择申购本基金C类基金份额，则申购份额的计算方法如下：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例四：某投资者赎回持有的10,000份基金份额，持有期限为30日，对应的赎回费率为0.5%，假设赎回当日A类基金份额净值是1.0160元，则其可得到的赎回金额为：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即：投资者赎回本基金10,000份基金份额，对应的赎回费率为0.5%，假设赎回</w:t>
      </w:r>
      <w:r>
        <w:rPr>
          <w:rFonts w:ascii="宋体" w:hAnsi="宋体"/>
          <w:sz w:val="24"/>
        </w:rPr>
        <w:lastRenderedPageBreak/>
        <w:t>当日A类基金份额净值是1.0160元，则其可得到的赎回金额为10,109.20元。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例五：某投资者赎回持有的10,000份C类基金份额，对应的赎回费率为0.5%，假设赎回当日C类基金份额净值是1.0160元，则其可得到的赎回金额为：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即：投资者赎回本基金10,000份C类基金份额，对应的赎回费率为0.5%，假设赎回当日C类基金份额净值是1.0160元，则其可得到的赎回金额为10,109.20元。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由于基金费用的不同，本基金A类和C类基金份额将分别计算基金份额净值，计算公式为计算日当日各类别基金资产净值除以当日发售在外的该类别基金份额总数。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T日某类基金份额净值＝T日该类基金份额的基金资产净值/T日发售在外的该类基金份额总数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A类基金份额和C类基金份额的基金份额净值在当天收市后计算，并在T＋1日（包括该日）内公告。遇特殊情况，经中国证监会同意，可以适当延迟计算或公告。本基金基金份额净值的计算，保留到小数点后4位，小数点后第5位四舍五入，由此误差产生的收益或损失由基金财产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5、基金资产规模过大，使基金管理人无法找到合适的投资品种，或其他可能对基金业绩产生负面影响，或基金管理人认定的其他损害现有基金份额持有人利益的情形。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w:t>
      </w:r>
      <w:r>
        <w:rPr>
          <w:rFonts w:ascii="宋体" w:hAnsi="宋体"/>
          <w:sz w:val="24"/>
        </w:rPr>
        <w:lastRenderedPageBreak/>
        <w:t>售系统、基金销售支付结算系统、基金注册登记系统或基金会计系统无法正常运行。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7、基金管理人认为继续接受赎回申请将损害现有基金份额持有人利益的情形时，可暂停接受投资人的赎回申请。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2、暂停结束，基金重新开放申购或赎回时，基金管理人应依照《信息披露办法》的有关规定，不迟于重新开放日，在指定媒介上刊登基金重新开放申购或赎回公告，并公布最近一个开放日的A/C类基金份额净值。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w:t>
      </w:r>
      <w:r>
        <w:rPr>
          <w:rFonts w:ascii="宋体" w:hAnsi="宋体"/>
          <w:sz w:val="24"/>
        </w:rPr>
        <w:lastRenderedPageBreak/>
        <w:t>额强制划转给其他自然人、法人或其他组织。办理非交易过户必须提供基金登记机构要求提供的相关资料，对于符合条件的非交易过户申请按基金登记机构的规定办理，并按基金登记机构规定的标准收费。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2015年7月13日刊登公告自2015年7月14日起开通本基金A类基金份额的定期定额投资计划业务，本基金2021年10月29日刊登公告自2021年11月1日起开通本基金C类基金份额的定期定额投资计划业务，具体开通销售机构名单和业务规则参见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（十五）、基金的冻结和解冻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w:t>
      </w:r>
      <w:r>
        <w:rPr>
          <w:rFonts w:ascii="宋体" w:hAnsi="宋体"/>
          <w:sz w:val="24"/>
        </w:rPr>
        <w:lastRenderedPageBreak/>
        <w:t>有人利益无实质性不利影响的情形下办理基金份额的质押业务或其他基金业务，基金管理人可制定相应的业务规则，并依照《信息披露办法》的有关规定进行公告。</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2" w:name="_Toc231995034"/>
      <w:r>
        <w:rPr>
          <w:rFonts w:ascii="Times New Roman" w:hAnsi="Times New Roman"/>
          <w:sz w:val="30"/>
        </w:rPr>
        <w:lastRenderedPageBreak/>
        <w:t>九、基金的转换</w:t>
      </w:r>
      <w:bookmarkEnd w:id="12"/>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本基金2015年7月17日刊登公告自2015年7月20日起开放A类基金份额的日常转换业务。本基金2022年1月11日刊登公告自2022年1月12日起开放C类基金份额的日常转换业务。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除非基金管理人在未来条件成熟后另行公告开通相关业务，本基金不同基金份额类别之间不得互相转换。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代理的同一基金管理人管理的、在同一注册登记机构处注册登记的基金。投资人办理基金转换业务时，转出方的基金必须处于可赎回状态，转入方的基金必须处于可申购状态。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3" w:name="_Toc231995035"/>
      <w:r>
        <w:rPr>
          <w:rFonts w:ascii="Times New Roman" w:hAnsi="Times New Roman"/>
          <w:sz w:val="30"/>
        </w:rPr>
        <w:lastRenderedPageBreak/>
        <w:t>十、基金的投资</w:t>
      </w:r>
      <w:bookmarkEnd w:id="13"/>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本基金通过灵活运用多种投资策略，充分挖掘和利用市场中潜在的投资机会，在控制下行风险的前提下，力争为投资者提供长期稳健的投资回报。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本基金通过对宏观经济运行周期、货币与财政政策形势、资金面供求变化、证券市场走势与估值水平等因素的定性分析和定量分析，自上而下调整大类资产配置</w:t>
      </w:r>
      <w:r>
        <w:rPr>
          <w:rFonts w:ascii="宋体" w:hAnsi="宋体"/>
          <w:sz w:val="24"/>
        </w:rPr>
        <w:lastRenderedPageBreak/>
        <w:t>比例，并随着市场运行状况以及各类证券风险收益特征的相对变化，动态调整大类资产的投资比例，有效控制基金资产运作风险，提高基金资产风险调整后收益。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在自上而下的投资分析框架下，结合对行业和企业成长性的基本面研究，把握经济发展和变更中的个股投资机会；同时还将通过对市场氛围和个股价格走势分析，把握组合买卖时机和调整节奏。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公司未来预期销售收入、主营业务收入、息税前利润等成长性财务指标处于行业前列或高于市场平均水平；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公司的市场占有率高于行业平均水平；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公司拥有难以为竞争对手模仿的竞争优势，如在资源、技术、人才、资金、经营许可证、销售网络等方面的优势；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公司在技术上或商业模式上具有突出的创新，代表行业发展的方向，或直接受益于经济转型；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公司治理结构完善、拥有良好管理团队，具备清晰的公司发展战略，企业经营具备持续成长潜力；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（3）存托凭证的投资策略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（2）每个交易日日终在扣除股指期货合约需缴纳的交易保证金后，保持不低于基金资产净值5％的现金或者到期日在一年以内的政府债券，其中现金不包括结算备付金、存出保证金和应收申购款等；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w:t>
      </w:r>
      <w:r>
        <w:rPr>
          <w:rFonts w:ascii="宋体" w:hAnsi="宋体"/>
          <w:sz w:val="24"/>
        </w:rPr>
        <w:lastRenderedPageBreak/>
        <w:t>和，不得超过基金资产净值的95%。其中，有价证券指股票、债券（不含到期日在一年以内的政府债券）、权证、资产支持证券、买入返售金融资产（不含质押式回购）等；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相关事宜。基金管理人应制订严格的投资决策流程和风险控制制度，防范流动性风险、法律风险和操作风险等各种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（21）本基金与私募类证券资管产品及中国证监会认定的其他主体为交易对手开展逆回购交易的，可接受质押品的资质要求应当与本基金合同约定的投资范围保持一致；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（22）本基金投资存托凭证的比例限制依照境内上市交易的股票执行；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w:t>
      </w:r>
      <w:r>
        <w:rPr>
          <w:rFonts w:ascii="宋体" w:hAnsi="宋体"/>
          <w:sz w:val="24"/>
        </w:rPr>
        <w:lastRenderedPageBreak/>
        <w:t>重大关联交易应提交基金管理人董事会审议，并经过三分之二以上的独立董事通过。基金管理人董事会应至少每半年对关联交易事项进行审查。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50%×沪深300指数收益率+50%×中债综合全价指数收益率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以根据本基金的投资范围和投资策略，依据维护投资者合法权益的原则，经与基金托管人协商一致并按照监管部门要求履行适当程序后，调整或变更本基金的业绩比较基准并及时公告，而无需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1、基金管理人按照国家有关规定代表基金独立行使股东及债权人权利，保护基金份额持有人的利益；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本报告期为2026年01月01日起至03月31日止。本报告财务资料未经审计师审计。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21.20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77.80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77.80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4,390,234.62</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810,586.04</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518,709,195.82</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6,239,015.04</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14,568,823.00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56,803,244.00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604,500.00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9,232,288.43</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1.88</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21,794,194.00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4.43</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517,319.00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195,570.00</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109,954,953.47</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22.33</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688127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蓝特光学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166,432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9,458,330.56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1.92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601336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新华保险</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8,484,987.00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1.72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300433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蓝思科技</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297,600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8,326,848.00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1.69</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300790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宇瞳光学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358,200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8,242,182.00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昊华能源</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882,300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7,481,904.00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002532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天山铝业</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408,100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7,260,099.00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603979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121,800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6,921,894.00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1.41</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601628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中国人寿</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185,200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6,730,168.00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300498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温氏股份</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375,392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6,239,015.04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1.27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688508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芯朋微</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98,841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5,592,423.78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6,160,194.85</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192,990,961.09</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39.20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61,149,027.39</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12.42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30,953,916.72</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6.29</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173,448,349.03</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35.23</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403,553,421.69</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81.97</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2420047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桂林银行三农债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20,324,043.84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4.13</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212480072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厦门国际银行债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20,301,463.01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243182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财证</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20,276,647.67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4.12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19,817,479.45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4.03</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210215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10,906,958.90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2.22</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2025年12月03日,央行广西壮族自治区分行公示桂银罚决字[2025]17号行政处罚决定书,给予桂林银行股份有限公司212.994万元人民币的行政处罚。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基金投资的前十名股票中，没有超出基金合同规定的备选股票库之外的股票。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149,753.42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460,956.92</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199,875.70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right"/>
              <w:rPr>
                <w:rFonts w:ascii="宋体" w:hAnsi="宋体"/>
                <w:color w:val="000000"/>
                <w:kern w:val="0"/>
                <w:sz w:val="25"/>
                <w:szCs w:val="24"/>
              </w:rPr>
            </w:pPr>
            <w:r>
              <w:rPr>
                <w:rFonts w:ascii="Times New Roman" w:hAnsi="Times New Roman"/>
                <w:color w:val="000000"/>
                <w:kern w:val="0"/>
                <w:sz w:val="25"/>
                <w:szCs w:val="24"/>
              </w:rPr>
              <w:t>810,586.04</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4" w:name="_Toc231995036"/>
      <w:r>
        <w:rPr>
          <w:rFonts w:ascii="Times New Roman" w:hAnsi="Times New Roman"/>
          <w:sz w:val="30"/>
        </w:rPr>
        <w:lastRenderedPageBreak/>
        <w:t>十一、基金的业绩</w:t>
      </w:r>
      <w:bookmarkEnd w:id="14"/>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（1）交银多策略回报灵活配置混合A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12.71%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4.77%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-8.62%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8.04%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7.68%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8.89%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12.25%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17.14%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10.59%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10.76%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4.27%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10.28%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-11.75%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12.45%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（2）交银多策略回报灵活配置混合C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12.45%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4.51%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-8.75%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4.54%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7.90%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7.38%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8.59%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12.06%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17.28%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11.19%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10.60%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9.98%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r>
      <w:tr w:rsidR="00C607A0">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年度（自基金分类日起至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r>
    </w:tbl>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607A0" w:rsidRDefault="00D32A9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交银施罗德多策略回报灵活配置混合型证券投资基金</w:t>
      </w:r>
    </w:p>
    <w:p w:rsidR="00C607A0" w:rsidRDefault="00D32A9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607A0" w:rsidRDefault="00D32A9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（2015年6月2日至2026年03月31日）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（1）交银多策略回报灵活配置混合A</w:t>
      </w:r>
    </w:p>
    <w:p w:rsidR="00C607A0" w:rsidRDefault="0058604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（2）交银多策略回报灵活配置混合C</w:t>
      </w:r>
    </w:p>
    <w:p w:rsidR="00C607A0" w:rsidRDefault="00586049">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2、本基金自2015年11月19日起，开始销售C类份额，投资者提交的申购申请于2015年11月20日被确认并将有效份额登记在册。</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5" w:name="_Toc231995037"/>
      <w:r>
        <w:rPr>
          <w:rFonts w:ascii="Times New Roman" w:hAnsi="Times New Roman"/>
          <w:sz w:val="30"/>
        </w:rPr>
        <w:lastRenderedPageBreak/>
        <w:t>十二、基金的财产</w:t>
      </w:r>
      <w:bookmarkEnd w:id="15"/>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6" w:name="_Toc231995038"/>
      <w:r>
        <w:rPr>
          <w:rFonts w:ascii="Times New Roman" w:hAnsi="Times New Roman"/>
          <w:sz w:val="30"/>
        </w:rPr>
        <w:lastRenderedPageBreak/>
        <w:t>十三、基金资产的估值</w:t>
      </w:r>
      <w:bookmarkEnd w:id="16"/>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w:t>
      </w:r>
      <w:r>
        <w:rPr>
          <w:rFonts w:ascii="宋体" w:hAnsi="宋体"/>
          <w:sz w:val="24"/>
        </w:rPr>
        <w:lastRenderedPageBreak/>
        <w:t>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（五）估值错误的处理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基金管理人和基金托管人将采取必要、适当、合理的措施确保基金资产估值的准确性、及时性。当各类基金份额净值小数点后第4位以内（含第4位) 发生估值错误时，视为该类基金份额净值错误。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3、当前一估值日基金资产净值50%以上的资产出现无可参考的活跃市场价格且采用估值技术仍导致公允价值存在重大不确定性时，经与基金托管人协商确认后，基金管理人应当暂停估值；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7" w:name="_Toc231995039"/>
      <w:r>
        <w:rPr>
          <w:rFonts w:ascii="Times New Roman" w:hAnsi="Times New Roman"/>
          <w:sz w:val="30"/>
        </w:rPr>
        <w:lastRenderedPageBreak/>
        <w:t>十四、基金收益与分配</w:t>
      </w:r>
      <w:bookmarkEnd w:id="17"/>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收益分配比例不得低于收益分配基准日每份基金份额可供分配利润的10%，若《基金合同》生效不满3个月可不进行收益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8" w:name="_Toc231995040"/>
      <w:r>
        <w:rPr>
          <w:rFonts w:ascii="Times New Roman" w:hAnsi="Times New Roman"/>
          <w:sz w:val="30"/>
        </w:rPr>
        <w:lastRenderedPageBreak/>
        <w:t>十五、基金的费用与税收</w:t>
      </w:r>
      <w:bookmarkEnd w:id="18"/>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管理人向基金托管人发送基金管理费划付指令，经基金托管人复核后于次月首日起3个工作日内从基金财产中一次性支付给基金管理人。若遇法定节假日、休息日或不可抗力致使无法按时支付的，顺延至最近可支付日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管理人向基金托管人发送基金托管费划付指令，经基金托管人复核后于次月首日起3个工作日内从基金财产中一次性支付给基金托管人。若遇法定节假日、休息日或不可抗力致使无法按时支付的，顺延至最近可支付日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本基金转换费的费率水平、计算公式和收取方式详见“基金的转换”一章。</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19" w:name="_Toc231995041"/>
      <w:r>
        <w:rPr>
          <w:rFonts w:ascii="Times New Roman" w:hAnsi="Times New Roman"/>
          <w:sz w:val="30"/>
        </w:rPr>
        <w:lastRenderedPageBreak/>
        <w:t>十六、基金的会计与审计</w:t>
      </w:r>
      <w:bookmarkEnd w:id="19"/>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0" w:name="_Toc231995042"/>
      <w:r>
        <w:rPr>
          <w:rFonts w:ascii="Times New Roman" w:hAnsi="Times New Roman"/>
          <w:sz w:val="30"/>
        </w:rPr>
        <w:lastRenderedPageBreak/>
        <w:t>十七、基金的信息披露</w:t>
      </w:r>
      <w:bookmarkEnd w:id="20"/>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（六）信息披露事务管理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1" w:name="_Toc231995043"/>
      <w:r>
        <w:rPr>
          <w:rFonts w:ascii="Times New Roman" w:hAnsi="Times New Roman"/>
          <w:sz w:val="30"/>
        </w:rPr>
        <w:lastRenderedPageBreak/>
        <w:t>十八、风险揭示</w:t>
      </w:r>
      <w:bookmarkEnd w:id="21"/>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2、本基金可投资创业板股票，创业板个股上市后的前五个交易日不设价格涨跌幅限制，第六个交易日开始涨跌幅限制比例为20%。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（六）投资股指期货的特定风险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（七）基金合同提前终止风险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连续六十个工作日出现基金份额持有人数量不满200人或者基金资产净值低于5000万元情形的，基金管理人将提前终止基金合同，不需召开基金份额持有人大会。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（八）投资科创板股票的特定风险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w:t>
      </w:r>
      <w:r>
        <w:rPr>
          <w:rFonts w:ascii="宋体" w:hAnsi="宋体"/>
          <w:sz w:val="24"/>
        </w:rPr>
        <w:lastRenderedPageBreak/>
        <w:t>盈利、现金流、估值均存在不确定性，与传统二级市场投资存在差异，整体投资难度加大，个股市场风险加大。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（十）本基金法律文件风险收益特征表述与销售机构基金风险评价可能不一致的风险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（十一）其他风险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2" w:name="_Toc231995044"/>
      <w:r>
        <w:rPr>
          <w:rFonts w:ascii="Times New Roman" w:hAnsi="Times New Roman"/>
          <w:sz w:val="30"/>
        </w:rPr>
        <w:lastRenderedPageBreak/>
        <w:t>十九、基金合同的变更、终止与基金财产的清算</w:t>
      </w:r>
      <w:bookmarkEnd w:id="22"/>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3" w:name="_Toc231995045"/>
      <w:r>
        <w:rPr>
          <w:rFonts w:ascii="Times New Roman" w:hAnsi="Times New Roman"/>
          <w:sz w:val="30"/>
        </w:rPr>
        <w:lastRenderedPageBreak/>
        <w:t>二十、基金合同内容摘要</w:t>
      </w:r>
      <w:bookmarkEnd w:id="23"/>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13）在法律法规允许的前提下，为基金的利益依法为基金进行融资、融券及转融通；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4）根据相关市场规则，为基金开设资金账户、证券账户等投资所需账户、协助开立股指期货业务相关账户及交易编码、为基金办理证券交易资金清算；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w:t>
      </w:r>
      <w:r>
        <w:rPr>
          <w:rFonts w:ascii="宋体" w:hAnsi="宋体"/>
          <w:sz w:val="24"/>
        </w:rPr>
        <w:lastRenderedPageBreak/>
        <w:t>购、赎回价格；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由于本基金A类基金份额不收取销售服务费，C类基金份额收取销售服务费，各基金份额类别对应的可供分配利润将有所不同，本基金同一类别的每份基金份额享有同等分配权；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w:t>
      </w:r>
      <w:r>
        <w:rPr>
          <w:rFonts w:ascii="宋体" w:hAnsi="宋体"/>
          <w:sz w:val="24"/>
        </w:rPr>
        <w:lastRenderedPageBreak/>
        <w:t>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3）在法律法规和《基金合同》规定的范围内调整本基金的申购费率、调低赎回费率、在对现有基金份额持有人利益无实质性不利影响的前提下变更或增加收费方式、调整基金份额类别；</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8）在不违反法律法规及对基金份额持有人利益无实质性不利影响的前提下，基金管理人、登记机构、销售机构调整有关基金认购、申购、赎回、转换、非交易过户、转托管等业务的规则；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9）按照法律法规和《基金合同》规定不需召开基金份额持有人大会的以外的其他情形。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（3）基金合同生效后的存续期内，若基金份额持有人数量连续60个工作日达不到200人或基金资产净值连续60个工作日低于5000万元，本基金管理人将提前终止本基金合同，不需召开基金份额持有人大会。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自行召集，并自出具书面决定之日起60日内召开并告知基金管理人，基金管理人应当配合；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w:t>
      </w:r>
      <w:r>
        <w:rPr>
          <w:rFonts w:ascii="宋体" w:hAnsi="宋体"/>
          <w:sz w:val="24"/>
        </w:rPr>
        <w:lastRenderedPageBreak/>
        <w:t>中说明本次基金份额持有人大会所采取的具体通讯方式、委托的公证机关及其联系方式和联系人、书面表决意见寄交的截止时间和收取方式。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w:t>
      </w:r>
      <w:r>
        <w:rPr>
          <w:rFonts w:ascii="宋体" w:hAnsi="宋体"/>
          <w:sz w:val="24"/>
        </w:rPr>
        <w:lastRenderedPageBreak/>
        <w:t>相关提示性公告；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基金份额持有人大会决议自生效之日起2日内在指定媒介上公告。如果采用通讯方式进行表决，在公告基金份额持有人大会决议时，必须将公证书全文、公证机构、公证员姓名等一同公告。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（4）连续60个工作日出现基金份额持有人数量不满200人或者基金资产净值低于5000万元情形的；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w:t>
      </w:r>
      <w:r>
        <w:rPr>
          <w:rFonts w:ascii="宋体" w:hAnsi="宋体"/>
          <w:sz w:val="24"/>
        </w:rPr>
        <w:lastRenderedPageBreak/>
        <w:t>成立清算小组，基金管理人组织基金财产清算小组并在中国证监会的监督下进行基金清算。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4" w:name="_Toc231995046"/>
      <w:r>
        <w:rPr>
          <w:rFonts w:ascii="Times New Roman" w:hAnsi="Times New Roman"/>
          <w:sz w:val="30"/>
        </w:rPr>
        <w:lastRenderedPageBreak/>
        <w:t>二十一、托管协议的内容摘要</w:t>
      </w:r>
      <w:bookmarkEnd w:id="24"/>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基金托管业务批准文号：中国证监会证监基字[1998]23号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w:t>
      </w:r>
      <w:r>
        <w:rPr>
          <w:rFonts w:ascii="宋体" w:hAnsi="宋体"/>
          <w:sz w:val="24"/>
        </w:rPr>
        <w:lastRenderedPageBreak/>
        <w:t>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2、基金托管人根据有关法律法规的规定及基金合同的约定，对基金投资、融资、融券比例进行监督。基金托管人按下述比例和调整期限进行监督：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（2）每个交易日日终在扣除股指期货合约需缴纳的交易保证金后，保持不低于基金资产净值5％的现金或者到期日在一年以内的政府债券，其中现金不包括结算备付金、存出保证金和应收申购款等；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（4）本基金管理人管理的、且由本基金托管人托管的全部基金持有一家公司发行的证券，不超过该证券的10%；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（6）本基金管理人管理的、且由本基金托管人托管的全部基金持有的同一权证，不得超过该权证的10%；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（11）本基金管理人管理的、且由本基金托管人托管的全部基金投资于同一原始权益人的各类资产支持证券，不得超过其各类资产支持证券合计规模的10%；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（15）本基金若投资股指期货，则：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6）本基金每个交易日日终在扣除股指期货合约需缴纳的交易保证金后，应当保持不低于基金资产净值5%的现金或到期日在一年以内的政府债券，其中现金不包括结算备付金、存出保证金和应收申购款等。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（16）本基金持有其他证券投资基金（不含货币市场基金），其市值不得超过基金资产净值的10%；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（17）本基金的基金资产总值不得超过基金资产净值的140%；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相关事宜。基金管理人应制订严格的投资决策流程和风险控制制度，防范流动性风险、法律风险和操作风险等各种风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20）、（21）项以及第（15）项第6）目外，因证券、期货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运用基金财产买卖基金管理人、基金托管人及其控股股东、实际控制人或者与</w:t>
      </w:r>
      <w:r>
        <w:rPr>
          <w:rFonts w:ascii="宋体" w:hAnsi="宋体"/>
          <w:sz w:val="24"/>
        </w:rPr>
        <w:lastRenderedPageBreak/>
        <w:t>其有其他重大利害关系的公司发行的证券或承销期内承销的证券，或者从事其他重大关联交易的，基金管理人应当遵循基金份额持有人利益优先的原则，防范利益冲突，符合中国证监会的规定，并履行信息披露义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基金投资银行定期存款的，基金管理人应根据法律法规的规定及基金合同的约定选择存款银行。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w:t>
      </w:r>
      <w:r>
        <w:rPr>
          <w:rFonts w:ascii="宋体" w:hAnsi="宋体"/>
          <w:sz w:val="24"/>
        </w:rPr>
        <w:lastRenderedPageBreak/>
        <w:t>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w:t>
      </w:r>
      <w:r>
        <w:rPr>
          <w:rFonts w:ascii="宋体" w:hAnsi="宋体"/>
          <w:sz w:val="24"/>
        </w:rPr>
        <w:lastRenderedPageBreak/>
        <w:t>商签订的销售协议复印件、缴款通知书、基金拟认购的数量、价格、总成本、划款账号、划款金额、划款时间文件等。基金管理人应保证上述信息的真实、完整。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在基金首次投资中期票据前，与基金托管人签署相应的风险控制补充协议，并按照法律法规的规定和补充协议的约定向基金托管人提供经基金管理人董事会批准的有关基金投资中期票据的投资管理制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基金份额净值、根据基金管理人指令办理清算交收、相关信息披露和监督基金投资运作等行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（四）基金财产的保管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6、其他账户的开立和管理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基金份额净值是指计算日基金资产净值除以计算日基金份额总数后得到的数值。基金份额净值的计算，精确到0.0001元，小数点后第五位四舍五入，由此产生的误差计入基金财产。国家另有规定的，从其规定。</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基金管理人于每工作日分别计算A类基金份额及C类基金份额的基金资产净值及基金份额净值，并按规定公告，但根据法律法规或基金合同的规定暂停估值时除外。</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2、基金资产估值方法和特殊情形的处理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 ：</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b）首次公开发行未上市的股票和权证，采用估值技术确定公允价值；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d）交易所市场发行未上市或未挂牌转让的债券，采用估值技术确定公允价值。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w:t>
      </w:r>
      <w:r>
        <w:rPr>
          <w:rFonts w:ascii="宋体" w:hAnsi="宋体"/>
          <w:sz w:val="24"/>
        </w:rPr>
        <w:lastRenderedPageBreak/>
        <w:t>术确定公允价值。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5）如有确凿证据表明按上述方法进行估值不能客观反映其公允价值的，基金管理人可根据具体情况与基金托管人商定后，按最能反映公允价值的方法估值。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各类基金份额净值小数点后4位以内（含第4位）发生估值错误时，视为基金份额净值错误；基金份额净值出现错误时，基金管理人应当立即予以纠正，通报基金托管人，并采取合理的措施防止损失进一步扩大；错误偏差达到各类基金份额净值的0.25%时，基金管理人应当通报基金托管人并报中国证监会备案；错误偏差达到各类基金份额净值的0.5%时，基金管理人应当公告；当发生基金份额净值</w:t>
      </w:r>
      <w:r>
        <w:rPr>
          <w:rFonts w:ascii="宋体" w:hAnsi="宋体"/>
          <w:sz w:val="24"/>
        </w:rPr>
        <w:lastRenderedPageBreak/>
        <w:t>错误时，由基金管理人负责处理，由此给基金份额持有人和基金造成损失的，应由基金管理人先行赔付，基金管理人按差错情形，有权向其他当事人追偿。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w:t>
      </w:r>
      <w:r>
        <w:rPr>
          <w:rFonts w:ascii="宋体" w:hAnsi="宋体"/>
          <w:sz w:val="24"/>
        </w:rPr>
        <w:lastRenderedPageBreak/>
        <w:t>且采用估值技术仍导致公允价值存在重大不确定性时，经与基金托管人协商确认后一致的，基金管理人应当暂停估值；</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w:t>
      </w:r>
      <w:r>
        <w:rPr>
          <w:rFonts w:ascii="宋体" w:hAnsi="宋体"/>
          <w:sz w:val="24"/>
        </w:rPr>
        <w:lastRenderedPageBreak/>
        <w:t>以加密传真的方式或双方商定的其他方式进行。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8、基金管理人应每季向基金托管人提供基金业绩比较基准的基础数据和编制结果。</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w:t>
      </w:r>
      <w:r>
        <w:rPr>
          <w:rFonts w:ascii="宋体" w:hAnsi="宋体"/>
          <w:sz w:val="24"/>
        </w:rPr>
        <w:lastRenderedPageBreak/>
        <w:t>仲裁裁决是终局的，对当事人均有约束力。除非仲裁裁决另有规定，仲裁费用、律师费由败诉方承担。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本协议双方当事人经协商一致，可以对协议进行修改。修改后的新协议，其内容不得与基金合同的规定有任何冲突。基金托管协议的变更应报中国证监会备案后生效。</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5" w:name="_Toc231995047"/>
      <w:r>
        <w:rPr>
          <w:rFonts w:ascii="Times New Roman" w:hAnsi="Times New Roman"/>
          <w:sz w:val="30"/>
        </w:rPr>
        <w:lastRenderedPageBreak/>
        <w:t>二十二、对基金份额持有人的服务</w:t>
      </w:r>
      <w:bookmarkEnd w:id="25"/>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基金合同生效后的每次交易结束后，可在T+2个工作日后通过销售机构的网点查询和打印确认单；</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本基金A类基金份额的申购、赎回、定期定额投资和转换等业务以及本基金C类基金份额的申购、赎回、定期定额投资和转换等业务。本公司暂不开展网上直销后端基金份额的认/申购业务，通过转托管转入网上直销账户的后端收费模式的基金份额只能办理赎回业务。通过网上直销交易平台办理本基金A类基金份额申购和定期定额投资业务的个人投资者将享受A类基金份额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本基金已开通基金份额的转换业务，具体实施方法请参见相关公告。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本基金已开通基金份额的定期定额投资计划，具体实施方法请参见相关公告。</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6" w:name="_Toc231995048"/>
      <w:r>
        <w:rPr>
          <w:rFonts w:ascii="Times New Roman" w:hAnsi="Times New Roman"/>
          <w:sz w:val="30"/>
        </w:rPr>
        <w:lastRenderedPageBreak/>
        <w:t>二十三、其他应披露事项</w:t>
      </w:r>
      <w:bookmarkEnd w:id="26"/>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C607A0">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交银施罗德多策略回报灵活配置混合型证券投资基金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607A0" w:rsidRDefault="00D32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7" w:name="_Toc231995049"/>
      <w:r>
        <w:rPr>
          <w:rFonts w:ascii="Times New Roman" w:hAnsi="Times New Roman"/>
          <w:sz w:val="30"/>
        </w:rPr>
        <w:lastRenderedPageBreak/>
        <w:t>二十四、招募说明书的存放及查阅方式</w:t>
      </w:r>
      <w:bookmarkEnd w:id="27"/>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D32A9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607A0" w:rsidRDefault="00D32A9A">
      <w:pPr>
        <w:pStyle w:val="1"/>
        <w:snapToGrid w:val="0"/>
        <w:spacing w:beforeLines="0" w:before="240" w:after="240"/>
        <w:rPr>
          <w:rFonts w:ascii="宋体" w:hAnsi="宋体"/>
          <w:szCs w:val="30"/>
        </w:rPr>
      </w:pPr>
      <w:bookmarkStart w:id="28" w:name="_Toc231995050"/>
      <w:r>
        <w:rPr>
          <w:rFonts w:ascii="Times New Roman" w:hAnsi="Times New Roman"/>
          <w:sz w:val="30"/>
        </w:rPr>
        <w:lastRenderedPageBreak/>
        <w:t>二十五、备查文件</w:t>
      </w:r>
      <w:bookmarkEnd w:id="28"/>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（一）中国证监会准予交银施罗德多策略回报灵活配置混合型证券投资基金募集注册的文件</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（二）《交银施罗德多策略回报灵活配置混合型证券投资基金基金合同》</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（三）《交银施罗德多策略回报灵活配置混合型证券投资基金托管协议》</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607A0" w:rsidRDefault="00D32A9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（六）关于申请募集注册交银施罗德多策略回报灵活配置混合型证券投资基金的法律意见书</w:t>
      </w:r>
    </w:p>
    <w:sectPr w:rsidR="00C607A0">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9A4" w:rsidRDefault="00D32A9A">
      <w:r>
        <w:separator/>
      </w:r>
    </w:p>
  </w:endnote>
  <w:endnote w:type="continuationSeparator" w:id="0">
    <w:p w:rsidR="007769A4" w:rsidRDefault="00D32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C607A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58604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607A0" w:rsidRDefault="00D32A9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86049">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C607A0">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586049">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607A0" w:rsidRDefault="00D32A9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86049">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9A4" w:rsidRDefault="00D32A9A">
      <w:r>
        <w:separator/>
      </w:r>
    </w:p>
  </w:footnote>
  <w:footnote w:type="continuationSeparator" w:id="0">
    <w:p w:rsidR="007769A4" w:rsidRDefault="00D32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C607A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D32A9A">
    <w:pPr>
      <w:pStyle w:val="a3"/>
      <w:jc w:val="right"/>
      <w:rPr>
        <w:rFonts w:ascii="宋体" w:hAnsi="宋体"/>
      </w:rPr>
    </w:pPr>
    <w:r>
      <w:rPr>
        <w:rFonts w:ascii="宋体" w:hAnsi="宋体" w:hint="eastAsia"/>
      </w:rPr>
      <w:t>交银施罗德多策略回报灵活配置混合型证券投资基金招募说明书更新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C607A0">
    <w:pPr>
      <w:pStyle w:val="10"/>
      <w:jc w:val="right"/>
    </w:pPr>
  </w:p>
  <w:p w:rsidR="00C607A0" w:rsidRDefault="00C607A0">
    <w:pPr>
      <w:pStyle w:val="10"/>
      <w:jc w:val="right"/>
    </w:pPr>
  </w:p>
  <w:p w:rsidR="00C607A0" w:rsidRDefault="00C607A0">
    <w:pPr>
      <w:pStyle w:val="a3"/>
      <w:jc w:val="right"/>
    </w:pPr>
  </w:p>
  <w:p w:rsidR="00C607A0" w:rsidRDefault="00D32A9A">
    <w:pPr>
      <w:pStyle w:val="a3"/>
      <w:jc w:val="right"/>
      <w:rPr>
        <w:rFonts w:ascii="宋体" w:hAnsi="宋体"/>
      </w:rPr>
    </w:pPr>
    <w:r>
      <w:rPr>
        <w:rFonts w:ascii="宋体" w:hAnsi="宋体" w:hint="eastAsia"/>
      </w:rPr>
      <w:t>交银施罗德多策略回报灵活配置混合型证券投资基金招募说明书更新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7A0" w:rsidRDefault="00C607A0">
    <w:pPr>
      <w:pStyle w:val="a3"/>
      <w:jc w:val="right"/>
    </w:pPr>
  </w:p>
  <w:p w:rsidR="00C607A0" w:rsidRDefault="00C607A0">
    <w:pPr>
      <w:pStyle w:val="a3"/>
      <w:jc w:val="right"/>
    </w:pPr>
  </w:p>
  <w:p w:rsidR="00C607A0" w:rsidRDefault="00C607A0">
    <w:pPr>
      <w:pStyle w:val="a3"/>
      <w:jc w:val="right"/>
    </w:pPr>
  </w:p>
  <w:p w:rsidR="00C607A0" w:rsidRDefault="00D32A9A">
    <w:pPr>
      <w:pStyle w:val="a3"/>
      <w:jc w:val="right"/>
      <w:rPr>
        <w:rFonts w:ascii="宋体" w:hAnsi="宋体"/>
      </w:rPr>
    </w:pPr>
    <w:r>
      <w:rPr>
        <w:rFonts w:ascii="宋体" w:hAnsi="宋体" w:hint="eastAsia"/>
      </w:rPr>
      <w:t>交银施罗德多策略回报灵活配置混合型证券投资基金招募说明书更新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04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769A4"/>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07A0"/>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2A9A"/>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3FBD021-8B4D-45C6-A264-B4C7A922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16401</Words>
  <Characters>93487</Characters>
  <Application>Microsoft Office Word</Application>
  <DocSecurity>0</DocSecurity>
  <Lines>779</Lines>
  <Paragraphs>219</Paragraphs>
  <ScaleCrop>false</ScaleCrop>
  <Company>Microsoft</Company>
  <LinksUpToDate>false</LinksUpToDate>
  <CharactersWithSpaces>109669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2026-06-10T06:43:00Z</dcterms:created>
  <dcterms:modified xsi:type="dcterms:W3CDTF">2026-06-10T06:43:00Z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