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AD7AD4">
      <w:pPr>
        <w:rPr>
          <w:sz w:val="32"/>
        </w:rPr>
      </w:pPr>
    </w:p>
    <w:p w:rsidR="00C92FC0" w:rsidRPr="00EB07BC" w:rsidRDefault="00AD7AD4">
      <w:pPr>
        <w:rPr>
          <w:sz w:val="32"/>
        </w:rPr>
      </w:pPr>
    </w:p>
    <w:p w:rsidR="00C92FC0" w:rsidRPr="00EB07BC" w:rsidRDefault="00AD7AD4">
      <w:pPr>
        <w:rPr>
          <w:sz w:val="32"/>
        </w:rPr>
      </w:pPr>
    </w:p>
    <w:p w:rsidR="001D3F82" w:rsidRDefault="001D3F8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1D3F82" w:rsidRDefault="001D3F8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1D3F82" w:rsidRDefault="001D3F8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1D3F82" w:rsidRDefault="003B0F32">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交银施罗德活期通货币市场基金</w:t>
      </w:r>
    </w:p>
    <w:p w:rsidR="001D3F82" w:rsidRDefault="003B0F32">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1D3F82" w:rsidRDefault="001D3F82">
      <w:pPr>
        <w:snapToGrid w:val="0"/>
        <w:spacing w:line="360" w:lineRule="auto"/>
        <w:jc w:val="center"/>
        <w:rPr>
          <w:rFonts w:ascii="宋体" w:hAnsi="宋体"/>
          <w:b/>
          <w:sz w:val="30"/>
          <w:szCs w:val="30"/>
        </w:rPr>
      </w:pPr>
    </w:p>
    <w:p w:rsidR="001D3F82" w:rsidRDefault="001D3F8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D3F82" w:rsidRDefault="001D3F8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D3F82" w:rsidRDefault="001D3F8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D3F82" w:rsidRDefault="001D3F8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D3F82" w:rsidRDefault="001D3F8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D3F82" w:rsidRDefault="001D3F8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D3F82" w:rsidRDefault="003B0F32">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1D3F82" w:rsidRDefault="003B0F32">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基金托管人：中信建投证券股份有限公司</w:t>
      </w:r>
    </w:p>
    <w:p w:rsidR="001D3F82" w:rsidRDefault="001D3F8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D3F82" w:rsidRDefault="001D3F8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D3F82" w:rsidRDefault="003B0F32">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二〇二六年五月</w:t>
      </w:r>
    </w:p>
    <w:p w:rsidR="001D3F82" w:rsidRDefault="001D3F82">
      <w:pPr>
        <w:autoSpaceDE w:val="0"/>
        <w:autoSpaceDN w:val="0"/>
        <w:adjustRightInd w:val="0"/>
        <w:snapToGrid w:val="0"/>
        <w:spacing w:line="360" w:lineRule="auto"/>
        <w:ind w:left="1347" w:rightChars="6" w:right="13"/>
        <w:rPr>
          <w:rFonts w:ascii="宋体" w:hAnsi="宋体"/>
          <w:kern w:val="0"/>
          <w:sz w:val="32"/>
          <w:szCs w:val="32"/>
        </w:rPr>
        <w:sectPr w:rsidR="001D3F82">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1D3F82" w:rsidRDefault="003B0F32">
      <w:pPr>
        <w:pStyle w:val="1"/>
        <w:snapToGrid w:val="0"/>
        <w:spacing w:beforeLines="0" w:before="240" w:after="240"/>
        <w:rPr>
          <w:rFonts w:ascii="宋体" w:hAnsi="宋体"/>
          <w:kern w:val="0"/>
        </w:rPr>
      </w:pPr>
      <w:bookmarkStart w:id="0" w:name="_Toc324920538"/>
      <w:bookmarkStart w:id="1" w:name="_Toc496884613"/>
      <w:bookmarkStart w:id="2" w:name="_Toc232076526"/>
      <w:r>
        <w:rPr>
          <w:rFonts w:ascii="Times New Roman" w:hAnsi="Times New Roman"/>
          <w:kern w:val="0"/>
        </w:rPr>
        <w:lastRenderedPageBreak/>
        <w:t>重要提示</w:t>
      </w:r>
      <w:bookmarkEnd w:id="0"/>
      <w:bookmarkEnd w:id="1"/>
      <w:bookmarkEnd w:id="2"/>
    </w:p>
    <w:p w:rsidR="001D3F82" w:rsidRDefault="003B0F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交银施罗德活期通货币市场基金（以下简称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2016</w:t>
      </w:r>
      <w:r>
        <w:rPr>
          <w:rFonts w:ascii="Times New Roman" w:hAnsi="Times New Roman"/>
          <w:kern w:val="0"/>
          <w:sz w:val="24"/>
        </w:rPr>
        <w:t>年</w:t>
      </w:r>
      <w:r>
        <w:rPr>
          <w:rFonts w:ascii="Times New Roman" w:hAnsi="Times New Roman"/>
          <w:kern w:val="0"/>
          <w:sz w:val="24"/>
        </w:rPr>
        <w:t>7</w:t>
      </w:r>
      <w:r>
        <w:rPr>
          <w:rFonts w:ascii="Times New Roman" w:hAnsi="Times New Roman"/>
          <w:kern w:val="0"/>
          <w:sz w:val="24"/>
        </w:rPr>
        <w:t>月</w:t>
      </w:r>
      <w:r>
        <w:rPr>
          <w:rFonts w:ascii="Times New Roman" w:hAnsi="Times New Roman"/>
          <w:kern w:val="0"/>
          <w:sz w:val="24"/>
        </w:rPr>
        <w:t>12</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2016</w:t>
      </w:r>
      <w:r>
        <w:rPr>
          <w:rFonts w:ascii="Times New Roman" w:hAnsi="Times New Roman"/>
          <w:kern w:val="0"/>
          <w:sz w:val="24"/>
        </w:rPr>
        <w:t>】</w:t>
      </w:r>
      <w:r>
        <w:rPr>
          <w:rFonts w:ascii="Times New Roman" w:hAnsi="Times New Roman"/>
          <w:kern w:val="0"/>
          <w:sz w:val="24"/>
        </w:rPr>
        <w:t>1570</w:t>
      </w:r>
      <w:r>
        <w:rPr>
          <w:rFonts w:ascii="Times New Roman" w:hAnsi="Times New Roman"/>
          <w:kern w:val="0"/>
          <w:sz w:val="24"/>
        </w:rPr>
        <w:t>号文准予募集注册。本基金基金合同于</w:t>
      </w:r>
      <w:r>
        <w:rPr>
          <w:rFonts w:ascii="Times New Roman" w:hAnsi="Times New Roman"/>
          <w:kern w:val="0"/>
          <w:sz w:val="24"/>
        </w:rPr>
        <w:t>2016</w:t>
      </w:r>
      <w:r>
        <w:rPr>
          <w:rFonts w:ascii="Times New Roman" w:hAnsi="Times New Roman"/>
          <w:kern w:val="0"/>
          <w:sz w:val="24"/>
        </w:rPr>
        <w:t>年</w:t>
      </w:r>
      <w:r>
        <w:rPr>
          <w:rFonts w:ascii="Times New Roman" w:hAnsi="Times New Roman"/>
          <w:kern w:val="0"/>
          <w:sz w:val="24"/>
        </w:rPr>
        <w:t>7</w:t>
      </w:r>
      <w:r>
        <w:rPr>
          <w:rFonts w:ascii="Times New Roman" w:hAnsi="Times New Roman"/>
          <w:kern w:val="0"/>
          <w:sz w:val="24"/>
        </w:rPr>
        <w:t>月</w:t>
      </w:r>
      <w:r>
        <w:rPr>
          <w:rFonts w:ascii="Times New Roman" w:hAnsi="Times New Roman"/>
          <w:kern w:val="0"/>
          <w:sz w:val="24"/>
        </w:rPr>
        <w:t>27</w:t>
      </w:r>
      <w:r>
        <w:rPr>
          <w:rFonts w:ascii="Times New Roman" w:hAnsi="Times New Roman"/>
          <w:kern w:val="0"/>
          <w:sz w:val="24"/>
        </w:rPr>
        <w:t>日正式生效。</w:t>
      </w:r>
    </w:p>
    <w:p w:rsidR="001D3F82" w:rsidRDefault="003B0F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w:t>
      </w:r>
    </w:p>
    <w:p w:rsidR="001D3F82" w:rsidRDefault="003B0F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1D3F82" w:rsidRDefault="003B0F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交易对手违约风险；投资货币市场基金特有的其他风险等等。本基金属于货币市场基金，长期风险收益水平低于股票型基金、混合型基金和债券型基金。</w:t>
      </w:r>
    </w:p>
    <w:p w:rsidR="001D3F82" w:rsidRDefault="003B0F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货币市场工具，面临货币市场利率波动的风险，基金每日的收益将根据市场情况上下波动，在极端情况下可能为负值。由于货币市场基金的特殊要求，为满足投资者的赎回需要，基金必须保持一定的现金比例以应对赎回的需求，在管理现金头寸时，有可能存在现金不足的风险或现金过多而带来的机会成本风险。</w:t>
      </w:r>
    </w:p>
    <w:p w:rsidR="001D3F82" w:rsidRDefault="003B0F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当影子定价确定的基金资产净值与摊余成本法计算的基金资产净值的正偏离度绝对值达到</w:t>
      </w:r>
      <w:r>
        <w:rPr>
          <w:rFonts w:ascii="Times New Roman" w:hAnsi="Times New Roman"/>
          <w:kern w:val="0"/>
          <w:sz w:val="24"/>
        </w:rPr>
        <w:t>0.5%</w:t>
      </w:r>
      <w:r>
        <w:rPr>
          <w:rFonts w:ascii="Times New Roman" w:hAnsi="Times New Roman"/>
          <w:kern w:val="0"/>
          <w:sz w:val="24"/>
        </w:rPr>
        <w:t>时，基金管理人应当暂停接受申购并在</w:t>
      </w:r>
      <w:r>
        <w:rPr>
          <w:rFonts w:ascii="Times New Roman" w:hAnsi="Times New Roman"/>
          <w:kern w:val="0"/>
          <w:sz w:val="24"/>
        </w:rPr>
        <w:t>5</w:t>
      </w:r>
      <w:r>
        <w:rPr>
          <w:rFonts w:ascii="Times New Roman" w:hAnsi="Times New Roman"/>
          <w:kern w:val="0"/>
          <w:sz w:val="24"/>
        </w:rPr>
        <w:t>个交易日内将正偏离度绝对值调整到</w:t>
      </w:r>
      <w:r>
        <w:rPr>
          <w:rFonts w:ascii="Times New Roman" w:hAnsi="Times New Roman"/>
          <w:kern w:val="0"/>
          <w:sz w:val="24"/>
        </w:rPr>
        <w:t>0.5%</w:t>
      </w:r>
      <w:r>
        <w:rPr>
          <w:rFonts w:ascii="Times New Roman" w:hAnsi="Times New Roman"/>
          <w:kern w:val="0"/>
          <w:sz w:val="24"/>
        </w:rPr>
        <w:t>以内。故投资者可能面临暂停申购的风险。当负偏离度绝对值连续两个交易日超过</w:t>
      </w:r>
      <w:r>
        <w:rPr>
          <w:rFonts w:ascii="Times New Roman" w:hAnsi="Times New Roman"/>
          <w:kern w:val="0"/>
          <w:sz w:val="24"/>
        </w:rPr>
        <w:t>0.5%</w:t>
      </w:r>
      <w:r>
        <w:rPr>
          <w:rFonts w:ascii="Times New Roman" w:hAnsi="Times New Roman"/>
          <w:kern w:val="0"/>
          <w:sz w:val="24"/>
        </w:rPr>
        <w:t>时，基金管理人应当采用公允价值估值方法对持有投</w:t>
      </w:r>
      <w:r>
        <w:rPr>
          <w:rFonts w:ascii="Times New Roman" w:hAnsi="Times New Roman"/>
          <w:kern w:val="0"/>
          <w:sz w:val="24"/>
        </w:rPr>
        <w:lastRenderedPageBreak/>
        <w:t>资组合的账面价值进行调整，或者采取暂停接受所有赎回申请并终止基金合同进行财产清算等措施。故投资者可能面临上述估值调整或暂停赎回及基金合同提前终止的风险。</w:t>
      </w:r>
    </w:p>
    <w:p w:rsidR="001D3F82" w:rsidRDefault="003B0F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在满足相关流动性风险管理要求的前提下，当本基金持有的现金、国债、中央银行票据、政策性金融债券以及</w:t>
      </w:r>
      <w:r>
        <w:rPr>
          <w:rFonts w:ascii="Times New Roman" w:hAnsi="Times New Roman"/>
          <w:kern w:val="0"/>
          <w:sz w:val="24"/>
        </w:rPr>
        <w:t>5</w:t>
      </w:r>
      <w:r>
        <w:rPr>
          <w:rFonts w:ascii="Times New Roman" w:hAnsi="Times New Roman"/>
          <w:kern w:val="0"/>
          <w:sz w:val="24"/>
        </w:rPr>
        <w:t>个交易日内到期的其他金融工具占基金资产净值的比例合计低于</w:t>
      </w:r>
      <w:r>
        <w:rPr>
          <w:rFonts w:ascii="Times New Roman" w:hAnsi="Times New Roman"/>
          <w:kern w:val="0"/>
          <w:sz w:val="24"/>
        </w:rPr>
        <w:t>5%</w:t>
      </w:r>
      <w:r>
        <w:rPr>
          <w:rFonts w:ascii="Times New Roman" w:hAnsi="Times New Roman"/>
          <w:kern w:val="0"/>
          <w:sz w:val="24"/>
        </w:rPr>
        <w:t>且偏离度为负时，当日单个基金份额持有人申请赎回基金份额超过基金总份额</w:t>
      </w:r>
      <w:r>
        <w:rPr>
          <w:rFonts w:ascii="Times New Roman" w:hAnsi="Times New Roman"/>
          <w:kern w:val="0"/>
          <w:sz w:val="24"/>
        </w:rPr>
        <w:t>1%</w:t>
      </w:r>
      <w:r>
        <w:rPr>
          <w:rFonts w:ascii="Times New Roman" w:hAnsi="Times New Roman"/>
          <w:kern w:val="0"/>
          <w:sz w:val="24"/>
        </w:rPr>
        <w:t>以上的，该基金份额持有人可能面临被征收</w:t>
      </w:r>
      <w:r>
        <w:rPr>
          <w:rFonts w:ascii="Times New Roman" w:hAnsi="Times New Roman"/>
          <w:kern w:val="0"/>
          <w:sz w:val="24"/>
        </w:rPr>
        <w:t>1%</w:t>
      </w:r>
      <w:r>
        <w:rPr>
          <w:rFonts w:ascii="Times New Roman" w:hAnsi="Times New Roman"/>
          <w:kern w:val="0"/>
          <w:sz w:val="24"/>
        </w:rPr>
        <w:t>的强制赎回费用的风险，上述赎回费用全额计入基金财产；当本基金前</w:t>
      </w:r>
      <w:r>
        <w:rPr>
          <w:rFonts w:ascii="Times New Roman" w:hAnsi="Times New Roman"/>
          <w:kern w:val="0"/>
          <w:sz w:val="24"/>
        </w:rPr>
        <w:t xml:space="preserve">10 </w:t>
      </w:r>
      <w:r>
        <w:rPr>
          <w:rFonts w:ascii="Times New Roman" w:hAnsi="Times New Roman"/>
          <w:kern w:val="0"/>
          <w:sz w:val="24"/>
        </w:rPr>
        <w:t>名基金份额持有人的持有份额合计超过基金总份额</w:t>
      </w:r>
      <w:r>
        <w:rPr>
          <w:rFonts w:ascii="Times New Roman" w:hAnsi="Times New Roman"/>
          <w:kern w:val="0"/>
          <w:sz w:val="24"/>
        </w:rPr>
        <w:t>50%</w:t>
      </w:r>
      <w:r>
        <w:rPr>
          <w:rFonts w:ascii="Times New Roman" w:hAnsi="Times New Roman"/>
          <w:kern w:val="0"/>
          <w:sz w:val="24"/>
        </w:rPr>
        <w:t>，且本基金投资组合中现金、国债、中央银行票据、政策性金融债券以及</w:t>
      </w:r>
      <w:r>
        <w:rPr>
          <w:rFonts w:ascii="Times New Roman" w:hAnsi="Times New Roman"/>
          <w:kern w:val="0"/>
          <w:sz w:val="24"/>
        </w:rPr>
        <w:t xml:space="preserve">5 </w:t>
      </w:r>
      <w:r>
        <w:rPr>
          <w:rFonts w:ascii="Times New Roman" w:hAnsi="Times New Roman"/>
          <w:kern w:val="0"/>
          <w:sz w:val="24"/>
        </w:rPr>
        <w:t>个交易日内到期的其他金融工具占基金资产净值的比例合计低于</w:t>
      </w:r>
      <w:r>
        <w:rPr>
          <w:rFonts w:ascii="Times New Roman" w:hAnsi="Times New Roman"/>
          <w:kern w:val="0"/>
          <w:sz w:val="24"/>
        </w:rPr>
        <w:t>10%</w:t>
      </w:r>
      <w:r>
        <w:rPr>
          <w:rFonts w:ascii="Times New Roman" w:hAnsi="Times New Roman"/>
          <w:kern w:val="0"/>
          <w:sz w:val="24"/>
        </w:rPr>
        <w:t>且偏离度为负时，基金管理人应当对当日单个基金份额持有人超过基金总份额</w:t>
      </w:r>
      <w:r>
        <w:rPr>
          <w:rFonts w:ascii="Times New Roman" w:hAnsi="Times New Roman"/>
          <w:kern w:val="0"/>
          <w:sz w:val="24"/>
        </w:rPr>
        <w:t>1%</w:t>
      </w:r>
      <w:r>
        <w:rPr>
          <w:rFonts w:ascii="Times New Roman" w:hAnsi="Times New Roman"/>
          <w:kern w:val="0"/>
          <w:sz w:val="24"/>
        </w:rPr>
        <w:t>以上的赎回申请征收</w:t>
      </w:r>
      <w:r>
        <w:rPr>
          <w:rFonts w:ascii="Times New Roman" w:hAnsi="Times New Roman"/>
          <w:kern w:val="0"/>
          <w:sz w:val="24"/>
        </w:rPr>
        <w:t>1%</w:t>
      </w:r>
      <w:r>
        <w:rPr>
          <w:rFonts w:ascii="Times New Roman" w:hAnsi="Times New Roman"/>
          <w:kern w:val="0"/>
          <w:sz w:val="24"/>
        </w:rPr>
        <w:t>的强制赎回费用，并将上述赎回费用全额计入基金财产。故投资者可能面临上述被征收</w:t>
      </w:r>
      <w:r>
        <w:rPr>
          <w:rFonts w:ascii="Times New Roman" w:hAnsi="Times New Roman"/>
          <w:kern w:val="0"/>
          <w:sz w:val="24"/>
        </w:rPr>
        <w:t>1%</w:t>
      </w:r>
      <w:r>
        <w:rPr>
          <w:rFonts w:ascii="Times New Roman" w:hAnsi="Times New Roman"/>
          <w:kern w:val="0"/>
          <w:sz w:val="24"/>
        </w:rPr>
        <w:t>的强制赎回费用的风险。此外，单个基金份额持有人在单个开放日申请赎回基金份额超过基金总份额</w:t>
      </w:r>
      <w:r>
        <w:rPr>
          <w:rFonts w:ascii="Times New Roman" w:hAnsi="Times New Roman"/>
          <w:kern w:val="0"/>
          <w:sz w:val="24"/>
        </w:rPr>
        <w:t>10%</w:t>
      </w:r>
      <w:r>
        <w:rPr>
          <w:rFonts w:ascii="Times New Roman" w:hAnsi="Times New Roman"/>
          <w:kern w:val="0"/>
          <w:sz w:val="24"/>
        </w:rPr>
        <w:t>的，该基金份额持有人可能面临延期办理部分赎回申请或者延缓支付赎回款项的风险。</w:t>
      </w:r>
    </w:p>
    <w:p w:rsidR="001D3F82" w:rsidRDefault="003B0F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投资者购买本货币市场基金并不等于将资金作为存款存放在银行或存款类金融机构，基金管理人不保证基金一定盈利，也不保证最低收益。</w:t>
      </w:r>
    </w:p>
    <w:p w:rsidR="001D3F82" w:rsidRDefault="003B0F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1D3F82" w:rsidRDefault="003B0F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日，有关财务和业绩表现数据截止日为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日，财务和业绩表现数据未经审计。</w:t>
      </w:r>
    </w:p>
    <w:p w:rsidR="001D3F82" w:rsidRDefault="001D3F82">
      <w:pPr>
        <w:autoSpaceDE w:val="0"/>
        <w:autoSpaceDN w:val="0"/>
        <w:adjustRightInd w:val="0"/>
        <w:snapToGrid w:val="0"/>
        <w:spacing w:before="51" w:line="360" w:lineRule="auto"/>
        <w:ind w:left="120" w:rightChars="6" w:right="13" w:firstLine="480"/>
        <w:rPr>
          <w:rFonts w:ascii="宋体" w:hAnsi="宋体"/>
          <w:kern w:val="0"/>
          <w:szCs w:val="24"/>
        </w:rPr>
        <w:sectPr w:rsidR="001D3F82">
          <w:headerReference w:type="default" r:id="rId14"/>
          <w:pgSz w:w="11920" w:h="16840"/>
          <w:pgMar w:top="1440" w:right="1680" w:bottom="280" w:left="1680" w:header="0" w:footer="1073" w:gutter="0"/>
          <w:pgNumType w:start="1"/>
          <w:cols w:space="720"/>
        </w:sectPr>
      </w:pPr>
    </w:p>
    <w:p w:rsidR="00AD7AD4" w:rsidRPr="00AD7AD4" w:rsidRDefault="003B0F32" w:rsidP="00AD7AD4">
      <w:pPr>
        <w:pStyle w:val="ad"/>
        <w:snapToGrid w:val="0"/>
        <w:spacing w:after="240" w:line="360" w:lineRule="auto"/>
        <w:jc w:val="center"/>
        <w:rPr>
          <w:rFonts w:ascii="宋体" w:hAnsi="宋体"/>
          <w:noProof/>
          <w:sz w:val="24"/>
        </w:rPr>
      </w:pPr>
      <w:r w:rsidRPr="00AD7AD4">
        <w:rPr>
          <w:rFonts w:ascii="宋体" w:hAnsi="宋体"/>
          <w:color w:val="000000"/>
          <w:position w:val="-4"/>
          <w:sz w:val="24"/>
          <w:szCs w:val="30"/>
        </w:rPr>
        <w:lastRenderedPageBreak/>
        <w:t>目</w:t>
      </w:r>
      <w:r w:rsidRPr="00AD7AD4">
        <w:rPr>
          <w:rFonts w:ascii="宋体" w:hAnsi="宋体"/>
          <w:color w:val="000000"/>
          <w:position w:val="-4"/>
          <w:sz w:val="24"/>
          <w:szCs w:val="30"/>
        </w:rPr>
        <w:tab/>
        <w:t>录</w:t>
      </w:r>
      <w:r w:rsidR="00AD7AD4" w:rsidRPr="00AD7AD4">
        <w:rPr>
          <w:rFonts w:ascii="宋体" w:hAnsi="宋体"/>
          <w:color w:val="000000"/>
          <w:position w:val="-4"/>
          <w:sz w:val="24"/>
          <w:szCs w:val="30"/>
        </w:rPr>
        <w:fldChar w:fldCharType="begin"/>
      </w:r>
      <w:r w:rsidR="00AD7AD4" w:rsidRPr="00AD7AD4">
        <w:rPr>
          <w:rFonts w:ascii="宋体" w:hAnsi="宋体"/>
          <w:color w:val="000000"/>
          <w:position w:val="-4"/>
          <w:sz w:val="24"/>
          <w:szCs w:val="30"/>
        </w:rPr>
        <w:instrText xml:space="preserve"> TOC \o "1-3" \f - \h \t "-1" </w:instrText>
      </w:r>
      <w:r w:rsidR="00AD7AD4" w:rsidRPr="00AD7AD4">
        <w:rPr>
          <w:rFonts w:ascii="宋体" w:hAnsi="宋体"/>
          <w:color w:val="000000"/>
          <w:position w:val="-4"/>
          <w:sz w:val="24"/>
          <w:szCs w:val="30"/>
        </w:rPr>
        <w:fldChar w:fldCharType="separate"/>
      </w:r>
    </w:p>
    <w:p w:rsidR="00AD7AD4" w:rsidRPr="00AD7AD4" w:rsidRDefault="00AD7AD4" w:rsidP="00AD7AD4">
      <w:pPr>
        <w:pStyle w:val="10"/>
        <w:tabs>
          <w:tab w:val="right" w:leader="dot" w:pos="8550"/>
        </w:tabs>
        <w:spacing w:line="360" w:lineRule="auto"/>
        <w:rPr>
          <w:rFonts w:ascii="宋体" w:hAnsi="宋体" w:cstheme="minorBidi"/>
          <w:noProof/>
          <w:sz w:val="24"/>
        </w:rPr>
      </w:pPr>
      <w:hyperlink w:anchor="_Toc232076526" w:history="1">
        <w:r w:rsidRPr="00AD7AD4">
          <w:rPr>
            <w:rStyle w:val="aa"/>
            <w:rFonts w:ascii="宋体" w:hAnsi="宋体" w:hint="eastAsia"/>
            <w:noProof/>
            <w:kern w:val="0"/>
            <w:sz w:val="24"/>
          </w:rPr>
          <w:t>重要提示</w:t>
        </w:r>
        <w:r w:rsidRPr="00AD7AD4">
          <w:rPr>
            <w:rFonts w:ascii="宋体" w:hAnsi="宋体"/>
            <w:noProof/>
            <w:sz w:val="24"/>
          </w:rPr>
          <w:tab/>
        </w:r>
        <w:r w:rsidRPr="00AD7AD4">
          <w:rPr>
            <w:rFonts w:ascii="宋体" w:hAnsi="宋体"/>
            <w:noProof/>
            <w:sz w:val="24"/>
          </w:rPr>
          <w:fldChar w:fldCharType="begin"/>
        </w:r>
        <w:r w:rsidRPr="00AD7AD4">
          <w:rPr>
            <w:rFonts w:ascii="宋体" w:hAnsi="宋体"/>
            <w:noProof/>
            <w:sz w:val="24"/>
          </w:rPr>
          <w:instrText xml:space="preserve"> PAGEREF _Toc232076526 \h </w:instrText>
        </w:r>
        <w:r w:rsidRPr="00AD7AD4">
          <w:rPr>
            <w:rFonts w:ascii="宋体" w:hAnsi="宋体"/>
            <w:noProof/>
            <w:sz w:val="24"/>
          </w:rPr>
        </w:r>
        <w:r w:rsidRPr="00AD7AD4">
          <w:rPr>
            <w:rFonts w:ascii="宋体" w:hAnsi="宋体"/>
            <w:noProof/>
            <w:sz w:val="24"/>
          </w:rPr>
          <w:fldChar w:fldCharType="separate"/>
        </w:r>
        <w:r w:rsidRPr="00AD7AD4">
          <w:rPr>
            <w:rFonts w:ascii="宋体" w:hAnsi="宋体"/>
            <w:noProof/>
            <w:sz w:val="24"/>
          </w:rPr>
          <w:t>1</w:t>
        </w:r>
        <w:r w:rsidRPr="00AD7AD4">
          <w:rPr>
            <w:rFonts w:ascii="宋体" w:hAnsi="宋体"/>
            <w:noProof/>
            <w:sz w:val="24"/>
          </w:rPr>
          <w:fldChar w:fldCharType="end"/>
        </w:r>
      </w:hyperlink>
    </w:p>
    <w:p w:rsidR="00AD7AD4" w:rsidRPr="00AD7AD4" w:rsidRDefault="00AD7AD4" w:rsidP="00AD7AD4">
      <w:pPr>
        <w:pStyle w:val="10"/>
        <w:tabs>
          <w:tab w:val="right" w:leader="dot" w:pos="8550"/>
        </w:tabs>
        <w:spacing w:line="360" w:lineRule="auto"/>
        <w:rPr>
          <w:rFonts w:ascii="宋体" w:hAnsi="宋体" w:cstheme="minorBidi"/>
          <w:noProof/>
          <w:sz w:val="24"/>
        </w:rPr>
      </w:pPr>
      <w:hyperlink w:anchor="_Toc232076527" w:history="1">
        <w:r w:rsidRPr="00AD7AD4">
          <w:rPr>
            <w:rStyle w:val="aa"/>
            <w:rFonts w:ascii="宋体" w:hAnsi="宋体" w:hint="eastAsia"/>
            <w:noProof/>
            <w:sz w:val="24"/>
          </w:rPr>
          <w:t>一、绪言</w:t>
        </w:r>
        <w:r w:rsidRPr="00AD7AD4">
          <w:rPr>
            <w:rFonts w:ascii="宋体" w:hAnsi="宋体"/>
            <w:noProof/>
            <w:sz w:val="24"/>
          </w:rPr>
          <w:tab/>
        </w:r>
        <w:r w:rsidRPr="00AD7AD4">
          <w:rPr>
            <w:rFonts w:ascii="宋体" w:hAnsi="宋体"/>
            <w:noProof/>
            <w:sz w:val="24"/>
          </w:rPr>
          <w:fldChar w:fldCharType="begin"/>
        </w:r>
        <w:r w:rsidRPr="00AD7AD4">
          <w:rPr>
            <w:rFonts w:ascii="宋体" w:hAnsi="宋体"/>
            <w:noProof/>
            <w:sz w:val="24"/>
          </w:rPr>
          <w:instrText xml:space="preserve"> PAGEREF _Toc232076527 \h </w:instrText>
        </w:r>
        <w:r w:rsidRPr="00AD7AD4">
          <w:rPr>
            <w:rFonts w:ascii="宋体" w:hAnsi="宋体"/>
            <w:noProof/>
            <w:sz w:val="24"/>
          </w:rPr>
        </w:r>
        <w:r w:rsidRPr="00AD7AD4">
          <w:rPr>
            <w:rFonts w:ascii="宋体" w:hAnsi="宋体"/>
            <w:noProof/>
            <w:sz w:val="24"/>
          </w:rPr>
          <w:fldChar w:fldCharType="separate"/>
        </w:r>
        <w:r w:rsidRPr="00AD7AD4">
          <w:rPr>
            <w:rFonts w:ascii="宋体" w:hAnsi="宋体"/>
            <w:noProof/>
            <w:sz w:val="24"/>
          </w:rPr>
          <w:t>4</w:t>
        </w:r>
        <w:r w:rsidRPr="00AD7AD4">
          <w:rPr>
            <w:rFonts w:ascii="宋体" w:hAnsi="宋体"/>
            <w:noProof/>
            <w:sz w:val="24"/>
          </w:rPr>
          <w:fldChar w:fldCharType="end"/>
        </w:r>
      </w:hyperlink>
    </w:p>
    <w:p w:rsidR="00AD7AD4" w:rsidRPr="00AD7AD4" w:rsidRDefault="00AD7AD4" w:rsidP="00AD7AD4">
      <w:pPr>
        <w:pStyle w:val="10"/>
        <w:tabs>
          <w:tab w:val="right" w:leader="dot" w:pos="8550"/>
        </w:tabs>
        <w:spacing w:line="360" w:lineRule="auto"/>
        <w:rPr>
          <w:rFonts w:ascii="宋体" w:hAnsi="宋体" w:cstheme="minorBidi"/>
          <w:noProof/>
          <w:sz w:val="24"/>
        </w:rPr>
      </w:pPr>
      <w:hyperlink w:anchor="_Toc232076528" w:history="1">
        <w:r w:rsidRPr="00AD7AD4">
          <w:rPr>
            <w:rStyle w:val="aa"/>
            <w:rFonts w:ascii="宋体" w:hAnsi="宋体" w:hint="eastAsia"/>
            <w:noProof/>
            <w:sz w:val="24"/>
          </w:rPr>
          <w:t>二、释义</w:t>
        </w:r>
        <w:r w:rsidRPr="00AD7AD4">
          <w:rPr>
            <w:rFonts w:ascii="宋体" w:hAnsi="宋体"/>
            <w:noProof/>
            <w:sz w:val="24"/>
          </w:rPr>
          <w:tab/>
        </w:r>
        <w:r w:rsidRPr="00AD7AD4">
          <w:rPr>
            <w:rFonts w:ascii="宋体" w:hAnsi="宋体"/>
            <w:noProof/>
            <w:sz w:val="24"/>
          </w:rPr>
          <w:fldChar w:fldCharType="begin"/>
        </w:r>
        <w:r w:rsidRPr="00AD7AD4">
          <w:rPr>
            <w:rFonts w:ascii="宋体" w:hAnsi="宋体"/>
            <w:noProof/>
            <w:sz w:val="24"/>
          </w:rPr>
          <w:instrText xml:space="preserve"> PAGEREF _Toc232076528 \h </w:instrText>
        </w:r>
        <w:r w:rsidRPr="00AD7AD4">
          <w:rPr>
            <w:rFonts w:ascii="宋体" w:hAnsi="宋体"/>
            <w:noProof/>
            <w:sz w:val="24"/>
          </w:rPr>
        </w:r>
        <w:r w:rsidRPr="00AD7AD4">
          <w:rPr>
            <w:rFonts w:ascii="宋体" w:hAnsi="宋体"/>
            <w:noProof/>
            <w:sz w:val="24"/>
          </w:rPr>
          <w:fldChar w:fldCharType="separate"/>
        </w:r>
        <w:r w:rsidRPr="00AD7AD4">
          <w:rPr>
            <w:rFonts w:ascii="宋体" w:hAnsi="宋体"/>
            <w:noProof/>
            <w:sz w:val="24"/>
          </w:rPr>
          <w:t>5</w:t>
        </w:r>
        <w:r w:rsidRPr="00AD7AD4">
          <w:rPr>
            <w:rFonts w:ascii="宋体" w:hAnsi="宋体"/>
            <w:noProof/>
            <w:sz w:val="24"/>
          </w:rPr>
          <w:fldChar w:fldCharType="end"/>
        </w:r>
      </w:hyperlink>
    </w:p>
    <w:p w:rsidR="00AD7AD4" w:rsidRPr="00AD7AD4" w:rsidRDefault="00AD7AD4" w:rsidP="00AD7AD4">
      <w:pPr>
        <w:pStyle w:val="10"/>
        <w:tabs>
          <w:tab w:val="right" w:leader="dot" w:pos="8550"/>
        </w:tabs>
        <w:spacing w:line="360" w:lineRule="auto"/>
        <w:rPr>
          <w:rFonts w:ascii="宋体" w:hAnsi="宋体" w:cstheme="minorBidi"/>
          <w:noProof/>
          <w:sz w:val="24"/>
        </w:rPr>
      </w:pPr>
      <w:hyperlink w:anchor="_Toc232076529" w:history="1">
        <w:r w:rsidRPr="00AD7AD4">
          <w:rPr>
            <w:rStyle w:val="aa"/>
            <w:rFonts w:ascii="宋体" w:hAnsi="宋体" w:hint="eastAsia"/>
            <w:noProof/>
            <w:sz w:val="24"/>
          </w:rPr>
          <w:t>三、基金管理人</w:t>
        </w:r>
        <w:r w:rsidRPr="00AD7AD4">
          <w:rPr>
            <w:rFonts w:ascii="宋体" w:hAnsi="宋体"/>
            <w:noProof/>
            <w:sz w:val="24"/>
          </w:rPr>
          <w:tab/>
        </w:r>
        <w:r w:rsidRPr="00AD7AD4">
          <w:rPr>
            <w:rFonts w:ascii="宋体" w:hAnsi="宋体"/>
            <w:noProof/>
            <w:sz w:val="24"/>
          </w:rPr>
          <w:fldChar w:fldCharType="begin"/>
        </w:r>
        <w:r w:rsidRPr="00AD7AD4">
          <w:rPr>
            <w:rFonts w:ascii="宋体" w:hAnsi="宋体"/>
            <w:noProof/>
            <w:sz w:val="24"/>
          </w:rPr>
          <w:instrText xml:space="preserve"> PAGEREF _Toc232076529 \h </w:instrText>
        </w:r>
        <w:r w:rsidRPr="00AD7AD4">
          <w:rPr>
            <w:rFonts w:ascii="宋体" w:hAnsi="宋体"/>
            <w:noProof/>
            <w:sz w:val="24"/>
          </w:rPr>
        </w:r>
        <w:r w:rsidRPr="00AD7AD4">
          <w:rPr>
            <w:rFonts w:ascii="宋体" w:hAnsi="宋体"/>
            <w:noProof/>
            <w:sz w:val="24"/>
          </w:rPr>
          <w:fldChar w:fldCharType="separate"/>
        </w:r>
        <w:r w:rsidRPr="00AD7AD4">
          <w:rPr>
            <w:rFonts w:ascii="宋体" w:hAnsi="宋体"/>
            <w:noProof/>
            <w:sz w:val="24"/>
          </w:rPr>
          <w:t>10</w:t>
        </w:r>
        <w:r w:rsidRPr="00AD7AD4">
          <w:rPr>
            <w:rFonts w:ascii="宋体" w:hAnsi="宋体"/>
            <w:noProof/>
            <w:sz w:val="24"/>
          </w:rPr>
          <w:fldChar w:fldCharType="end"/>
        </w:r>
      </w:hyperlink>
    </w:p>
    <w:p w:rsidR="00AD7AD4" w:rsidRPr="00AD7AD4" w:rsidRDefault="00AD7AD4" w:rsidP="00AD7AD4">
      <w:pPr>
        <w:pStyle w:val="10"/>
        <w:tabs>
          <w:tab w:val="right" w:leader="dot" w:pos="8550"/>
        </w:tabs>
        <w:spacing w:line="360" w:lineRule="auto"/>
        <w:rPr>
          <w:rFonts w:ascii="宋体" w:hAnsi="宋体" w:cstheme="minorBidi"/>
          <w:noProof/>
          <w:sz w:val="24"/>
        </w:rPr>
      </w:pPr>
      <w:hyperlink w:anchor="_Toc232076530" w:history="1">
        <w:r w:rsidRPr="00AD7AD4">
          <w:rPr>
            <w:rStyle w:val="aa"/>
            <w:rFonts w:ascii="宋体" w:hAnsi="宋体" w:hint="eastAsia"/>
            <w:noProof/>
            <w:sz w:val="24"/>
          </w:rPr>
          <w:t>四、基金托管人</w:t>
        </w:r>
        <w:r w:rsidRPr="00AD7AD4">
          <w:rPr>
            <w:rFonts w:ascii="宋体" w:hAnsi="宋体"/>
            <w:noProof/>
            <w:sz w:val="24"/>
          </w:rPr>
          <w:tab/>
        </w:r>
        <w:r w:rsidRPr="00AD7AD4">
          <w:rPr>
            <w:rFonts w:ascii="宋体" w:hAnsi="宋体"/>
            <w:noProof/>
            <w:sz w:val="24"/>
          </w:rPr>
          <w:fldChar w:fldCharType="begin"/>
        </w:r>
        <w:r w:rsidRPr="00AD7AD4">
          <w:rPr>
            <w:rFonts w:ascii="宋体" w:hAnsi="宋体"/>
            <w:noProof/>
            <w:sz w:val="24"/>
          </w:rPr>
          <w:instrText xml:space="preserve"> PAGEREF _Toc232076530 \h </w:instrText>
        </w:r>
        <w:r w:rsidRPr="00AD7AD4">
          <w:rPr>
            <w:rFonts w:ascii="宋体" w:hAnsi="宋体"/>
            <w:noProof/>
            <w:sz w:val="24"/>
          </w:rPr>
        </w:r>
        <w:r w:rsidRPr="00AD7AD4">
          <w:rPr>
            <w:rFonts w:ascii="宋体" w:hAnsi="宋体"/>
            <w:noProof/>
            <w:sz w:val="24"/>
          </w:rPr>
          <w:fldChar w:fldCharType="separate"/>
        </w:r>
        <w:r w:rsidRPr="00AD7AD4">
          <w:rPr>
            <w:rFonts w:ascii="宋体" w:hAnsi="宋体"/>
            <w:noProof/>
            <w:sz w:val="24"/>
          </w:rPr>
          <w:t>18</w:t>
        </w:r>
        <w:r w:rsidRPr="00AD7AD4">
          <w:rPr>
            <w:rFonts w:ascii="宋体" w:hAnsi="宋体"/>
            <w:noProof/>
            <w:sz w:val="24"/>
          </w:rPr>
          <w:fldChar w:fldCharType="end"/>
        </w:r>
      </w:hyperlink>
    </w:p>
    <w:p w:rsidR="00AD7AD4" w:rsidRPr="00AD7AD4" w:rsidRDefault="00AD7AD4" w:rsidP="00AD7AD4">
      <w:pPr>
        <w:pStyle w:val="10"/>
        <w:tabs>
          <w:tab w:val="right" w:leader="dot" w:pos="8550"/>
        </w:tabs>
        <w:spacing w:line="360" w:lineRule="auto"/>
        <w:rPr>
          <w:rFonts w:ascii="宋体" w:hAnsi="宋体" w:cstheme="minorBidi"/>
          <w:noProof/>
          <w:sz w:val="24"/>
        </w:rPr>
      </w:pPr>
      <w:hyperlink w:anchor="_Toc232076531" w:history="1">
        <w:r w:rsidRPr="00AD7AD4">
          <w:rPr>
            <w:rStyle w:val="aa"/>
            <w:rFonts w:ascii="宋体" w:hAnsi="宋体" w:hint="eastAsia"/>
            <w:noProof/>
            <w:sz w:val="24"/>
          </w:rPr>
          <w:t>五、相关服务机构</w:t>
        </w:r>
        <w:r w:rsidRPr="00AD7AD4">
          <w:rPr>
            <w:rFonts w:ascii="宋体" w:hAnsi="宋体"/>
            <w:noProof/>
            <w:sz w:val="24"/>
          </w:rPr>
          <w:tab/>
        </w:r>
        <w:r w:rsidRPr="00AD7AD4">
          <w:rPr>
            <w:rFonts w:ascii="宋体" w:hAnsi="宋体"/>
            <w:noProof/>
            <w:sz w:val="24"/>
          </w:rPr>
          <w:fldChar w:fldCharType="begin"/>
        </w:r>
        <w:r w:rsidRPr="00AD7AD4">
          <w:rPr>
            <w:rFonts w:ascii="宋体" w:hAnsi="宋体"/>
            <w:noProof/>
            <w:sz w:val="24"/>
          </w:rPr>
          <w:instrText xml:space="preserve"> PAGEREF _Toc232076531 \h </w:instrText>
        </w:r>
        <w:r w:rsidRPr="00AD7AD4">
          <w:rPr>
            <w:rFonts w:ascii="宋体" w:hAnsi="宋体"/>
            <w:noProof/>
            <w:sz w:val="24"/>
          </w:rPr>
        </w:r>
        <w:r w:rsidRPr="00AD7AD4">
          <w:rPr>
            <w:rFonts w:ascii="宋体" w:hAnsi="宋体"/>
            <w:noProof/>
            <w:sz w:val="24"/>
          </w:rPr>
          <w:fldChar w:fldCharType="separate"/>
        </w:r>
        <w:r w:rsidRPr="00AD7AD4">
          <w:rPr>
            <w:rFonts w:ascii="宋体" w:hAnsi="宋体"/>
            <w:noProof/>
            <w:sz w:val="24"/>
          </w:rPr>
          <w:t>21</w:t>
        </w:r>
        <w:r w:rsidRPr="00AD7AD4">
          <w:rPr>
            <w:rFonts w:ascii="宋体" w:hAnsi="宋体"/>
            <w:noProof/>
            <w:sz w:val="24"/>
          </w:rPr>
          <w:fldChar w:fldCharType="end"/>
        </w:r>
      </w:hyperlink>
    </w:p>
    <w:p w:rsidR="00AD7AD4" w:rsidRPr="00AD7AD4" w:rsidRDefault="00AD7AD4" w:rsidP="00AD7AD4">
      <w:pPr>
        <w:pStyle w:val="10"/>
        <w:tabs>
          <w:tab w:val="right" w:leader="dot" w:pos="8550"/>
        </w:tabs>
        <w:spacing w:line="360" w:lineRule="auto"/>
        <w:rPr>
          <w:rFonts w:ascii="宋体" w:hAnsi="宋体" w:cstheme="minorBidi"/>
          <w:noProof/>
          <w:sz w:val="24"/>
        </w:rPr>
      </w:pPr>
      <w:hyperlink w:anchor="_Toc232076532" w:history="1">
        <w:r w:rsidRPr="00AD7AD4">
          <w:rPr>
            <w:rStyle w:val="aa"/>
            <w:rFonts w:ascii="宋体" w:hAnsi="宋体" w:hint="eastAsia"/>
            <w:noProof/>
            <w:sz w:val="24"/>
          </w:rPr>
          <w:t>六、基金的募集</w:t>
        </w:r>
        <w:r w:rsidRPr="00AD7AD4">
          <w:rPr>
            <w:rFonts w:ascii="宋体" w:hAnsi="宋体"/>
            <w:noProof/>
            <w:sz w:val="24"/>
          </w:rPr>
          <w:tab/>
        </w:r>
        <w:r w:rsidRPr="00AD7AD4">
          <w:rPr>
            <w:rFonts w:ascii="宋体" w:hAnsi="宋体"/>
            <w:noProof/>
            <w:sz w:val="24"/>
          </w:rPr>
          <w:fldChar w:fldCharType="begin"/>
        </w:r>
        <w:r w:rsidRPr="00AD7AD4">
          <w:rPr>
            <w:rFonts w:ascii="宋体" w:hAnsi="宋体"/>
            <w:noProof/>
            <w:sz w:val="24"/>
          </w:rPr>
          <w:instrText xml:space="preserve"> PAGEREF _Toc232076532 \h </w:instrText>
        </w:r>
        <w:r w:rsidRPr="00AD7AD4">
          <w:rPr>
            <w:rFonts w:ascii="宋体" w:hAnsi="宋体"/>
            <w:noProof/>
            <w:sz w:val="24"/>
          </w:rPr>
        </w:r>
        <w:r w:rsidRPr="00AD7AD4">
          <w:rPr>
            <w:rFonts w:ascii="宋体" w:hAnsi="宋体"/>
            <w:noProof/>
            <w:sz w:val="24"/>
          </w:rPr>
          <w:fldChar w:fldCharType="separate"/>
        </w:r>
        <w:r w:rsidRPr="00AD7AD4">
          <w:rPr>
            <w:rFonts w:ascii="宋体" w:hAnsi="宋体"/>
            <w:noProof/>
            <w:sz w:val="24"/>
          </w:rPr>
          <w:t>40</w:t>
        </w:r>
        <w:r w:rsidRPr="00AD7AD4">
          <w:rPr>
            <w:rFonts w:ascii="宋体" w:hAnsi="宋体"/>
            <w:noProof/>
            <w:sz w:val="24"/>
          </w:rPr>
          <w:fldChar w:fldCharType="end"/>
        </w:r>
      </w:hyperlink>
    </w:p>
    <w:p w:rsidR="00AD7AD4" w:rsidRPr="00AD7AD4" w:rsidRDefault="00AD7AD4" w:rsidP="00AD7AD4">
      <w:pPr>
        <w:pStyle w:val="10"/>
        <w:tabs>
          <w:tab w:val="right" w:leader="dot" w:pos="8550"/>
        </w:tabs>
        <w:spacing w:line="360" w:lineRule="auto"/>
        <w:rPr>
          <w:rFonts w:ascii="宋体" w:hAnsi="宋体" w:cstheme="minorBidi"/>
          <w:noProof/>
          <w:sz w:val="24"/>
        </w:rPr>
      </w:pPr>
      <w:hyperlink w:anchor="_Toc232076533" w:history="1">
        <w:r w:rsidRPr="00AD7AD4">
          <w:rPr>
            <w:rStyle w:val="aa"/>
            <w:rFonts w:ascii="宋体" w:hAnsi="宋体" w:hint="eastAsia"/>
            <w:noProof/>
            <w:sz w:val="24"/>
          </w:rPr>
          <w:t>七、基金合同的生效</w:t>
        </w:r>
        <w:r w:rsidRPr="00AD7AD4">
          <w:rPr>
            <w:rFonts w:ascii="宋体" w:hAnsi="宋体"/>
            <w:noProof/>
            <w:sz w:val="24"/>
          </w:rPr>
          <w:tab/>
        </w:r>
        <w:r w:rsidRPr="00AD7AD4">
          <w:rPr>
            <w:rFonts w:ascii="宋体" w:hAnsi="宋体"/>
            <w:noProof/>
            <w:sz w:val="24"/>
          </w:rPr>
          <w:fldChar w:fldCharType="begin"/>
        </w:r>
        <w:r w:rsidRPr="00AD7AD4">
          <w:rPr>
            <w:rFonts w:ascii="宋体" w:hAnsi="宋体"/>
            <w:noProof/>
            <w:sz w:val="24"/>
          </w:rPr>
          <w:instrText xml:space="preserve"> PAGEREF _Toc232076533 \h </w:instrText>
        </w:r>
        <w:r w:rsidRPr="00AD7AD4">
          <w:rPr>
            <w:rFonts w:ascii="宋体" w:hAnsi="宋体"/>
            <w:noProof/>
            <w:sz w:val="24"/>
          </w:rPr>
        </w:r>
        <w:r w:rsidRPr="00AD7AD4">
          <w:rPr>
            <w:rFonts w:ascii="宋体" w:hAnsi="宋体"/>
            <w:noProof/>
            <w:sz w:val="24"/>
          </w:rPr>
          <w:fldChar w:fldCharType="separate"/>
        </w:r>
        <w:r w:rsidRPr="00AD7AD4">
          <w:rPr>
            <w:rFonts w:ascii="宋体" w:hAnsi="宋体"/>
            <w:noProof/>
            <w:sz w:val="24"/>
          </w:rPr>
          <w:t>41</w:t>
        </w:r>
        <w:r w:rsidRPr="00AD7AD4">
          <w:rPr>
            <w:rFonts w:ascii="宋体" w:hAnsi="宋体"/>
            <w:noProof/>
            <w:sz w:val="24"/>
          </w:rPr>
          <w:fldChar w:fldCharType="end"/>
        </w:r>
      </w:hyperlink>
    </w:p>
    <w:p w:rsidR="00AD7AD4" w:rsidRPr="00AD7AD4" w:rsidRDefault="00AD7AD4" w:rsidP="00AD7AD4">
      <w:pPr>
        <w:pStyle w:val="10"/>
        <w:tabs>
          <w:tab w:val="right" w:leader="dot" w:pos="8550"/>
        </w:tabs>
        <w:spacing w:line="360" w:lineRule="auto"/>
        <w:rPr>
          <w:rFonts w:ascii="宋体" w:hAnsi="宋体" w:cstheme="minorBidi"/>
          <w:noProof/>
          <w:sz w:val="24"/>
        </w:rPr>
      </w:pPr>
      <w:hyperlink w:anchor="_Toc232076534" w:history="1">
        <w:r w:rsidRPr="00AD7AD4">
          <w:rPr>
            <w:rStyle w:val="aa"/>
            <w:rFonts w:ascii="宋体" w:hAnsi="宋体" w:hint="eastAsia"/>
            <w:noProof/>
            <w:sz w:val="24"/>
          </w:rPr>
          <w:t>八、基金份额的申购与赎回</w:t>
        </w:r>
        <w:r w:rsidRPr="00AD7AD4">
          <w:rPr>
            <w:rFonts w:ascii="宋体" w:hAnsi="宋体"/>
            <w:noProof/>
            <w:sz w:val="24"/>
          </w:rPr>
          <w:tab/>
        </w:r>
        <w:r w:rsidRPr="00AD7AD4">
          <w:rPr>
            <w:rFonts w:ascii="宋体" w:hAnsi="宋体"/>
            <w:noProof/>
            <w:sz w:val="24"/>
          </w:rPr>
          <w:fldChar w:fldCharType="begin"/>
        </w:r>
        <w:r w:rsidRPr="00AD7AD4">
          <w:rPr>
            <w:rFonts w:ascii="宋体" w:hAnsi="宋体"/>
            <w:noProof/>
            <w:sz w:val="24"/>
          </w:rPr>
          <w:instrText xml:space="preserve"> PAGEREF _Toc232076534 \h </w:instrText>
        </w:r>
        <w:r w:rsidRPr="00AD7AD4">
          <w:rPr>
            <w:rFonts w:ascii="宋体" w:hAnsi="宋体"/>
            <w:noProof/>
            <w:sz w:val="24"/>
          </w:rPr>
        </w:r>
        <w:r w:rsidRPr="00AD7AD4">
          <w:rPr>
            <w:rFonts w:ascii="宋体" w:hAnsi="宋体"/>
            <w:noProof/>
            <w:sz w:val="24"/>
          </w:rPr>
          <w:fldChar w:fldCharType="separate"/>
        </w:r>
        <w:r w:rsidRPr="00AD7AD4">
          <w:rPr>
            <w:rFonts w:ascii="宋体" w:hAnsi="宋体"/>
            <w:noProof/>
            <w:sz w:val="24"/>
          </w:rPr>
          <w:t>42</w:t>
        </w:r>
        <w:r w:rsidRPr="00AD7AD4">
          <w:rPr>
            <w:rFonts w:ascii="宋体" w:hAnsi="宋体"/>
            <w:noProof/>
            <w:sz w:val="24"/>
          </w:rPr>
          <w:fldChar w:fldCharType="end"/>
        </w:r>
      </w:hyperlink>
    </w:p>
    <w:p w:rsidR="00AD7AD4" w:rsidRPr="00AD7AD4" w:rsidRDefault="00AD7AD4" w:rsidP="00AD7AD4">
      <w:pPr>
        <w:pStyle w:val="10"/>
        <w:tabs>
          <w:tab w:val="right" w:leader="dot" w:pos="8550"/>
        </w:tabs>
        <w:spacing w:line="360" w:lineRule="auto"/>
        <w:rPr>
          <w:rFonts w:ascii="宋体" w:hAnsi="宋体" w:cstheme="minorBidi"/>
          <w:noProof/>
          <w:sz w:val="24"/>
        </w:rPr>
      </w:pPr>
      <w:hyperlink w:anchor="_Toc232076535" w:history="1">
        <w:r w:rsidRPr="00AD7AD4">
          <w:rPr>
            <w:rStyle w:val="aa"/>
            <w:rFonts w:ascii="宋体" w:hAnsi="宋体" w:hint="eastAsia"/>
            <w:noProof/>
            <w:sz w:val="24"/>
          </w:rPr>
          <w:t>九、基金的转换</w:t>
        </w:r>
        <w:r w:rsidRPr="00AD7AD4">
          <w:rPr>
            <w:rFonts w:ascii="宋体" w:hAnsi="宋体"/>
            <w:noProof/>
            <w:sz w:val="24"/>
          </w:rPr>
          <w:tab/>
        </w:r>
        <w:r w:rsidRPr="00AD7AD4">
          <w:rPr>
            <w:rFonts w:ascii="宋体" w:hAnsi="宋体"/>
            <w:noProof/>
            <w:sz w:val="24"/>
          </w:rPr>
          <w:fldChar w:fldCharType="begin"/>
        </w:r>
        <w:r w:rsidRPr="00AD7AD4">
          <w:rPr>
            <w:rFonts w:ascii="宋体" w:hAnsi="宋体"/>
            <w:noProof/>
            <w:sz w:val="24"/>
          </w:rPr>
          <w:instrText xml:space="preserve"> PAGEREF _Toc232076535 \h </w:instrText>
        </w:r>
        <w:r w:rsidRPr="00AD7AD4">
          <w:rPr>
            <w:rFonts w:ascii="宋体" w:hAnsi="宋体"/>
            <w:noProof/>
            <w:sz w:val="24"/>
          </w:rPr>
        </w:r>
        <w:r w:rsidRPr="00AD7AD4">
          <w:rPr>
            <w:rFonts w:ascii="宋体" w:hAnsi="宋体"/>
            <w:noProof/>
            <w:sz w:val="24"/>
          </w:rPr>
          <w:fldChar w:fldCharType="separate"/>
        </w:r>
        <w:r w:rsidRPr="00AD7AD4">
          <w:rPr>
            <w:rFonts w:ascii="宋体" w:hAnsi="宋体"/>
            <w:noProof/>
            <w:sz w:val="24"/>
          </w:rPr>
          <w:t>52</w:t>
        </w:r>
        <w:r w:rsidRPr="00AD7AD4">
          <w:rPr>
            <w:rFonts w:ascii="宋体" w:hAnsi="宋体"/>
            <w:noProof/>
            <w:sz w:val="24"/>
          </w:rPr>
          <w:fldChar w:fldCharType="end"/>
        </w:r>
      </w:hyperlink>
    </w:p>
    <w:p w:rsidR="00AD7AD4" w:rsidRPr="00AD7AD4" w:rsidRDefault="00AD7AD4" w:rsidP="00AD7AD4">
      <w:pPr>
        <w:pStyle w:val="10"/>
        <w:tabs>
          <w:tab w:val="right" w:leader="dot" w:pos="8550"/>
        </w:tabs>
        <w:spacing w:line="360" w:lineRule="auto"/>
        <w:rPr>
          <w:rFonts w:ascii="宋体" w:hAnsi="宋体" w:cstheme="minorBidi"/>
          <w:noProof/>
          <w:sz w:val="24"/>
        </w:rPr>
      </w:pPr>
      <w:hyperlink w:anchor="_Toc232076536" w:history="1">
        <w:r w:rsidRPr="00AD7AD4">
          <w:rPr>
            <w:rStyle w:val="aa"/>
            <w:rFonts w:ascii="宋体" w:hAnsi="宋体" w:hint="eastAsia"/>
            <w:noProof/>
            <w:sz w:val="24"/>
          </w:rPr>
          <w:t>十、基金的投资</w:t>
        </w:r>
        <w:r w:rsidRPr="00AD7AD4">
          <w:rPr>
            <w:rFonts w:ascii="宋体" w:hAnsi="宋体"/>
            <w:noProof/>
            <w:sz w:val="24"/>
          </w:rPr>
          <w:tab/>
        </w:r>
        <w:r w:rsidRPr="00AD7AD4">
          <w:rPr>
            <w:rFonts w:ascii="宋体" w:hAnsi="宋体"/>
            <w:noProof/>
            <w:sz w:val="24"/>
          </w:rPr>
          <w:fldChar w:fldCharType="begin"/>
        </w:r>
        <w:r w:rsidRPr="00AD7AD4">
          <w:rPr>
            <w:rFonts w:ascii="宋体" w:hAnsi="宋体"/>
            <w:noProof/>
            <w:sz w:val="24"/>
          </w:rPr>
          <w:instrText xml:space="preserve"> PAGEREF _Toc232076536 \h </w:instrText>
        </w:r>
        <w:r w:rsidRPr="00AD7AD4">
          <w:rPr>
            <w:rFonts w:ascii="宋体" w:hAnsi="宋体"/>
            <w:noProof/>
            <w:sz w:val="24"/>
          </w:rPr>
        </w:r>
        <w:r w:rsidRPr="00AD7AD4">
          <w:rPr>
            <w:rFonts w:ascii="宋体" w:hAnsi="宋体"/>
            <w:noProof/>
            <w:sz w:val="24"/>
          </w:rPr>
          <w:fldChar w:fldCharType="separate"/>
        </w:r>
        <w:r w:rsidRPr="00AD7AD4">
          <w:rPr>
            <w:rFonts w:ascii="宋体" w:hAnsi="宋体"/>
            <w:noProof/>
            <w:sz w:val="24"/>
          </w:rPr>
          <w:t>57</w:t>
        </w:r>
        <w:r w:rsidRPr="00AD7AD4">
          <w:rPr>
            <w:rFonts w:ascii="宋体" w:hAnsi="宋体"/>
            <w:noProof/>
            <w:sz w:val="24"/>
          </w:rPr>
          <w:fldChar w:fldCharType="end"/>
        </w:r>
      </w:hyperlink>
    </w:p>
    <w:p w:rsidR="00AD7AD4" w:rsidRPr="00AD7AD4" w:rsidRDefault="00AD7AD4" w:rsidP="00AD7AD4">
      <w:pPr>
        <w:pStyle w:val="10"/>
        <w:tabs>
          <w:tab w:val="right" w:leader="dot" w:pos="8550"/>
        </w:tabs>
        <w:spacing w:line="360" w:lineRule="auto"/>
        <w:rPr>
          <w:rFonts w:ascii="宋体" w:hAnsi="宋体" w:cstheme="minorBidi"/>
          <w:noProof/>
          <w:sz w:val="24"/>
        </w:rPr>
      </w:pPr>
      <w:hyperlink w:anchor="_Toc232076537" w:history="1">
        <w:r w:rsidRPr="00AD7AD4">
          <w:rPr>
            <w:rStyle w:val="aa"/>
            <w:rFonts w:ascii="宋体" w:hAnsi="宋体" w:hint="eastAsia"/>
            <w:noProof/>
            <w:sz w:val="24"/>
          </w:rPr>
          <w:t>十一、基金的业绩</w:t>
        </w:r>
        <w:r w:rsidRPr="00AD7AD4">
          <w:rPr>
            <w:rFonts w:ascii="宋体" w:hAnsi="宋体"/>
            <w:noProof/>
            <w:sz w:val="24"/>
          </w:rPr>
          <w:tab/>
        </w:r>
        <w:r w:rsidRPr="00AD7AD4">
          <w:rPr>
            <w:rFonts w:ascii="宋体" w:hAnsi="宋体"/>
            <w:noProof/>
            <w:sz w:val="24"/>
          </w:rPr>
          <w:fldChar w:fldCharType="begin"/>
        </w:r>
        <w:r w:rsidRPr="00AD7AD4">
          <w:rPr>
            <w:rFonts w:ascii="宋体" w:hAnsi="宋体"/>
            <w:noProof/>
            <w:sz w:val="24"/>
          </w:rPr>
          <w:instrText xml:space="preserve"> PAGEREF _Toc232076537 \h </w:instrText>
        </w:r>
        <w:r w:rsidRPr="00AD7AD4">
          <w:rPr>
            <w:rFonts w:ascii="宋体" w:hAnsi="宋体"/>
            <w:noProof/>
            <w:sz w:val="24"/>
          </w:rPr>
        </w:r>
        <w:r w:rsidRPr="00AD7AD4">
          <w:rPr>
            <w:rFonts w:ascii="宋体" w:hAnsi="宋体"/>
            <w:noProof/>
            <w:sz w:val="24"/>
          </w:rPr>
          <w:fldChar w:fldCharType="separate"/>
        </w:r>
        <w:r w:rsidRPr="00AD7AD4">
          <w:rPr>
            <w:rFonts w:ascii="宋体" w:hAnsi="宋体"/>
            <w:noProof/>
            <w:sz w:val="24"/>
          </w:rPr>
          <w:t>69</w:t>
        </w:r>
        <w:r w:rsidRPr="00AD7AD4">
          <w:rPr>
            <w:rFonts w:ascii="宋体" w:hAnsi="宋体"/>
            <w:noProof/>
            <w:sz w:val="24"/>
          </w:rPr>
          <w:fldChar w:fldCharType="end"/>
        </w:r>
      </w:hyperlink>
    </w:p>
    <w:p w:rsidR="00AD7AD4" w:rsidRPr="00AD7AD4" w:rsidRDefault="00AD7AD4" w:rsidP="00AD7AD4">
      <w:pPr>
        <w:pStyle w:val="10"/>
        <w:tabs>
          <w:tab w:val="right" w:leader="dot" w:pos="8550"/>
        </w:tabs>
        <w:spacing w:line="360" w:lineRule="auto"/>
        <w:rPr>
          <w:rFonts w:ascii="宋体" w:hAnsi="宋体" w:cstheme="minorBidi"/>
          <w:noProof/>
          <w:sz w:val="24"/>
        </w:rPr>
      </w:pPr>
      <w:hyperlink w:anchor="_Toc232076538" w:history="1">
        <w:r w:rsidRPr="00AD7AD4">
          <w:rPr>
            <w:rStyle w:val="aa"/>
            <w:rFonts w:ascii="宋体" w:hAnsi="宋体" w:hint="eastAsia"/>
            <w:noProof/>
            <w:sz w:val="24"/>
          </w:rPr>
          <w:t>十二、基金的财产</w:t>
        </w:r>
        <w:r w:rsidRPr="00AD7AD4">
          <w:rPr>
            <w:rFonts w:ascii="宋体" w:hAnsi="宋体"/>
            <w:noProof/>
            <w:sz w:val="24"/>
          </w:rPr>
          <w:tab/>
        </w:r>
        <w:r w:rsidRPr="00AD7AD4">
          <w:rPr>
            <w:rFonts w:ascii="宋体" w:hAnsi="宋体"/>
            <w:noProof/>
            <w:sz w:val="24"/>
          </w:rPr>
          <w:fldChar w:fldCharType="begin"/>
        </w:r>
        <w:r w:rsidRPr="00AD7AD4">
          <w:rPr>
            <w:rFonts w:ascii="宋体" w:hAnsi="宋体"/>
            <w:noProof/>
            <w:sz w:val="24"/>
          </w:rPr>
          <w:instrText xml:space="preserve"> PAGEREF _Toc232076538 \h </w:instrText>
        </w:r>
        <w:r w:rsidRPr="00AD7AD4">
          <w:rPr>
            <w:rFonts w:ascii="宋体" w:hAnsi="宋体"/>
            <w:noProof/>
            <w:sz w:val="24"/>
          </w:rPr>
        </w:r>
        <w:r w:rsidRPr="00AD7AD4">
          <w:rPr>
            <w:rFonts w:ascii="宋体" w:hAnsi="宋体"/>
            <w:noProof/>
            <w:sz w:val="24"/>
          </w:rPr>
          <w:fldChar w:fldCharType="separate"/>
        </w:r>
        <w:r w:rsidRPr="00AD7AD4">
          <w:rPr>
            <w:rFonts w:ascii="宋体" w:hAnsi="宋体"/>
            <w:noProof/>
            <w:sz w:val="24"/>
          </w:rPr>
          <w:t>72</w:t>
        </w:r>
        <w:r w:rsidRPr="00AD7AD4">
          <w:rPr>
            <w:rFonts w:ascii="宋体" w:hAnsi="宋体"/>
            <w:noProof/>
            <w:sz w:val="24"/>
          </w:rPr>
          <w:fldChar w:fldCharType="end"/>
        </w:r>
      </w:hyperlink>
    </w:p>
    <w:p w:rsidR="00AD7AD4" w:rsidRPr="00AD7AD4" w:rsidRDefault="00AD7AD4" w:rsidP="00AD7AD4">
      <w:pPr>
        <w:pStyle w:val="10"/>
        <w:tabs>
          <w:tab w:val="right" w:leader="dot" w:pos="8550"/>
        </w:tabs>
        <w:spacing w:line="360" w:lineRule="auto"/>
        <w:rPr>
          <w:rFonts w:ascii="宋体" w:hAnsi="宋体" w:cstheme="minorBidi"/>
          <w:noProof/>
          <w:sz w:val="24"/>
        </w:rPr>
      </w:pPr>
      <w:hyperlink w:anchor="_Toc232076539" w:history="1">
        <w:r w:rsidRPr="00AD7AD4">
          <w:rPr>
            <w:rStyle w:val="aa"/>
            <w:rFonts w:ascii="宋体" w:hAnsi="宋体" w:hint="eastAsia"/>
            <w:noProof/>
            <w:sz w:val="24"/>
          </w:rPr>
          <w:t>十三、基金资产的估值</w:t>
        </w:r>
        <w:r w:rsidRPr="00AD7AD4">
          <w:rPr>
            <w:rFonts w:ascii="宋体" w:hAnsi="宋体"/>
            <w:noProof/>
            <w:sz w:val="24"/>
          </w:rPr>
          <w:tab/>
        </w:r>
        <w:r w:rsidRPr="00AD7AD4">
          <w:rPr>
            <w:rFonts w:ascii="宋体" w:hAnsi="宋体"/>
            <w:noProof/>
            <w:sz w:val="24"/>
          </w:rPr>
          <w:fldChar w:fldCharType="begin"/>
        </w:r>
        <w:r w:rsidRPr="00AD7AD4">
          <w:rPr>
            <w:rFonts w:ascii="宋体" w:hAnsi="宋体"/>
            <w:noProof/>
            <w:sz w:val="24"/>
          </w:rPr>
          <w:instrText xml:space="preserve"> PAGEREF _Toc232076539 \h </w:instrText>
        </w:r>
        <w:r w:rsidRPr="00AD7AD4">
          <w:rPr>
            <w:rFonts w:ascii="宋体" w:hAnsi="宋体"/>
            <w:noProof/>
            <w:sz w:val="24"/>
          </w:rPr>
        </w:r>
        <w:r w:rsidRPr="00AD7AD4">
          <w:rPr>
            <w:rFonts w:ascii="宋体" w:hAnsi="宋体"/>
            <w:noProof/>
            <w:sz w:val="24"/>
          </w:rPr>
          <w:fldChar w:fldCharType="separate"/>
        </w:r>
        <w:r w:rsidRPr="00AD7AD4">
          <w:rPr>
            <w:rFonts w:ascii="宋体" w:hAnsi="宋体"/>
            <w:noProof/>
            <w:sz w:val="24"/>
          </w:rPr>
          <w:t>73</w:t>
        </w:r>
        <w:r w:rsidRPr="00AD7AD4">
          <w:rPr>
            <w:rFonts w:ascii="宋体" w:hAnsi="宋体"/>
            <w:noProof/>
            <w:sz w:val="24"/>
          </w:rPr>
          <w:fldChar w:fldCharType="end"/>
        </w:r>
      </w:hyperlink>
    </w:p>
    <w:p w:rsidR="00AD7AD4" w:rsidRPr="00AD7AD4" w:rsidRDefault="00AD7AD4" w:rsidP="00AD7AD4">
      <w:pPr>
        <w:pStyle w:val="10"/>
        <w:tabs>
          <w:tab w:val="right" w:leader="dot" w:pos="8550"/>
        </w:tabs>
        <w:spacing w:line="360" w:lineRule="auto"/>
        <w:rPr>
          <w:rFonts w:ascii="宋体" w:hAnsi="宋体" w:cstheme="minorBidi"/>
          <w:noProof/>
          <w:sz w:val="24"/>
        </w:rPr>
      </w:pPr>
      <w:hyperlink w:anchor="_Toc232076540" w:history="1">
        <w:r w:rsidRPr="00AD7AD4">
          <w:rPr>
            <w:rStyle w:val="aa"/>
            <w:rFonts w:ascii="宋体" w:hAnsi="宋体" w:hint="eastAsia"/>
            <w:noProof/>
            <w:sz w:val="24"/>
          </w:rPr>
          <w:t>十四、基金收益与分配</w:t>
        </w:r>
        <w:r w:rsidRPr="00AD7AD4">
          <w:rPr>
            <w:rFonts w:ascii="宋体" w:hAnsi="宋体"/>
            <w:noProof/>
            <w:sz w:val="24"/>
          </w:rPr>
          <w:tab/>
        </w:r>
        <w:r w:rsidRPr="00AD7AD4">
          <w:rPr>
            <w:rFonts w:ascii="宋体" w:hAnsi="宋体"/>
            <w:noProof/>
            <w:sz w:val="24"/>
          </w:rPr>
          <w:fldChar w:fldCharType="begin"/>
        </w:r>
        <w:r w:rsidRPr="00AD7AD4">
          <w:rPr>
            <w:rFonts w:ascii="宋体" w:hAnsi="宋体"/>
            <w:noProof/>
            <w:sz w:val="24"/>
          </w:rPr>
          <w:instrText xml:space="preserve"> PAGEREF _Toc232076540 \h </w:instrText>
        </w:r>
        <w:r w:rsidRPr="00AD7AD4">
          <w:rPr>
            <w:rFonts w:ascii="宋体" w:hAnsi="宋体"/>
            <w:noProof/>
            <w:sz w:val="24"/>
          </w:rPr>
        </w:r>
        <w:r w:rsidRPr="00AD7AD4">
          <w:rPr>
            <w:rFonts w:ascii="宋体" w:hAnsi="宋体"/>
            <w:noProof/>
            <w:sz w:val="24"/>
          </w:rPr>
          <w:fldChar w:fldCharType="separate"/>
        </w:r>
        <w:r w:rsidRPr="00AD7AD4">
          <w:rPr>
            <w:rFonts w:ascii="宋体" w:hAnsi="宋体"/>
            <w:noProof/>
            <w:sz w:val="24"/>
          </w:rPr>
          <w:t>78</w:t>
        </w:r>
        <w:r w:rsidRPr="00AD7AD4">
          <w:rPr>
            <w:rFonts w:ascii="宋体" w:hAnsi="宋体"/>
            <w:noProof/>
            <w:sz w:val="24"/>
          </w:rPr>
          <w:fldChar w:fldCharType="end"/>
        </w:r>
      </w:hyperlink>
    </w:p>
    <w:p w:rsidR="00AD7AD4" w:rsidRPr="00AD7AD4" w:rsidRDefault="00AD7AD4" w:rsidP="00AD7AD4">
      <w:pPr>
        <w:pStyle w:val="10"/>
        <w:tabs>
          <w:tab w:val="right" w:leader="dot" w:pos="8550"/>
        </w:tabs>
        <w:spacing w:line="360" w:lineRule="auto"/>
        <w:rPr>
          <w:rFonts w:ascii="宋体" w:hAnsi="宋体" w:cstheme="minorBidi"/>
          <w:noProof/>
          <w:sz w:val="24"/>
        </w:rPr>
      </w:pPr>
      <w:hyperlink w:anchor="_Toc232076541" w:history="1">
        <w:r w:rsidRPr="00AD7AD4">
          <w:rPr>
            <w:rStyle w:val="aa"/>
            <w:rFonts w:ascii="宋体" w:hAnsi="宋体" w:hint="eastAsia"/>
            <w:noProof/>
            <w:sz w:val="24"/>
          </w:rPr>
          <w:t>十五、基金的费用与税收</w:t>
        </w:r>
        <w:r w:rsidRPr="00AD7AD4">
          <w:rPr>
            <w:rFonts w:ascii="宋体" w:hAnsi="宋体"/>
            <w:noProof/>
            <w:sz w:val="24"/>
          </w:rPr>
          <w:tab/>
        </w:r>
        <w:r w:rsidRPr="00AD7AD4">
          <w:rPr>
            <w:rFonts w:ascii="宋体" w:hAnsi="宋体"/>
            <w:noProof/>
            <w:sz w:val="24"/>
          </w:rPr>
          <w:fldChar w:fldCharType="begin"/>
        </w:r>
        <w:r w:rsidRPr="00AD7AD4">
          <w:rPr>
            <w:rFonts w:ascii="宋体" w:hAnsi="宋体"/>
            <w:noProof/>
            <w:sz w:val="24"/>
          </w:rPr>
          <w:instrText xml:space="preserve"> PAGEREF _Toc232076541 \h </w:instrText>
        </w:r>
        <w:r w:rsidRPr="00AD7AD4">
          <w:rPr>
            <w:rFonts w:ascii="宋体" w:hAnsi="宋体"/>
            <w:noProof/>
            <w:sz w:val="24"/>
          </w:rPr>
        </w:r>
        <w:r w:rsidRPr="00AD7AD4">
          <w:rPr>
            <w:rFonts w:ascii="宋体" w:hAnsi="宋体"/>
            <w:noProof/>
            <w:sz w:val="24"/>
          </w:rPr>
          <w:fldChar w:fldCharType="separate"/>
        </w:r>
        <w:r w:rsidRPr="00AD7AD4">
          <w:rPr>
            <w:rFonts w:ascii="宋体" w:hAnsi="宋体"/>
            <w:noProof/>
            <w:sz w:val="24"/>
          </w:rPr>
          <w:t>80</w:t>
        </w:r>
        <w:r w:rsidRPr="00AD7AD4">
          <w:rPr>
            <w:rFonts w:ascii="宋体" w:hAnsi="宋体"/>
            <w:noProof/>
            <w:sz w:val="24"/>
          </w:rPr>
          <w:fldChar w:fldCharType="end"/>
        </w:r>
      </w:hyperlink>
    </w:p>
    <w:p w:rsidR="00AD7AD4" w:rsidRPr="00AD7AD4" w:rsidRDefault="00AD7AD4" w:rsidP="00AD7AD4">
      <w:pPr>
        <w:pStyle w:val="10"/>
        <w:tabs>
          <w:tab w:val="right" w:leader="dot" w:pos="8550"/>
        </w:tabs>
        <w:spacing w:line="360" w:lineRule="auto"/>
        <w:rPr>
          <w:rFonts w:ascii="宋体" w:hAnsi="宋体" w:cstheme="minorBidi"/>
          <w:noProof/>
          <w:sz w:val="24"/>
        </w:rPr>
      </w:pPr>
      <w:hyperlink w:anchor="_Toc232076542" w:history="1">
        <w:r w:rsidRPr="00AD7AD4">
          <w:rPr>
            <w:rStyle w:val="aa"/>
            <w:rFonts w:ascii="宋体" w:hAnsi="宋体" w:hint="eastAsia"/>
            <w:noProof/>
            <w:sz w:val="24"/>
          </w:rPr>
          <w:t>十六、基金的会计与审计</w:t>
        </w:r>
        <w:r w:rsidRPr="00AD7AD4">
          <w:rPr>
            <w:rFonts w:ascii="宋体" w:hAnsi="宋体"/>
            <w:noProof/>
            <w:sz w:val="24"/>
          </w:rPr>
          <w:tab/>
        </w:r>
        <w:r w:rsidRPr="00AD7AD4">
          <w:rPr>
            <w:rFonts w:ascii="宋体" w:hAnsi="宋体"/>
            <w:noProof/>
            <w:sz w:val="24"/>
          </w:rPr>
          <w:fldChar w:fldCharType="begin"/>
        </w:r>
        <w:r w:rsidRPr="00AD7AD4">
          <w:rPr>
            <w:rFonts w:ascii="宋体" w:hAnsi="宋体"/>
            <w:noProof/>
            <w:sz w:val="24"/>
          </w:rPr>
          <w:instrText xml:space="preserve"> PAGEREF _Toc232076542 \h </w:instrText>
        </w:r>
        <w:r w:rsidRPr="00AD7AD4">
          <w:rPr>
            <w:rFonts w:ascii="宋体" w:hAnsi="宋体"/>
            <w:noProof/>
            <w:sz w:val="24"/>
          </w:rPr>
        </w:r>
        <w:r w:rsidRPr="00AD7AD4">
          <w:rPr>
            <w:rFonts w:ascii="宋体" w:hAnsi="宋体"/>
            <w:noProof/>
            <w:sz w:val="24"/>
          </w:rPr>
          <w:fldChar w:fldCharType="separate"/>
        </w:r>
        <w:r w:rsidRPr="00AD7AD4">
          <w:rPr>
            <w:rFonts w:ascii="宋体" w:hAnsi="宋体"/>
            <w:noProof/>
            <w:sz w:val="24"/>
          </w:rPr>
          <w:t>83</w:t>
        </w:r>
        <w:r w:rsidRPr="00AD7AD4">
          <w:rPr>
            <w:rFonts w:ascii="宋体" w:hAnsi="宋体"/>
            <w:noProof/>
            <w:sz w:val="24"/>
          </w:rPr>
          <w:fldChar w:fldCharType="end"/>
        </w:r>
      </w:hyperlink>
    </w:p>
    <w:p w:rsidR="00AD7AD4" w:rsidRPr="00AD7AD4" w:rsidRDefault="00AD7AD4" w:rsidP="00AD7AD4">
      <w:pPr>
        <w:pStyle w:val="10"/>
        <w:tabs>
          <w:tab w:val="right" w:leader="dot" w:pos="8550"/>
        </w:tabs>
        <w:spacing w:line="360" w:lineRule="auto"/>
        <w:rPr>
          <w:rFonts w:ascii="宋体" w:hAnsi="宋体" w:cstheme="minorBidi"/>
          <w:noProof/>
          <w:sz w:val="24"/>
        </w:rPr>
      </w:pPr>
      <w:hyperlink w:anchor="_Toc232076543" w:history="1">
        <w:r w:rsidRPr="00AD7AD4">
          <w:rPr>
            <w:rStyle w:val="aa"/>
            <w:rFonts w:ascii="宋体" w:hAnsi="宋体" w:hint="eastAsia"/>
            <w:noProof/>
            <w:sz w:val="24"/>
          </w:rPr>
          <w:t>十七、基金的信息披露</w:t>
        </w:r>
        <w:r w:rsidRPr="00AD7AD4">
          <w:rPr>
            <w:rFonts w:ascii="宋体" w:hAnsi="宋体"/>
            <w:noProof/>
            <w:sz w:val="24"/>
          </w:rPr>
          <w:tab/>
        </w:r>
        <w:r w:rsidRPr="00AD7AD4">
          <w:rPr>
            <w:rFonts w:ascii="宋体" w:hAnsi="宋体"/>
            <w:noProof/>
            <w:sz w:val="24"/>
          </w:rPr>
          <w:fldChar w:fldCharType="begin"/>
        </w:r>
        <w:r w:rsidRPr="00AD7AD4">
          <w:rPr>
            <w:rFonts w:ascii="宋体" w:hAnsi="宋体"/>
            <w:noProof/>
            <w:sz w:val="24"/>
          </w:rPr>
          <w:instrText xml:space="preserve"> PAGEREF _Toc232076543 \h </w:instrText>
        </w:r>
        <w:r w:rsidRPr="00AD7AD4">
          <w:rPr>
            <w:rFonts w:ascii="宋体" w:hAnsi="宋体"/>
            <w:noProof/>
            <w:sz w:val="24"/>
          </w:rPr>
        </w:r>
        <w:r w:rsidRPr="00AD7AD4">
          <w:rPr>
            <w:rFonts w:ascii="宋体" w:hAnsi="宋体"/>
            <w:noProof/>
            <w:sz w:val="24"/>
          </w:rPr>
          <w:fldChar w:fldCharType="separate"/>
        </w:r>
        <w:r w:rsidRPr="00AD7AD4">
          <w:rPr>
            <w:rFonts w:ascii="宋体" w:hAnsi="宋体"/>
            <w:noProof/>
            <w:sz w:val="24"/>
          </w:rPr>
          <w:t>84</w:t>
        </w:r>
        <w:r w:rsidRPr="00AD7AD4">
          <w:rPr>
            <w:rFonts w:ascii="宋体" w:hAnsi="宋体"/>
            <w:noProof/>
            <w:sz w:val="24"/>
          </w:rPr>
          <w:fldChar w:fldCharType="end"/>
        </w:r>
      </w:hyperlink>
    </w:p>
    <w:p w:rsidR="00AD7AD4" w:rsidRPr="00AD7AD4" w:rsidRDefault="00AD7AD4" w:rsidP="00AD7AD4">
      <w:pPr>
        <w:pStyle w:val="10"/>
        <w:tabs>
          <w:tab w:val="right" w:leader="dot" w:pos="8550"/>
        </w:tabs>
        <w:spacing w:line="360" w:lineRule="auto"/>
        <w:rPr>
          <w:rFonts w:ascii="宋体" w:hAnsi="宋体" w:cstheme="minorBidi"/>
          <w:noProof/>
          <w:sz w:val="24"/>
        </w:rPr>
      </w:pPr>
      <w:hyperlink w:anchor="_Toc232076544" w:history="1">
        <w:r w:rsidRPr="00AD7AD4">
          <w:rPr>
            <w:rStyle w:val="aa"/>
            <w:rFonts w:ascii="宋体" w:hAnsi="宋体" w:hint="eastAsia"/>
            <w:noProof/>
            <w:sz w:val="24"/>
          </w:rPr>
          <w:t>十八、风险揭示</w:t>
        </w:r>
        <w:r w:rsidRPr="00AD7AD4">
          <w:rPr>
            <w:rFonts w:ascii="宋体" w:hAnsi="宋体"/>
            <w:noProof/>
            <w:sz w:val="24"/>
          </w:rPr>
          <w:tab/>
        </w:r>
        <w:r w:rsidRPr="00AD7AD4">
          <w:rPr>
            <w:rFonts w:ascii="宋体" w:hAnsi="宋体"/>
            <w:noProof/>
            <w:sz w:val="24"/>
          </w:rPr>
          <w:fldChar w:fldCharType="begin"/>
        </w:r>
        <w:r w:rsidRPr="00AD7AD4">
          <w:rPr>
            <w:rFonts w:ascii="宋体" w:hAnsi="宋体"/>
            <w:noProof/>
            <w:sz w:val="24"/>
          </w:rPr>
          <w:instrText xml:space="preserve"> PAGEREF _Toc232076544 \h </w:instrText>
        </w:r>
        <w:r w:rsidRPr="00AD7AD4">
          <w:rPr>
            <w:rFonts w:ascii="宋体" w:hAnsi="宋体"/>
            <w:noProof/>
            <w:sz w:val="24"/>
          </w:rPr>
        </w:r>
        <w:r w:rsidRPr="00AD7AD4">
          <w:rPr>
            <w:rFonts w:ascii="宋体" w:hAnsi="宋体"/>
            <w:noProof/>
            <w:sz w:val="24"/>
          </w:rPr>
          <w:fldChar w:fldCharType="separate"/>
        </w:r>
        <w:r w:rsidRPr="00AD7AD4">
          <w:rPr>
            <w:rFonts w:ascii="宋体" w:hAnsi="宋体"/>
            <w:noProof/>
            <w:sz w:val="24"/>
          </w:rPr>
          <w:t>91</w:t>
        </w:r>
        <w:r w:rsidRPr="00AD7AD4">
          <w:rPr>
            <w:rFonts w:ascii="宋体" w:hAnsi="宋体"/>
            <w:noProof/>
            <w:sz w:val="24"/>
          </w:rPr>
          <w:fldChar w:fldCharType="end"/>
        </w:r>
      </w:hyperlink>
    </w:p>
    <w:p w:rsidR="00AD7AD4" w:rsidRPr="00AD7AD4" w:rsidRDefault="00AD7AD4" w:rsidP="00AD7AD4">
      <w:pPr>
        <w:pStyle w:val="10"/>
        <w:tabs>
          <w:tab w:val="right" w:leader="dot" w:pos="8550"/>
        </w:tabs>
        <w:spacing w:line="360" w:lineRule="auto"/>
        <w:rPr>
          <w:rFonts w:ascii="宋体" w:hAnsi="宋体" w:cstheme="minorBidi"/>
          <w:noProof/>
          <w:sz w:val="24"/>
        </w:rPr>
      </w:pPr>
      <w:hyperlink w:anchor="_Toc232076545" w:history="1">
        <w:r w:rsidRPr="00AD7AD4">
          <w:rPr>
            <w:rStyle w:val="aa"/>
            <w:rFonts w:ascii="宋体" w:hAnsi="宋体" w:hint="eastAsia"/>
            <w:noProof/>
            <w:sz w:val="24"/>
          </w:rPr>
          <w:t>十九、基金合同的变更、终止与基金财产的清算</w:t>
        </w:r>
        <w:r w:rsidRPr="00AD7AD4">
          <w:rPr>
            <w:rFonts w:ascii="宋体" w:hAnsi="宋体"/>
            <w:noProof/>
            <w:sz w:val="24"/>
          </w:rPr>
          <w:tab/>
        </w:r>
        <w:r w:rsidRPr="00AD7AD4">
          <w:rPr>
            <w:rFonts w:ascii="宋体" w:hAnsi="宋体"/>
            <w:noProof/>
            <w:sz w:val="24"/>
          </w:rPr>
          <w:fldChar w:fldCharType="begin"/>
        </w:r>
        <w:r w:rsidRPr="00AD7AD4">
          <w:rPr>
            <w:rFonts w:ascii="宋体" w:hAnsi="宋体"/>
            <w:noProof/>
            <w:sz w:val="24"/>
          </w:rPr>
          <w:instrText xml:space="preserve"> PAGEREF _Toc232076545 \h </w:instrText>
        </w:r>
        <w:r w:rsidRPr="00AD7AD4">
          <w:rPr>
            <w:rFonts w:ascii="宋体" w:hAnsi="宋体"/>
            <w:noProof/>
            <w:sz w:val="24"/>
          </w:rPr>
        </w:r>
        <w:r w:rsidRPr="00AD7AD4">
          <w:rPr>
            <w:rFonts w:ascii="宋体" w:hAnsi="宋体"/>
            <w:noProof/>
            <w:sz w:val="24"/>
          </w:rPr>
          <w:fldChar w:fldCharType="separate"/>
        </w:r>
        <w:r w:rsidRPr="00AD7AD4">
          <w:rPr>
            <w:rFonts w:ascii="宋体" w:hAnsi="宋体"/>
            <w:noProof/>
            <w:sz w:val="24"/>
          </w:rPr>
          <w:t>97</w:t>
        </w:r>
        <w:r w:rsidRPr="00AD7AD4">
          <w:rPr>
            <w:rFonts w:ascii="宋体" w:hAnsi="宋体"/>
            <w:noProof/>
            <w:sz w:val="24"/>
          </w:rPr>
          <w:fldChar w:fldCharType="end"/>
        </w:r>
      </w:hyperlink>
    </w:p>
    <w:p w:rsidR="00AD7AD4" w:rsidRPr="00AD7AD4" w:rsidRDefault="00AD7AD4" w:rsidP="00AD7AD4">
      <w:pPr>
        <w:pStyle w:val="10"/>
        <w:tabs>
          <w:tab w:val="right" w:leader="dot" w:pos="8550"/>
        </w:tabs>
        <w:spacing w:line="360" w:lineRule="auto"/>
        <w:rPr>
          <w:rFonts w:ascii="宋体" w:hAnsi="宋体" w:cstheme="minorBidi"/>
          <w:noProof/>
          <w:sz w:val="24"/>
        </w:rPr>
      </w:pPr>
      <w:hyperlink w:anchor="_Toc232076546" w:history="1">
        <w:r w:rsidRPr="00AD7AD4">
          <w:rPr>
            <w:rStyle w:val="aa"/>
            <w:rFonts w:ascii="宋体" w:hAnsi="宋体" w:hint="eastAsia"/>
            <w:noProof/>
            <w:sz w:val="24"/>
          </w:rPr>
          <w:t>二十、基金合同内容摘要</w:t>
        </w:r>
        <w:r w:rsidRPr="00AD7AD4">
          <w:rPr>
            <w:rFonts w:ascii="宋体" w:hAnsi="宋体"/>
            <w:noProof/>
            <w:sz w:val="24"/>
          </w:rPr>
          <w:tab/>
        </w:r>
        <w:r w:rsidRPr="00AD7AD4">
          <w:rPr>
            <w:rFonts w:ascii="宋体" w:hAnsi="宋体"/>
            <w:noProof/>
            <w:sz w:val="24"/>
          </w:rPr>
          <w:fldChar w:fldCharType="begin"/>
        </w:r>
        <w:r w:rsidRPr="00AD7AD4">
          <w:rPr>
            <w:rFonts w:ascii="宋体" w:hAnsi="宋体"/>
            <w:noProof/>
            <w:sz w:val="24"/>
          </w:rPr>
          <w:instrText xml:space="preserve"> PAGEREF _Toc232076546 \h </w:instrText>
        </w:r>
        <w:r w:rsidRPr="00AD7AD4">
          <w:rPr>
            <w:rFonts w:ascii="宋体" w:hAnsi="宋体"/>
            <w:noProof/>
            <w:sz w:val="24"/>
          </w:rPr>
        </w:r>
        <w:r w:rsidRPr="00AD7AD4">
          <w:rPr>
            <w:rFonts w:ascii="宋体" w:hAnsi="宋体"/>
            <w:noProof/>
            <w:sz w:val="24"/>
          </w:rPr>
          <w:fldChar w:fldCharType="separate"/>
        </w:r>
        <w:r w:rsidRPr="00AD7AD4">
          <w:rPr>
            <w:rFonts w:ascii="宋体" w:hAnsi="宋体"/>
            <w:noProof/>
            <w:sz w:val="24"/>
          </w:rPr>
          <w:t>99</w:t>
        </w:r>
        <w:r w:rsidRPr="00AD7AD4">
          <w:rPr>
            <w:rFonts w:ascii="宋体" w:hAnsi="宋体"/>
            <w:noProof/>
            <w:sz w:val="24"/>
          </w:rPr>
          <w:fldChar w:fldCharType="end"/>
        </w:r>
      </w:hyperlink>
    </w:p>
    <w:p w:rsidR="00AD7AD4" w:rsidRPr="00AD7AD4" w:rsidRDefault="00AD7AD4" w:rsidP="00AD7AD4">
      <w:pPr>
        <w:pStyle w:val="10"/>
        <w:tabs>
          <w:tab w:val="right" w:leader="dot" w:pos="8550"/>
        </w:tabs>
        <w:spacing w:line="360" w:lineRule="auto"/>
        <w:rPr>
          <w:rFonts w:ascii="宋体" w:hAnsi="宋体" w:cstheme="minorBidi"/>
          <w:noProof/>
          <w:sz w:val="24"/>
        </w:rPr>
      </w:pPr>
      <w:hyperlink w:anchor="_Toc232076547" w:history="1">
        <w:r w:rsidRPr="00AD7AD4">
          <w:rPr>
            <w:rStyle w:val="aa"/>
            <w:rFonts w:ascii="宋体" w:hAnsi="宋体" w:hint="eastAsia"/>
            <w:noProof/>
            <w:sz w:val="24"/>
          </w:rPr>
          <w:t>二十一、</w:t>
        </w:r>
        <w:r w:rsidRPr="00AD7AD4">
          <w:rPr>
            <w:rStyle w:val="aa"/>
            <w:rFonts w:ascii="宋体" w:hAnsi="宋体"/>
            <w:noProof/>
            <w:sz w:val="24"/>
          </w:rPr>
          <w:t xml:space="preserve"> </w:t>
        </w:r>
        <w:r w:rsidRPr="00AD7AD4">
          <w:rPr>
            <w:rStyle w:val="aa"/>
            <w:rFonts w:ascii="宋体" w:hAnsi="宋体" w:hint="eastAsia"/>
            <w:noProof/>
            <w:sz w:val="24"/>
          </w:rPr>
          <w:t>托管协议的内容摘要</w:t>
        </w:r>
        <w:r w:rsidRPr="00AD7AD4">
          <w:rPr>
            <w:rFonts w:ascii="宋体" w:hAnsi="宋体"/>
            <w:noProof/>
            <w:sz w:val="24"/>
          </w:rPr>
          <w:tab/>
        </w:r>
        <w:r w:rsidRPr="00AD7AD4">
          <w:rPr>
            <w:rFonts w:ascii="宋体" w:hAnsi="宋体"/>
            <w:noProof/>
            <w:sz w:val="24"/>
          </w:rPr>
          <w:fldChar w:fldCharType="begin"/>
        </w:r>
        <w:r w:rsidRPr="00AD7AD4">
          <w:rPr>
            <w:rFonts w:ascii="宋体" w:hAnsi="宋体"/>
            <w:noProof/>
            <w:sz w:val="24"/>
          </w:rPr>
          <w:instrText xml:space="preserve"> PAGEREF _Toc232076547 \h </w:instrText>
        </w:r>
        <w:r w:rsidRPr="00AD7AD4">
          <w:rPr>
            <w:rFonts w:ascii="宋体" w:hAnsi="宋体"/>
            <w:noProof/>
            <w:sz w:val="24"/>
          </w:rPr>
        </w:r>
        <w:r w:rsidRPr="00AD7AD4">
          <w:rPr>
            <w:rFonts w:ascii="宋体" w:hAnsi="宋体"/>
            <w:noProof/>
            <w:sz w:val="24"/>
          </w:rPr>
          <w:fldChar w:fldCharType="separate"/>
        </w:r>
        <w:r w:rsidRPr="00AD7AD4">
          <w:rPr>
            <w:rFonts w:ascii="宋体" w:hAnsi="宋体"/>
            <w:noProof/>
            <w:sz w:val="24"/>
          </w:rPr>
          <w:t>115</w:t>
        </w:r>
        <w:r w:rsidRPr="00AD7AD4">
          <w:rPr>
            <w:rFonts w:ascii="宋体" w:hAnsi="宋体"/>
            <w:noProof/>
            <w:sz w:val="24"/>
          </w:rPr>
          <w:fldChar w:fldCharType="end"/>
        </w:r>
      </w:hyperlink>
    </w:p>
    <w:p w:rsidR="00AD7AD4" w:rsidRPr="00AD7AD4" w:rsidRDefault="00AD7AD4" w:rsidP="00AD7AD4">
      <w:pPr>
        <w:pStyle w:val="10"/>
        <w:tabs>
          <w:tab w:val="right" w:leader="dot" w:pos="8550"/>
        </w:tabs>
        <w:spacing w:line="360" w:lineRule="auto"/>
        <w:rPr>
          <w:rFonts w:ascii="宋体" w:hAnsi="宋体" w:cstheme="minorBidi"/>
          <w:noProof/>
          <w:sz w:val="24"/>
        </w:rPr>
      </w:pPr>
      <w:hyperlink w:anchor="_Toc232076548" w:history="1">
        <w:r w:rsidRPr="00AD7AD4">
          <w:rPr>
            <w:rStyle w:val="aa"/>
            <w:rFonts w:ascii="宋体" w:hAnsi="宋体" w:hint="eastAsia"/>
            <w:noProof/>
            <w:sz w:val="24"/>
          </w:rPr>
          <w:t>二十二、对基金份额持有人的服务</w:t>
        </w:r>
        <w:r w:rsidRPr="00AD7AD4">
          <w:rPr>
            <w:rFonts w:ascii="宋体" w:hAnsi="宋体"/>
            <w:noProof/>
            <w:sz w:val="24"/>
          </w:rPr>
          <w:tab/>
        </w:r>
        <w:r w:rsidRPr="00AD7AD4">
          <w:rPr>
            <w:rFonts w:ascii="宋体" w:hAnsi="宋体"/>
            <w:noProof/>
            <w:sz w:val="24"/>
          </w:rPr>
          <w:fldChar w:fldCharType="begin"/>
        </w:r>
        <w:r w:rsidRPr="00AD7AD4">
          <w:rPr>
            <w:rFonts w:ascii="宋体" w:hAnsi="宋体"/>
            <w:noProof/>
            <w:sz w:val="24"/>
          </w:rPr>
          <w:instrText xml:space="preserve"> PAGEREF _Toc232076548 \h </w:instrText>
        </w:r>
        <w:r w:rsidRPr="00AD7AD4">
          <w:rPr>
            <w:rFonts w:ascii="宋体" w:hAnsi="宋体"/>
            <w:noProof/>
            <w:sz w:val="24"/>
          </w:rPr>
        </w:r>
        <w:r w:rsidRPr="00AD7AD4">
          <w:rPr>
            <w:rFonts w:ascii="宋体" w:hAnsi="宋体"/>
            <w:noProof/>
            <w:sz w:val="24"/>
          </w:rPr>
          <w:fldChar w:fldCharType="separate"/>
        </w:r>
        <w:r w:rsidRPr="00AD7AD4">
          <w:rPr>
            <w:rFonts w:ascii="宋体" w:hAnsi="宋体"/>
            <w:noProof/>
            <w:sz w:val="24"/>
          </w:rPr>
          <w:t>128</w:t>
        </w:r>
        <w:r w:rsidRPr="00AD7AD4">
          <w:rPr>
            <w:rFonts w:ascii="宋体" w:hAnsi="宋体"/>
            <w:noProof/>
            <w:sz w:val="24"/>
          </w:rPr>
          <w:fldChar w:fldCharType="end"/>
        </w:r>
      </w:hyperlink>
    </w:p>
    <w:p w:rsidR="00AD7AD4" w:rsidRPr="00AD7AD4" w:rsidRDefault="00AD7AD4" w:rsidP="00AD7AD4">
      <w:pPr>
        <w:pStyle w:val="10"/>
        <w:tabs>
          <w:tab w:val="right" w:leader="dot" w:pos="8550"/>
        </w:tabs>
        <w:spacing w:line="360" w:lineRule="auto"/>
        <w:rPr>
          <w:rFonts w:ascii="宋体" w:hAnsi="宋体" w:cstheme="minorBidi"/>
          <w:noProof/>
          <w:sz w:val="24"/>
        </w:rPr>
      </w:pPr>
      <w:hyperlink w:anchor="_Toc232076549" w:history="1">
        <w:r w:rsidRPr="00AD7AD4">
          <w:rPr>
            <w:rStyle w:val="aa"/>
            <w:rFonts w:ascii="宋体" w:hAnsi="宋体" w:hint="eastAsia"/>
            <w:noProof/>
            <w:sz w:val="24"/>
          </w:rPr>
          <w:t>二十三、其他应披露事项</w:t>
        </w:r>
        <w:r w:rsidRPr="00AD7AD4">
          <w:rPr>
            <w:rFonts w:ascii="宋体" w:hAnsi="宋体"/>
            <w:noProof/>
            <w:sz w:val="24"/>
          </w:rPr>
          <w:tab/>
        </w:r>
        <w:r w:rsidRPr="00AD7AD4">
          <w:rPr>
            <w:rFonts w:ascii="宋体" w:hAnsi="宋体"/>
            <w:noProof/>
            <w:sz w:val="24"/>
          </w:rPr>
          <w:fldChar w:fldCharType="begin"/>
        </w:r>
        <w:r w:rsidRPr="00AD7AD4">
          <w:rPr>
            <w:rFonts w:ascii="宋体" w:hAnsi="宋体"/>
            <w:noProof/>
            <w:sz w:val="24"/>
          </w:rPr>
          <w:instrText xml:space="preserve"> PAGEREF _Toc232076549 \h </w:instrText>
        </w:r>
        <w:r w:rsidRPr="00AD7AD4">
          <w:rPr>
            <w:rFonts w:ascii="宋体" w:hAnsi="宋体"/>
            <w:noProof/>
            <w:sz w:val="24"/>
          </w:rPr>
        </w:r>
        <w:r w:rsidRPr="00AD7AD4">
          <w:rPr>
            <w:rFonts w:ascii="宋体" w:hAnsi="宋体"/>
            <w:noProof/>
            <w:sz w:val="24"/>
          </w:rPr>
          <w:fldChar w:fldCharType="separate"/>
        </w:r>
        <w:r w:rsidRPr="00AD7AD4">
          <w:rPr>
            <w:rFonts w:ascii="宋体" w:hAnsi="宋体"/>
            <w:noProof/>
            <w:sz w:val="24"/>
          </w:rPr>
          <w:t>129</w:t>
        </w:r>
        <w:r w:rsidRPr="00AD7AD4">
          <w:rPr>
            <w:rFonts w:ascii="宋体" w:hAnsi="宋体"/>
            <w:noProof/>
            <w:sz w:val="24"/>
          </w:rPr>
          <w:fldChar w:fldCharType="end"/>
        </w:r>
      </w:hyperlink>
    </w:p>
    <w:p w:rsidR="00AD7AD4" w:rsidRPr="00AD7AD4" w:rsidRDefault="00AD7AD4" w:rsidP="00AD7AD4">
      <w:pPr>
        <w:pStyle w:val="10"/>
        <w:tabs>
          <w:tab w:val="right" w:leader="dot" w:pos="8550"/>
        </w:tabs>
        <w:spacing w:line="360" w:lineRule="auto"/>
        <w:rPr>
          <w:rFonts w:ascii="宋体" w:hAnsi="宋体" w:cstheme="minorBidi"/>
          <w:noProof/>
          <w:sz w:val="24"/>
        </w:rPr>
      </w:pPr>
      <w:hyperlink w:anchor="_Toc232076550" w:history="1">
        <w:r w:rsidRPr="00AD7AD4">
          <w:rPr>
            <w:rStyle w:val="aa"/>
            <w:rFonts w:ascii="宋体" w:hAnsi="宋体" w:hint="eastAsia"/>
            <w:noProof/>
            <w:sz w:val="24"/>
          </w:rPr>
          <w:t>二十四、招募说明书的存放及查阅方式</w:t>
        </w:r>
        <w:r w:rsidRPr="00AD7AD4">
          <w:rPr>
            <w:rFonts w:ascii="宋体" w:hAnsi="宋体"/>
            <w:noProof/>
            <w:sz w:val="24"/>
          </w:rPr>
          <w:tab/>
        </w:r>
        <w:r w:rsidRPr="00AD7AD4">
          <w:rPr>
            <w:rFonts w:ascii="宋体" w:hAnsi="宋体"/>
            <w:noProof/>
            <w:sz w:val="24"/>
          </w:rPr>
          <w:fldChar w:fldCharType="begin"/>
        </w:r>
        <w:r w:rsidRPr="00AD7AD4">
          <w:rPr>
            <w:rFonts w:ascii="宋体" w:hAnsi="宋体"/>
            <w:noProof/>
            <w:sz w:val="24"/>
          </w:rPr>
          <w:instrText xml:space="preserve"> PAGEREF _Toc232076550 \h </w:instrText>
        </w:r>
        <w:r w:rsidRPr="00AD7AD4">
          <w:rPr>
            <w:rFonts w:ascii="宋体" w:hAnsi="宋体"/>
            <w:noProof/>
            <w:sz w:val="24"/>
          </w:rPr>
        </w:r>
        <w:r w:rsidRPr="00AD7AD4">
          <w:rPr>
            <w:rFonts w:ascii="宋体" w:hAnsi="宋体"/>
            <w:noProof/>
            <w:sz w:val="24"/>
          </w:rPr>
          <w:fldChar w:fldCharType="separate"/>
        </w:r>
        <w:r w:rsidRPr="00AD7AD4">
          <w:rPr>
            <w:rFonts w:ascii="宋体" w:hAnsi="宋体"/>
            <w:noProof/>
            <w:sz w:val="24"/>
          </w:rPr>
          <w:t>130</w:t>
        </w:r>
        <w:r w:rsidRPr="00AD7AD4">
          <w:rPr>
            <w:rFonts w:ascii="宋体" w:hAnsi="宋体"/>
            <w:noProof/>
            <w:sz w:val="24"/>
          </w:rPr>
          <w:fldChar w:fldCharType="end"/>
        </w:r>
      </w:hyperlink>
    </w:p>
    <w:p w:rsidR="00AD7AD4" w:rsidRPr="00AD7AD4" w:rsidRDefault="00AD7AD4" w:rsidP="00AD7AD4">
      <w:pPr>
        <w:pStyle w:val="10"/>
        <w:tabs>
          <w:tab w:val="right" w:leader="dot" w:pos="8550"/>
        </w:tabs>
        <w:spacing w:line="360" w:lineRule="auto"/>
        <w:rPr>
          <w:rFonts w:ascii="宋体" w:hAnsi="宋体" w:cstheme="minorBidi"/>
          <w:noProof/>
          <w:sz w:val="24"/>
        </w:rPr>
      </w:pPr>
      <w:hyperlink w:anchor="_Toc232076551" w:history="1">
        <w:r w:rsidRPr="00AD7AD4">
          <w:rPr>
            <w:rStyle w:val="aa"/>
            <w:rFonts w:ascii="宋体" w:hAnsi="宋体" w:hint="eastAsia"/>
            <w:noProof/>
            <w:sz w:val="24"/>
          </w:rPr>
          <w:t>二十五、备查文件</w:t>
        </w:r>
        <w:r w:rsidRPr="00AD7AD4">
          <w:rPr>
            <w:rFonts w:ascii="宋体" w:hAnsi="宋体"/>
            <w:noProof/>
            <w:sz w:val="24"/>
          </w:rPr>
          <w:tab/>
        </w:r>
        <w:r w:rsidRPr="00AD7AD4">
          <w:rPr>
            <w:rFonts w:ascii="宋体" w:hAnsi="宋体"/>
            <w:noProof/>
            <w:sz w:val="24"/>
          </w:rPr>
          <w:fldChar w:fldCharType="begin"/>
        </w:r>
        <w:r w:rsidRPr="00AD7AD4">
          <w:rPr>
            <w:rFonts w:ascii="宋体" w:hAnsi="宋体"/>
            <w:noProof/>
            <w:sz w:val="24"/>
          </w:rPr>
          <w:instrText xml:space="preserve"> PAGEREF _Toc232076551 \h </w:instrText>
        </w:r>
        <w:r w:rsidRPr="00AD7AD4">
          <w:rPr>
            <w:rFonts w:ascii="宋体" w:hAnsi="宋体"/>
            <w:noProof/>
            <w:sz w:val="24"/>
          </w:rPr>
        </w:r>
        <w:r w:rsidRPr="00AD7AD4">
          <w:rPr>
            <w:rFonts w:ascii="宋体" w:hAnsi="宋体"/>
            <w:noProof/>
            <w:sz w:val="24"/>
          </w:rPr>
          <w:fldChar w:fldCharType="separate"/>
        </w:r>
        <w:r w:rsidRPr="00AD7AD4">
          <w:rPr>
            <w:rFonts w:ascii="宋体" w:hAnsi="宋体"/>
            <w:noProof/>
            <w:sz w:val="24"/>
          </w:rPr>
          <w:t>131</w:t>
        </w:r>
        <w:r w:rsidRPr="00AD7AD4">
          <w:rPr>
            <w:rFonts w:ascii="宋体" w:hAnsi="宋体"/>
            <w:noProof/>
            <w:sz w:val="24"/>
          </w:rPr>
          <w:fldChar w:fldCharType="end"/>
        </w:r>
      </w:hyperlink>
    </w:p>
    <w:p w:rsidR="001D3F82" w:rsidRPr="00AD7AD4" w:rsidRDefault="00AD7AD4" w:rsidP="00AD7AD4">
      <w:pPr>
        <w:pStyle w:val="ad"/>
        <w:snapToGrid w:val="0"/>
        <w:spacing w:after="240" w:line="360" w:lineRule="auto"/>
        <w:jc w:val="center"/>
        <w:rPr>
          <w:rFonts w:ascii="宋体" w:hAnsi="宋体"/>
          <w:color w:val="000000"/>
          <w:sz w:val="24"/>
        </w:rPr>
      </w:pPr>
      <w:r w:rsidRPr="00AD7AD4">
        <w:rPr>
          <w:rFonts w:ascii="宋体" w:hAnsi="宋体"/>
          <w:color w:val="000000"/>
          <w:position w:val="-4"/>
          <w:sz w:val="24"/>
          <w:szCs w:val="30"/>
        </w:rPr>
        <w:fldChar w:fldCharType="end"/>
      </w:r>
      <w:bookmarkStart w:id="3" w:name="_GoBack"/>
      <w:bookmarkEnd w:id="3"/>
    </w:p>
    <w:p w:rsidR="001D3F82" w:rsidRDefault="001D3F82">
      <w:pPr>
        <w:autoSpaceDE w:val="0"/>
        <w:autoSpaceDN w:val="0"/>
        <w:adjustRightInd w:val="0"/>
        <w:snapToGrid w:val="0"/>
        <w:spacing w:line="360" w:lineRule="auto"/>
        <w:ind w:left="120" w:rightChars="6" w:right="13"/>
        <w:rPr>
          <w:rFonts w:ascii="宋体" w:hAnsi="宋体"/>
          <w:kern w:val="0"/>
          <w:szCs w:val="24"/>
        </w:rPr>
        <w:sectPr w:rsidR="001D3F82">
          <w:pgSz w:w="11920" w:h="16840"/>
          <w:pgMar w:top="1480" w:right="1680" w:bottom="280" w:left="1680" w:header="0" w:footer="1073" w:gutter="0"/>
          <w:cols w:space="720"/>
        </w:sectPr>
      </w:pPr>
    </w:p>
    <w:p w:rsidR="001D3F82" w:rsidRDefault="003B0F32">
      <w:pPr>
        <w:pStyle w:val="1"/>
        <w:snapToGrid w:val="0"/>
        <w:spacing w:beforeLines="0" w:before="240" w:after="240"/>
        <w:rPr>
          <w:rFonts w:ascii="宋体" w:hAnsi="宋体"/>
          <w:szCs w:val="30"/>
        </w:rPr>
      </w:pPr>
      <w:bookmarkStart w:id="4" w:name="_Toc232076527"/>
      <w:r>
        <w:rPr>
          <w:rFonts w:ascii="Times New Roman" w:hAnsi="Times New Roman"/>
          <w:sz w:val="30"/>
        </w:rPr>
        <w:lastRenderedPageBreak/>
        <w:t>一、绪言</w:t>
      </w:r>
      <w:bookmarkEnd w:id="4"/>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活期通货币市场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货币市场基金监督管理办法》、《关于实施＜货币市场基金监督管理办法＞有关问题的规定》、《公开募集开放式证券投资基金流动性风险管理规定》(以下简称“《流动性规定》”)和其他相关法律法规的规定以及《交银施罗德活期通货币市场基金基金合同》（以下简称“基金合同”）编写。</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3B0F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D3F82" w:rsidRDefault="003B0F32">
      <w:pPr>
        <w:pStyle w:val="1"/>
        <w:snapToGrid w:val="0"/>
        <w:spacing w:beforeLines="0" w:before="240" w:after="240"/>
        <w:rPr>
          <w:rFonts w:ascii="宋体" w:hAnsi="宋体"/>
          <w:szCs w:val="30"/>
        </w:rPr>
      </w:pPr>
      <w:bookmarkStart w:id="5" w:name="_Toc232076528"/>
      <w:r>
        <w:rPr>
          <w:rFonts w:ascii="Times New Roman" w:hAnsi="Times New Roman"/>
          <w:sz w:val="30"/>
        </w:rPr>
        <w:lastRenderedPageBreak/>
        <w:t>二、释义</w:t>
      </w:r>
      <w:bookmarkEnd w:id="5"/>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1、基金或本基金：指交银施罗德活期通货币市场基金</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3、基金托管人或本基金托管人：指中信建投证券股份有限公司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4、基金合同或《基金合同》：指《交银施罗德活期通货币市场基金基金合同》及对基金合同的任何有效修订和补充</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5、托管协议：指基金管理人与基金托管人就本基金签订之《交银施罗德活期通货币市场基金托管协议》及对该托管协议的任何有效修订和补充</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6、招募说明书、《招募说明书》或本招募说明书：指《交银施罗德活期通货币市场基金招募说明书》及其更新</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7、基金份额发售公告：指《交银施罗德活期通货币市场基金基金份额发售公告》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8、基金产品资料概要：指《交银施罗德活期通货币市场基金基金产品资料概要》及其更新</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14、《流动性规定》：指中国证监会2017年8月31日颁布、同年10月1日实施的《公开募集开放式证券投资基金流动性风险管理规定》及颁布机关对其不时做出的修订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16、银行业监督管理机构：指中国人民银行和/或中国银行业监督管理委员会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21、人民币合格境外机构投资者：指按照《人民币合格境外机构投资者境内证券投资试点办法》及相关法律法规规定，运用来自境外的人民币资金进行中国境内证券投资的境外机构投资者</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22、投资人或投资者：指个人投资者、机构投资者、合格境外机构投资者和人民币合格境外机构投资者以及法律法规或中国证监会允许购买证券投资基金的其他投资人的合称</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27、登记机构：指办理登记业务的机构。基金的登记机构为交银施罗德基金管理有限公司或接受交银施罗德基金管理有限公司委托办理登记业务的机构</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29、基金交易账户：指销售机构为投资人开立的、记录投资人通过该销售机构</w:t>
      </w:r>
      <w:r>
        <w:rPr>
          <w:rFonts w:ascii="宋体" w:hAnsi="宋体"/>
          <w:sz w:val="24"/>
        </w:rPr>
        <w:lastRenderedPageBreak/>
        <w:t>办理认购、申购、赎回、转换及转托管等业务而引起的基金份额变动及结余情况的账户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37、开放日：指为投资人办理基金份额申购、赎回或其他业务的工作日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39、《业务规则》：指《交银施罗德基金管理有限公司开放式基金业务规则》，是规范基金管理人所管理的开放式证券投资基金登记方面的业务规则，由基金管理人和投资人共同遵守</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43、基金转换：指基金份额持有人按照本基金合同和基金管理人届时有效公告规定的条件，申请将其持有基金管理人管理的、某一基金的基金份额转换为基金管理人管理的其他基金基金份额的行为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44、转托管：指基金份额持有人在本基金的不同销售机构之间实施的变更所持基金份额销售机构的操作</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47、元：指人民币元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48、基金收益：指基金投资所得债券利息、买卖证券价差、银行存款利息、已实现的其他合法收入及因运用基金财产带来的成本和费用的节约</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49、摊余成本法：指计价对象以买入成本列示，按照票面利率或协议利率并考虑其买入时的溢价与折价，在剩余存续期内按照实际利率法摊销，每日计提损益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50、每万份基金已实现收益：指按照相关法规计算的每万份基金份额的日已实现收益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51、7日年化收益率：指以最近7日(含节假日) 每万份基金已实现收益所折算的年资产收益率</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52、销售服务费：指本基金用于持续销售和服务基金份额持有人的费用，该笔费用从基金财产中扣除，属于基金的营运费用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53、基金资产总值：指基金拥有的各类有价证券和票据价值、银行存款本息、基金应收申购款及其他资产的价值总和</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54、基金资产净值：指基金资产总值减去基金负债后的价值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55、基金份额净值：指计算日基金资产净值除以计算日基金份额总数，本基金各类基金份额的基金份额净值保持在1.00元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56、基金资产估值：指计算评估基金资产和负债的价值，以确定各类基金份额的基金资产净值、每万份基金已实现收益和7日年化收益率的过程</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就本基金而言，指货币市场基金依法可投资的符合前述条件的资产，但中国证监会认可的特殊情形除外</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58、指定媒介：指中国证监会指定的用以进行信息披露的全国性报刊及指定互联网网站（包括基金管理人网站、基金托管人网站、中国证监会基金电子披露网站）等媒介</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59、不可抗力：指本基金合同当事人不能预见、不能避免且不能克服的客观事件</w:t>
      </w:r>
    </w:p>
    <w:p w:rsidR="00B439CC" w:rsidRDefault="003B0F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D3F82" w:rsidRDefault="003B0F32">
      <w:pPr>
        <w:pStyle w:val="1"/>
        <w:snapToGrid w:val="0"/>
        <w:spacing w:beforeLines="0" w:before="240" w:after="240"/>
        <w:rPr>
          <w:rFonts w:ascii="宋体" w:hAnsi="宋体"/>
          <w:szCs w:val="30"/>
        </w:rPr>
      </w:pPr>
      <w:bookmarkStart w:id="6" w:name="_Toc232076529"/>
      <w:r>
        <w:rPr>
          <w:rFonts w:ascii="Times New Roman" w:hAnsi="Times New Roman"/>
          <w:sz w:val="30"/>
        </w:rPr>
        <w:lastRenderedPageBreak/>
        <w:t>三、基金管理人</w:t>
      </w:r>
      <w:bookmarkEnd w:id="6"/>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女士:基金经理。香港大学工商管理硕士、北京大学经济学、管理学双学士。18年证券投资行业从业经验。2008年至2012年任中海基金管理有限公司交易员。2012年加入交银施罗德基金管理有限公司，曾任中央交易室交易员，现任固定收益部基金经理。曾任交银施罗德货币市场证券投资基金(2015年05月27日至2019年08月02日)、交银施罗德现金宝货币市场基金(2015年05月27日至2019年08月02日)、交银施罗德理财21天债券型证券投资基金(2015年05月27日至2020年07月27日)、交银施罗德丰泽收益债券型证券投资基金(2015年07月25日至2018年03月18日)、交银施罗德裕通纯债债券型证券投资基金(2015年12月29日至2019年10月23日)、交银施罗德天鑫宝货币市场基金(2016年12月07日至2019年08月02日)、交银施罗德境尚收益债券型证券投资基金(2017年03月03日至2024年04月12日)、交银施罗德稳鑫短债债券型证券投资基金(2019年01月24日至2024年11月09日)、交银施罗德中高等级信用债债券型证券投资基金(2020年07月28日至2022年07月05日)、交银施罗德稳安30天滚动持有债券型证券投资基金(2022年11月24日至2026年03月11日)、交银施罗德丰盈收益债券型证券投资基金(2024年12月04日至2025年12月27日)的基金经理。现任交银施罗德丰享收益债券型证券投资基金(2015年07月25日至今)、交银施罗德活期通货币市场基金(2016年07月27日至今)、交银施罗德天利宝货币市场基金(2016年10月19日至今)、交银施罗德裕隆纯债债券型证券投资基金(2016年11月28日至今)、交银施罗德天益宝货币市场基金(2016年12月20日至今)、交银施罗德稳利中短债债券型证券投资基金(2019年12月13日至今)、交银施罗德稳益短债债券型证券投资基金(2022年09月21日至今)、交银施罗德稳安60天滚动持有债券型证券投资基金(2023年11月16日至今)、交银施罗德双轮动债券型证券投资基金(2025年12月27日至今)、交银施罗德120天滚动持有债券型证券投资基金(2026年03月11日至今)的基金经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连端清先生(2016年07月27日至2024年04月26日)。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4、投资决策委员会成员</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w:t>
      </w:r>
      <w:r>
        <w:rPr>
          <w:rFonts w:ascii="宋体" w:hAnsi="宋体"/>
          <w:sz w:val="24"/>
        </w:rPr>
        <w:lastRenderedPageBreak/>
        <w:t>控制制度，采取有效措施，防止下列行为的发生：</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（6）泄露因职务便利获取的未公开信息、利用该信息从事或者明示、暗示他人从事相关的交易活动；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（7）玩忽职守，不按照规定履行职责；</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（8）法律、行政法规和中国证监会禁止的其他行为。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w:t>
      </w:r>
      <w:r>
        <w:rPr>
          <w:rFonts w:ascii="宋体" w:hAnsi="宋体"/>
          <w:sz w:val="24"/>
        </w:rPr>
        <w:lastRenderedPageBreak/>
        <w:t>行。</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（5）风险管理部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w:t>
      </w:r>
      <w:r>
        <w:rPr>
          <w:rFonts w:ascii="宋体" w:hAnsi="宋体"/>
          <w:sz w:val="24"/>
        </w:rPr>
        <w:lastRenderedPageBreak/>
        <w:t>员及时掌握风险状况，从而以最快速度作出决策。</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3B0F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D3F82" w:rsidRDefault="003B0F32">
      <w:pPr>
        <w:pStyle w:val="1"/>
        <w:snapToGrid w:val="0"/>
        <w:spacing w:beforeLines="0" w:before="240" w:after="240"/>
        <w:rPr>
          <w:rFonts w:ascii="宋体" w:hAnsi="宋体"/>
          <w:szCs w:val="30"/>
        </w:rPr>
      </w:pPr>
      <w:bookmarkStart w:id="7" w:name="_Toc232076530"/>
      <w:r>
        <w:rPr>
          <w:rFonts w:ascii="Times New Roman" w:hAnsi="Times New Roman"/>
          <w:sz w:val="30"/>
        </w:rPr>
        <w:lastRenderedPageBreak/>
        <w:t>四、基金托管人</w:t>
      </w:r>
      <w:bookmarkEnd w:id="7"/>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名称：中信建投证券股份有限公司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北京市朝阳区安立路66号4号楼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成立时间：2005年11月02日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批准设立机关和批准设立文号：中国证监会证监机构字[2005]112号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注册资本：人民币77.57亿元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 中国证监会证监许可【2015】219号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信建投证券成立于2005年11月2日，是经中国证监会批准设立的全国性大型综合证券公司。公司注册于北京，注册资本77.57亿元，并设有中信建投期货有限公司、中信建投资本管理有限公司、中信建投（国际）金融控股有限公司、中信建投基金管理有限公司、中信建投投资有限公司等5家子公司。自成立以来，中信建投证券各项业务快速发展，在企业融资、收购兼并、证券经纪、证券金融、固定收益、资产管理、股票及衍生品交易等领域形成了自身特色和核心业务优势，并搭建了研究咨询、信息技术、运营管理、风险管理、合规管理等专业高效的业务支持体系。凭借高度的敬业精神与突出的专业能力，中信建投证券主要业务指标及盈利能力目前均位居行业前列。</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（二）基金托管部门及主要人员情况</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中信建投证券托管部管理团队和业务骨干具有丰富的证券投资基金托管业务运作经验，业务人员专业背景覆盖了金融、会计、经济、计算机等各领域，可为托管客户提供个性化产品处理能力。</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（三）证券投资基金托管情况</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信建投证券于2015年2月取得中国证监会核准证券投资基金托管资格，中信建投证券始终遵循“诚信、专注、成长、共赢”的经营理念，不断加强风险管理和内部控制，严格履行托管人的各项职责，切实维护基金份额持有人的合法权益，为基金份额持有人提供高质量的托管服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（四）基金托管人的内部控制制度</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法律、法规、监管规则和公司内部规章制度，防范和化解基金托管业务经营风险，确保托管资产的完整和安全，切实保护基金份额持有人权益，确保托管资产的运作及相关信息披露符合国家法律、法规、监管规则及相关合同、协议的规定，查错防弊、堵塞漏洞、消除隐患，保证托管业务安全、有效、稳健运行。</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信建投证券设有风险管理委员会，负责全公司风险管理与内部控制工作，对托管业务风险控制工作进行检查指导。托管部内部设置专门负责稽核监察工作的内控稽核岗，配备专职监察稽核人员，在托管部行政负责人的直接领导下，依照有关法律规章，对业务的运行独立行使监督稽核职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信建投证券托管部制定了各项管理制度和操作规程，建立了科学合理、控制严密、运行高效的内部控制体系，保障托管业务健全、有效执行；安全保管基金财产，保持基金财产的独立性；实行经营场所封闭式管理，并配备录音和录像监控系统；有独立的综合托管服务系统；业务管理实行复核和检查机制，建立了严格有效的操作制约体系；托管部树立内控优先和风险管理的理念，培养部门全体员工的风险防范和保密意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（五）托管人对管理人运作基金进行监督的方法和程序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1、监督方法</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基金托管人根据《基金法》、《运作办法》等法律法规的规定和基金合同、托管协议的约定，对基金合同生效之后所托管基金的投资范围、投资比例、投资限制等进行监督，并及时提示基金管理人违规风险。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2、监督程序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投资指令或实际投资运作违反法律法规、《基金合同》和托管协议的规定，应及时以电话提醒或书面提示等方式通知基金管理人限期纠正。基金管理人应积极配合和协助基金托管人的监督和核查。基金管理人收到书面通知后应在限期内及时核对并以书面形式给基金托管人发出回函，就基金托管人的疑义进行解释或举证，说明违规原因及纠正期限，并保证在规定期限内及时改</w:t>
      </w:r>
      <w:r>
        <w:rPr>
          <w:rFonts w:ascii="宋体" w:hAnsi="宋体"/>
          <w:sz w:val="24"/>
        </w:rPr>
        <w:lastRenderedPageBreak/>
        <w:t>正。在上述规定期限内，基金托管人有权随时对通知事项进行复查，督促基金管理人改正。基金管理人对基金托管人通知的违规事项未能在限期内纠正的，基金托管人应报告中国证监会。</w:t>
      </w:r>
    </w:p>
    <w:p w:rsidR="00B439CC" w:rsidRDefault="003B0F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D3F82" w:rsidRDefault="003B0F32">
      <w:pPr>
        <w:pStyle w:val="1"/>
        <w:snapToGrid w:val="0"/>
        <w:spacing w:beforeLines="0" w:before="240" w:after="240"/>
        <w:rPr>
          <w:rFonts w:ascii="宋体" w:hAnsi="宋体"/>
          <w:szCs w:val="30"/>
        </w:rPr>
      </w:pPr>
      <w:bookmarkStart w:id="8" w:name="_Toc232076531"/>
      <w:r>
        <w:rPr>
          <w:rFonts w:ascii="Times New Roman" w:hAnsi="Times New Roman"/>
          <w:sz w:val="30"/>
        </w:rPr>
        <w:lastRenderedPageBreak/>
        <w:t>五、相关服务机构</w:t>
      </w:r>
      <w:bookmarkEnd w:id="8"/>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本基金直销机构仅为本基金管理人直销柜台。</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投资者可通过本基金管理人直销柜台办理开户、本基金A类基金份额及E类基金份额的申购、赎回、转换、定期定额投资等业务。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（2）名称：宁波银行股份有限公司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法定代表人：陆华裕</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（3）名称：招商银行股份有限公司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（4）名称：中信银行股份有限公司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（5）名称：上海浦东发展银行股份有限公司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联系人：朱瑛</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（6）名称：中国民生银行股份有限公司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（7）名称：中国邮政储蓄银行股份有限公司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（8）名称：广发证券股份有限公司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（9）名称：国信证券股份有限公司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住所：深圳市罗湖区红岭中路1012号国信证券大厦16-26楼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（10）名称：兴业证券股份有限公司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（11）名称：国金证券股份有限公司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（12）名称：华宝证券股份有限公司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传真：（021）68777822</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（13）名称：中信建投证券股份有限公司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（14）名称：国泰海通证券股份有限公司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（15）名称：东方财富证券股份有限公司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（16）名称：中原证券股份有限公司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（17）名称：平安证券股份有限公司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（18）名称：国联民生证券股份有限公司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（19）名称：开源证券股份有限公司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联系人：赵东会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（20）名称：华泰证券股份有限公司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（21）名称：申万宏源证券有限公司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（22）名称：申万宏源西部证券有限公司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（23）名称：中信证券（山东）有限责任公司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住所：青岛市崂山区深圳路222号1号楼2001</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（24）名称：中信证券股份有限公司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（25）名称：中信证券华南股份有限公司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（26）名称：中国中金财富证券有限公司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联系人：胡芷境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（27）名称：中国银河证券股份有限公司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（28）名称：华西证券股份有限公司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（29）名称：中国人寿保险股份有限公司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（30）名称：大连网金基金销售有限公司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电话：（0411-39027810）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（31）名称：京东肯特瑞基金销售有限公司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（32）名称：珠海盈米基金销售有限公司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（33）名称：北京汇成基金销售有限公司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联系人：张林</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（34）名称：上海天天基金销售有限公司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（35）名称：上海基煜基金销售有限公司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（36）名称：中证金牛（北京）基金销售有限公司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 www.jnlc.com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（37）名称：上海联泰基金销售有限公司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（38）名称：和耕传承基金销售有限公司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（39）名称：上海好买基金销售有限公司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（40）名称：北京创金启富基金销售有限公司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 北京市西城区白纸坊东街2号院6号楼712室</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（41）名称：阳光人寿保险股份有限公司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（42）名称：上海长量基金销售有限公司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（43）名称：上海利得基金销售有限公司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传真：021-50583633</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（44）名称：嘉实财富管理有限公司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（45）名称：济安财富（北京）基金销售有限公司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（46）名称：蚂蚁（杭州）基金销售有限公司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网址：www.fund123.cn</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（47）名称：博时财富基金销售有限公司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（48）名称：诺亚正行基金销售有限公司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（49）名称：泛华普益基金销售有限公司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（50）名称：深圳众禄基金销售股份有限公司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办公地址：深圳市罗湖区梨园路物资控股置地大厦8楼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（51）名称：玄元保险代理有限公司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（52）名称：上海万得基金销售有限公司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（53）名称：上海证达通基金销售有限公司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潘梦茹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（54）名称：上海华夏财富投资管理有限公司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（55）名称：北京雪球基金销售有限公司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（56）名称：上海攀赢基金销售有限公司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客户服务电话：021-68889082</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网址：www.weonefunds.com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（57）名称：中信期货有限公司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电话：010-60833754</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办公地址：上海浦东新区世纪大道8号国金中心二期21-22楼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电话：（021）61055461</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传真：（021）61055064</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联系人：陈方强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传真：（010）85188298</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3B0F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D3F82" w:rsidRDefault="003B0F32">
      <w:pPr>
        <w:pStyle w:val="1"/>
        <w:snapToGrid w:val="0"/>
        <w:spacing w:beforeLines="0" w:before="240" w:after="240"/>
        <w:rPr>
          <w:rFonts w:ascii="宋体" w:hAnsi="宋体"/>
          <w:szCs w:val="30"/>
        </w:rPr>
      </w:pPr>
      <w:bookmarkStart w:id="9" w:name="_Toc232076532"/>
      <w:r>
        <w:rPr>
          <w:rFonts w:ascii="Times New Roman" w:hAnsi="Times New Roman"/>
          <w:sz w:val="30"/>
        </w:rPr>
        <w:lastRenderedPageBreak/>
        <w:t>六、基金的募集</w:t>
      </w:r>
      <w:bookmarkEnd w:id="9"/>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本基金由基金管理人依照《基金法》、《运作办法》、《销售办法》、基金合同及其他有关规定，并经中国证监会2016年7月12日证监许可[2016] 1570号文准予募集注册。</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本基金为契约性开放式货币市场基金。基金存续期间为不定期。</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本基金于2016年7月21日当日进行发售，本基金设立募集期共募集210,080,375.35份基金份额，有效认购户数为229户。</w:t>
      </w:r>
    </w:p>
    <w:p w:rsidR="00B439CC" w:rsidRDefault="003B0F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D3F82" w:rsidRDefault="003B0F32">
      <w:pPr>
        <w:pStyle w:val="1"/>
        <w:snapToGrid w:val="0"/>
        <w:spacing w:beforeLines="0" w:before="240" w:after="240"/>
        <w:rPr>
          <w:rFonts w:ascii="宋体" w:hAnsi="宋体"/>
          <w:szCs w:val="30"/>
        </w:rPr>
      </w:pPr>
      <w:bookmarkStart w:id="10" w:name="_Toc232076533"/>
      <w:r>
        <w:rPr>
          <w:rFonts w:ascii="Times New Roman" w:hAnsi="Times New Roman"/>
          <w:sz w:val="30"/>
        </w:rPr>
        <w:lastRenderedPageBreak/>
        <w:t>七、基金合同的生效</w:t>
      </w:r>
      <w:bookmarkEnd w:id="10"/>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出解决方案，如转换运作方式、与其他基金合并或者终止基金合同等，并召开基金份额持有人大会进行表决。</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3B0F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D3F82" w:rsidRDefault="003B0F32">
      <w:pPr>
        <w:pStyle w:val="1"/>
        <w:snapToGrid w:val="0"/>
        <w:spacing w:beforeLines="0" w:before="240" w:after="240"/>
        <w:rPr>
          <w:rFonts w:ascii="宋体" w:hAnsi="宋体"/>
          <w:szCs w:val="30"/>
        </w:rPr>
      </w:pPr>
      <w:bookmarkStart w:id="11" w:name="_Toc232076534"/>
      <w:r>
        <w:rPr>
          <w:rFonts w:ascii="Times New Roman" w:hAnsi="Times New Roman"/>
          <w:sz w:val="30"/>
        </w:rPr>
        <w:lastRenderedPageBreak/>
        <w:t>八、基金份额的申购与赎回</w:t>
      </w:r>
      <w:bookmarkEnd w:id="11"/>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本基金直销机构仅为基金管理人直销柜台。</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投资者可通过本基金管理人直销柜台办理开户、本基金A类及E类基金份额的申购、赎回、转换等业务。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2、除基金管理人之外其他销售机构</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投资人可通过上述销售机构办理基金申购、赎回、转换业务的营业场所或按上述销售机构提供的其他方式进行申购、赎回、转换。本基金管理人可根据情况变更或增减基金销售机构，并在管理人网站公示。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若销售机构开通电话、传真或网上等交易方式，投资人可以通过上述方式进行申购与赎回。</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若出现新的证券交易市场、证券交易所交易时间变更、新的业务发展或其他特</w:t>
      </w:r>
      <w:r>
        <w:rPr>
          <w:rFonts w:ascii="宋体" w:hAnsi="宋体"/>
          <w:sz w:val="24"/>
        </w:rPr>
        <w:lastRenderedPageBreak/>
        <w:t>殊情况，基金管理人将视情况对前述开放日及开放时间进行相应的调整，但应在实施日前依照《信息披露办法》的有关规定在指定媒介上公告。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本基金已于2016年7月29日起开放申购、赎回业务。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视为下一开放日的申购、赎回或转换申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1、“确定价”原则，即申购、赎回价格以每份基金份额净值为1.00元的基准进行计算；</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3、当日的申购与赎回申请可以在基金管理人规定的时间以内撤销，但申请经登记机构正式受理的不得撤销；</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4、基金管理人有权决定基金份额持有人持有本基金的最高限额和本基金的总规模限额，但应最迟在新的限额实施前依照《信息披露办法》的有关规定在指定媒介上公告。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（四）申购和赎回的程序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w:t>
      </w:r>
      <w:r>
        <w:rPr>
          <w:rFonts w:ascii="宋体" w:hAnsi="宋体"/>
          <w:sz w:val="24"/>
        </w:rPr>
        <w:lastRenderedPageBreak/>
        <w:t>赎回时，款项的支付办法参照本基金合同有关条款处理。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（五）申购和赎回的数额限定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者不受首次申购最低金额的限制。本基金直销机构单笔申购最低金额可由基金管理人酌情调整。其他销售机构单笔申购的最低金额为单笔0.01元，如果其他销售机构业务规则规定的最低单笔申购金额高于0.01元，以该销售机构的规定为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赎回的最低份额为0.01份基金份额，如果销售机构业务规则规定的最低单笔赎回份额高于0.01份，以该销售机构的规定为准。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本基金暂无最低保留余额限制。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根据基金实际运作情况规定单个投资人累计持有的基金份额上限、本基金的总规模上限、当日申购金额上限、或单个投资人当日申购金额上限，并在相关限制实施日前依照《信息披露办法》的有关规定在指定媒介上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5、为保护基金份额持有人的合法权益，基金管理人可以依照相关法律法规以</w:t>
      </w:r>
      <w:r>
        <w:rPr>
          <w:rFonts w:ascii="宋体" w:hAnsi="宋体"/>
          <w:sz w:val="24"/>
        </w:rPr>
        <w:lastRenderedPageBreak/>
        <w:t>及基金合同的约定，在特定市场条件下暂停或者拒绝接受一定金额以上的资金申购，具体以基金管理人的公告为准。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可在法律法规允许的情况下，调整上述规定申购金额、赎回份额、最低基金份额保留余额和基金总规模等数量限制。基金管理人必须在调整实施前依照《信息披露办法》的有关规定在指定媒介上公告并报中国证监会备案。</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（六）申购和赎回的价格、费用及其用途</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另有规定或基金合同另有约定外，本基金不收取申购费用和赎回费用；在满足相关流动性风险管理要求的前提下，当本基金持有的现金、国债、中央银行票据、政策性金融债券以及5个交易日内到期的其他金融工具占基金资产净值的比例合计低于5%且偏离度为负时，为确保基金平稳运作，避免诱发系统性风险，基金管理人应当对当日单个基金份额持有人申请赎回基金份额超过基金总份额1%以上的赎回申请征收1%的强制赎回费用，并将上述赎回费用全额计入基金财产，基金管理人与基金托管人协商确认上述做法无益于基金利益最大化的情形除外；</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本基金前10名基金份额持有人的持有份额合计超过基金总份额50%，且本基金投资组合中现金、国债、中央银行票据、政策性金融债券以及5个交易日内到期的其他金融工具占基金资产净值的比例合计低于10%且偏离度为负时，基金管理人应当对当日单个基金份额持有人超过基金总份额1%以上的赎回申请征收1%的强制赎回费用，并将上述赎回费用全额计入基金财产。</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2、本基金通过每日计算收益并分配的方式，使基金份额净值保持在1.00元。本基金的申购、赎回价格为每份基金份额1.00元。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3、申购份额的计算</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申购份额=申购金额/1.00元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申购份额的计算结果保留到小数点后2位，小数点2位以后的部分四舍五入，由此误差产生的收益或损失由基金财产承担。</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例一：假定某投资者投资10,000元申购本基金A类基金份额，则其可得到的基金份额计算如下：</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申购份额=10,000/1.00=10,000份</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即投资者投资10,000元申购本基金A类基金份额，可以得到10,000份A类基金份额。</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4、赎回金额的计算（不包含特殊情况）</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赎回金额等于登记机构确认的赎回份额乘以1.00元。投资人提交全额赎回申请时，所有未支付累计净收益将随赎回款项一并结清。</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赎回金额的计算结果保留到小数点后2位，小数点2位以后的部分四舍五入，由此误差产生的收益或损失由基金财产承担。</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例二：假定某投资者将所持有的10,000份A类基金份额赎回（非全额赎回），则其可得到的赎回金额计算如下：</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赎回金额=10,000×1.00=10,000元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5、基金管理人可以在基金合同约定的范围内调整费率或收费方式，并最迟应于新的费率或收费方式实施日前依照《信息披露办法》的有关规定在指定媒介上公告。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（七）拒绝或暂停申购的情形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4、本基金出现当日净收益或累计未分配净收益小于零的情形，为保护基金份额持有人的利益，基金管理人可视情况暂停本基金的申购。</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5、接受某笔或某些申购申请可能会影响或损害现有基金份额持有人利益时。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6、基金资产规模过大，使基金管理人无法找到合适的投资品种，或其他可能对基金业绩产生负面影响，或发生其他损害现有基金份额持有人利益的情形。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新的申购申请被确认成功，使本基金总规模超过基金管理人规定的本基金总规模上限时，或使本基金当日申购金额超过基金管理人规定的当日申购金额上限时，或使该投资人累计持有的份额超过基金管理人规定的单个投资人累计持有份额上限时，或使该投资人当日申购金额超过基金管理人规定的单个投资人当日申购</w:t>
      </w:r>
      <w:r>
        <w:rPr>
          <w:rFonts w:ascii="宋体" w:hAnsi="宋体"/>
          <w:sz w:val="24"/>
        </w:rPr>
        <w:lastRenderedPageBreak/>
        <w:t>金额上限时。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8、为保护基金份额持有人的合法权益，基金管理人可以依照相关法律法规，在特定市场条件下暂停或者拒绝接受一定金额以上的资金申购。</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9、基金管理人、基金托管人、基金销售机构、基金销售支付结算机构或登记机构的异常情况导致基金销售系统、基金销售支付结算系统、基金注册登记系统或基金会计系统无法正常运行。</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10、当影子定价确定的基金资产净值与摊余成本法计算的基金资产净值的正偏离度达到绝对值0.5%时。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11、当前一估值日基金资产净值50%以上的资产出现无可参考的活跃市场价格且采用估值技术仍导致公允价值存在重大不确定性时，经与基金托管人协商确认后，基金管理人应当暂停接受基金申购申请。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12、基金管理人接受某笔或者某些申购申请有可能导致单一投资者持有基金份额的比例超过50%，或者变相规避50%集中度的情形时。出现上述情形时，基金管理人有权将上述申购申请全部或部分确认失败。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13、基金合同约定、法律法规规定或中国证监会认定的其他情形。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4、6、8、9、10、11、13项暂停申购情形之一且基金管理人决定暂停接受投资人的申购申请时，基金管理人应当根据有关规定在指定媒介上刊登暂停申购公告。对于上述第7项拒绝申购的情形，基金管理人将在基金管理人网站上公布相关申购上限设定。如果投资人的申购申请被拒绝，被拒绝的申购款项将退还给投资人。在暂停申购的情况消除时，基金管理人应及时恢复申购业务的办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（八）暂停赎回或延缓支付赎回款项的情形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4、本基金出现当日净收益或累计未分配净收益小于零的情形，为保护基金份</w:t>
      </w:r>
      <w:r>
        <w:rPr>
          <w:rFonts w:ascii="宋体" w:hAnsi="宋体"/>
          <w:sz w:val="24"/>
        </w:rPr>
        <w:lastRenderedPageBreak/>
        <w:t>额持有人的利益，基金管理人可视情况暂停本基金的赎回。</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5、连续两个或两个以上开放日发生巨额赎回。</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7、本基金的资产组合中的重要部分发生暂停交易或其他重大事件，继续接受赎回可能会影响或损害基金份额持有人利益时。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8、当影子定价确定的基金资产净值与摊余成本法计算的基金资产净值的负偏离度绝对值连续两个交易日超过0.5%时，基金管理人可视情况暂停本基金的赎回。</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10、基金合同约定、法律法规规定或中国证监会认定的其他情形。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若出现上述第5项所述情形，按基金合同的相关条款处理。基金份额持有人在申请赎回时可事先选择将当日可能未获受理部分予以撤销。在暂停赎回的情况消除时，基金管理人应及时恢复赎回业务的办理并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公平对待不同类别基金份额持有人的合法权益，单个基金份额持有人在单个开放日申请赎回基金份额超过基金总份额10%的，基金管理人可以延期办理部分赎回申请或者延缓支付赎回款项，具体操作以基金管理人届时发布的相关公告为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（九）巨额赎回的情形及处理方式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w:t>
      </w:r>
      <w:r>
        <w:rPr>
          <w:rFonts w:ascii="宋体" w:hAnsi="宋体"/>
          <w:sz w:val="24"/>
        </w:rPr>
        <w:lastRenderedPageBreak/>
        <w:t>额赎回或部分延期赎回。</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以此类推，直到全部赎回为止。如投资人在提交赎回申请时未作明确选择，投资人未能赎回部分作自动延期赎回处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当发生上述延期赎回并延期办理时，基金管理人应当通过邮寄、传真、刊登公告或者通知销售机构代为告知等方式在3个交易日内通知基金份额持有人，说明有关处理方法，并在2日内在指定媒介上刊登公告。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（十）暂停申购或赎回的公告和重新开放申购或赎回的公告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w:t>
      </w:r>
      <w:r>
        <w:rPr>
          <w:rFonts w:ascii="宋体" w:hAnsi="宋体"/>
          <w:sz w:val="24"/>
        </w:rPr>
        <w:lastRenderedPageBreak/>
        <w:t>法》的有关规定，不迟于重新开放日，在指定媒介上刊登基金重新开放申购或赎回公告，并公布最近一个开放日的各类基金份额的每万份基金已实现收益和7日年化收益率。</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（十一）基金的非交易过户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（十二）基金的转托管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（十三）定期定额投资计划</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本基金2016年7月28日刊登公告自2016年7月29日起开通定期定额投资计划业务，具体开通销售机构名单和业务规则参见相关公告。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（十四）基金份额的冻结和解冻</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（十五）基金份额的转让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w:t>
      </w:r>
      <w:r>
        <w:rPr>
          <w:rFonts w:ascii="宋体" w:hAnsi="宋体"/>
          <w:sz w:val="24"/>
        </w:rPr>
        <w:lastRenderedPageBreak/>
        <w:t>金份额的过户登记。基金管理人拟受理基金份额转让业务的，将提前公告，基金份额持有人应根据基金管理人公告的业务规则办理基金份额转让业务。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（十六）其他业务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3B0F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D3F82" w:rsidRDefault="003B0F32">
      <w:pPr>
        <w:pStyle w:val="1"/>
        <w:snapToGrid w:val="0"/>
        <w:spacing w:beforeLines="0" w:before="240" w:after="240"/>
        <w:rPr>
          <w:rFonts w:ascii="宋体" w:hAnsi="宋体"/>
          <w:szCs w:val="30"/>
        </w:rPr>
      </w:pPr>
      <w:bookmarkStart w:id="12" w:name="_Toc232076535"/>
      <w:r>
        <w:rPr>
          <w:rFonts w:ascii="Times New Roman" w:hAnsi="Times New Roman"/>
          <w:sz w:val="30"/>
        </w:rPr>
        <w:lastRenderedPageBreak/>
        <w:t>九、基金的转换</w:t>
      </w:r>
      <w:bookmarkEnd w:id="12"/>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本基金2018年3月6日刊登公告自2018年3月7日起开放日常转换业务。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申请方式：书面申请或销售机构公布的其他方式。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基金转换申请的确认</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正常情况下，T日规定时间受理的申请，基金注册登记机构在T＋1日内为投资人对该交易的有效性进行确认，在T＋2日后（包括该日）投资人可向销售机构查询转换的确认情况。</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基金转换的注册登记</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在T＋1日为投资人T日的基金转换业务申请进行有效性确认，办理转出基金的权益扣除以及转入基金的权益登记，在T＋2日后（包含该日）投资人可向销售机构查询转换业务的成交情况，并有权转换或赎回该部分基金份额。</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基金遵循“份额转换”的原则，单笔转换份额不得低于10份。基金持有人可将其全部或部分基金份额转换成其它基金，单笔转换申请不受转入基金最低申购限额限制。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投资人在单个交易账户保留的货币基金(除交银货币外)的最低保留余额为0.01份，每个工作日投资人在单个交易账户保留的基金份额余额少于最低保留余额时，若当日该账户同时有份额减少类业务（如赎回、转换出等）被确认，基金管理人有权将投资人在该账户保留的基金份额一次性全部赎回。因此，如果某笔转换申请确认后转出基金的单个交易账户的基金份额余额少于最低保留余额时，则转出基金在该账户剩余的基金份额将被全部赎回。如果某笔转换申请确认后转入基金的单个交易账户的基金份额余额少于最低保留余额且该账户当日有份额减少类业务被确认，则转入基金在该账户剩余的基金份额（包括该部分转换入确认份额）将随即被强制赎回。</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3、转出与转入基金的申购补差费用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申购费用低的基金向申购费用高的基金转换，收取申购补差费用；从申购费用高的基金向申购费用低的基金或不收取申购费用的基金转换，不收取申购补差费用。申购补差费用原则上按照转出确认金额对应的转入基金申购费减去转出基金申购费差额进行计算补差。</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4、网上直销的申购补差费率优惠</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w:t>
      </w:r>
      <w:r>
        <w:rPr>
          <w:rFonts w:ascii="宋体" w:hAnsi="宋体"/>
          <w:sz w:val="24"/>
        </w:rPr>
        <w:lastRenderedPageBreak/>
        <w:t>阅本基金管理人网站。</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管理人可以根据法律法规及基金合同的规定对上述转换费用收费方式和费率进行调整，并应于调整后的收费方式和费率实施前依照《证券投资基金信息披露管理办法》的有关规定在中国证监会指定媒介上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转出基金申购费用=转入确认金额×转出基金申购费率/（1+转出基金申购费率）</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转入基金申购费用=转入确认金额×转入基金申购费率/（1+转入基金申购费率）</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转出与转入基金的申购补差费=MAX（0，转入基金申购费用-转出基金申购费用）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稳利A类基金份额100,000份，持有期半年，转换申请当日交银稳利的A类基金份额净值为1.0100元，交银现金宝A类基金份额的基金份额净值为1.00元。若该投资者将100,000份交银稳利A类基金份额转换为交银现金宝A类基金份额，则转入交银现金宝确认的A类基金份额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转出基金的赎回费=101,000×0%=0元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转入确认金额=101,000-0=101,000元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转出基金申购费用=101,000×0.30%/（1+0.30%）=302.09元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转入基金申购费用=0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转出与转入基金的申购补差费=0元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转入基金确认份额=（101,000-0）/1.00=101,000份</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现金宝A类基金份额100,000份，该100,000份基金份额未结转的待支付收益为61.52元，转换申请当日交银现金宝的A类基金份额净值为1.00元，交银稳利的A类基金份额净值为1.0100元。若该投资者将100,000份交银现金宝A类基金份额转换为交银稳利A类基金份额，则转入交银稳利确认的A类基金份额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转出基金申购费用=0元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转入基金申购费用=100,000×0.30%/（1+0.30%）=299.10元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转出与转入基金的申购补差费=299.10-0=299.10元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转入基金确认份额=（100,000-299.10+61.52）/1.0100=98,774.67份</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申请将其账户内货币基金的基金份额转换为其他基金份额时，注册登记机构将自动结转该转出份额对应的待支付收益，该收益将一并计入转出金额并折算为转入基金的基金份额，但收益部分不收取转换费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w:t>
      </w:r>
      <w:r>
        <w:rPr>
          <w:rFonts w:ascii="宋体" w:hAnsi="宋体"/>
          <w:sz w:val="24"/>
        </w:rPr>
        <w:lastRenderedPageBreak/>
        <w:t>将自转入基金份额被确认日起重新开始计算。</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3B0F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D3F82" w:rsidRDefault="003B0F32">
      <w:pPr>
        <w:pStyle w:val="1"/>
        <w:snapToGrid w:val="0"/>
        <w:spacing w:beforeLines="0" w:before="240" w:after="240"/>
        <w:rPr>
          <w:rFonts w:ascii="宋体" w:hAnsi="宋体"/>
          <w:szCs w:val="30"/>
        </w:rPr>
      </w:pPr>
      <w:bookmarkStart w:id="13" w:name="_Toc232076536"/>
      <w:r>
        <w:rPr>
          <w:rFonts w:ascii="Times New Roman" w:hAnsi="Times New Roman"/>
          <w:sz w:val="30"/>
        </w:rPr>
        <w:lastRenderedPageBreak/>
        <w:t>十、基金的投资</w:t>
      </w:r>
      <w:bookmarkEnd w:id="13"/>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在力求本金安全性和资产充分流动性的前提下，追求超过业绩比较基准的投资收益。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现金，期限在1年以内（含1年）的银行存款、债券回购、中央银行票据、同业存单，剩余期限在397天以内（含397天）的债券、非金融企业债务融资工具、资产支持证券，中国证监会、中国人民银行认可的其他具有良好流动性的货币市场工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如法律法规或监管机构以后允许货币市场基金投资其他金融工具，基金管理人在履行适当程序后，可以将其纳入投资范围，其投资比例遵循届时有效法律法规或相关规定。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保持组合高度流动性的前提下，结合对国内外宏观经济运行、金融市场运行、资金流动格局、货币市场收益率曲线形态等各方面的分析，合理安排组合期限结构，积极选择投资工具，采取主动性的投资策略和精细化的操作手法。具体包括：</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1、短期利率水平预期策略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深入分析国家货币政策、短期资金市场利率波动、资本市场资金面的情况和流动性的变化，对短期利率走势形成合理预期，并据此调整基金货币资产的配置策略。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2、收益率曲线分析策略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根据收益率曲线的变化趋势，采取相应的投资管理策略。货币市场收益率曲线的形状反映当时短期利率水平之间的关系，反映市场对较短期限经济状况的判断及对未来短期经济走势的预期。</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3、组合剩余期限策略、期限配置策略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对组合资产剩余期限的设计、跟踪、调整，达到保持合理的现金流，锁定组合剩余期限，以满足可能的、突发的现金需求，同时保持组合的稳定收益；特别在债券投资中，根据收益率曲线的情况，投资一定剩余期限的品种，稳定收益，锁</w:t>
      </w:r>
      <w:r>
        <w:rPr>
          <w:rFonts w:ascii="宋体" w:hAnsi="宋体"/>
          <w:sz w:val="24"/>
        </w:rPr>
        <w:lastRenderedPageBreak/>
        <w:t>定风险，满足组合目标期限。</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4、类别品种配置策略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在保持组合资产相对稳定的条件下，根据各类短期金融工具的市场规模、收益性和流动性，决定各类资产的配置比例；再通过评估各类资产的流动性和收益性利差，确定不同期限类别资产的具体资产配置比例。</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5、流动性管理策略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在满足基金投资者申购、赎回的资金需求前提下，通过基金资产安排（包括现金库存、资产变现、剩余期限管理或以其他措施），在保持基金资产高流动性的前提下，确保基金的稳定收益。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6、无风险套利策略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无风险套利策略包括：</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跨市场套利策略：根据各细分短期金融工具的流动性和收益特征，动态调整基金资产在各个细分市场之间的配置比例。如，当交易所市场回购利率高于银行间市场回购利率时，可增加交易所市场回购的配置比例；另外，还包括一级市场发行定价和二级市场流通成交价之间的无风险套利机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跨品种套利策略：根据各细分市场中不同品种的风险参数、流动性补偿和收益特征，动态调整不同期限结构品种的配置比例。</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7、滚动配置策略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根据具体投资品种的市场特性，采用持续滚动投资的方法，以提高基金资产的整体持续的变现能力。</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8、其他金融工具投资策略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密切跟踪银行承兑汇票、商业承兑汇票等商业票据以及各种衍生产品的动向，一旦监管机构允许货币市场基金参与此类金融工具的投资，基金管理人在履行适当程序后将其纳入投资范围，本基金将在届时相应法律法规的框架内，根据对该金融工具的研究，制定符合本基金投资目标的投资策略，在充分考虑该投资品种风险和收益特征的前提下，谨慎投资。</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1、本基金不得投资于以下金融工具：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（2）可转换债券、可交换债券；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（3）以定期存款利率为基准利率的浮动利率债券，已进入最后一个利率调整期的除外；</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（4）信用等级在AA+以下的债券与非金融企业债务融资工具；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（5）中国证监会、中国人民银行禁止投资的其他金融工具。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本基金拟投资于主体信用评级低于AA+的商业银行的银行存款与同业存单的，应当经基金管理人董事会审议批准，相关交易应当事先征得基金托管人的同意，并作为重大事项履行信息披露程序。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法律法规或监管部门取消上述限制，如适用于本基金，基金管理人在履行适当程序后，则本基金投资不再受相关限制。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2、组合限制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（1）本基金投资组合的平均剩余期限在每个交易日均不得超过120天，平均剩余存续期在每个交易日均不得超过240天；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（2）本基金投资于现金、国债、中央银行票据、政策性金融债券占基金资产净值的比例合计不得低于5%，其中现金不包括结算备付金、存出保证金、应收申购款等；</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（3）本基金投资于现金、国债、中央银行票据、政策性金融债券以及五个交易日内到期的其他金融工具占基金资产净值的比例合计不得低于10%；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主动投资于流动性受限资产的市值合计不得超过基金资产净值的10%；因证券市场波动、基金规模变动等基金管理人之外的因素致使基金不符合该比例限制的，基金管理人不得主动新增流动性受限资产的投资；</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（5）除发生巨额赎回、连续3 个交易日累计赎回20%以上或者连续5 个交易日累计赎回30%以上的情形外，本基金债券正回购的资金余额占基金资产净值的比例不得超过20%；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（6）本基金投资于同一机构发行的债券、非金融企业债务融资工具及其作为原始权益人的资产支持证券占基金资产净值的比例合计不得超过10%，国债、中央银行票据、政策性金融债券除外；</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（7）本基金管理人管理的全部基金持有一家公司发行的证券，不超过该证券的10%；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（8）本基金投资于有固定期限银行存款的比例，不得超过基金资产净值的</w:t>
      </w:r>
      <w:r>
        <w:rPr>
          <w:rFonts w:ascii="宋体" w:hAnsi="宋体"/>
          <w:sz w:val="24"/>
        </w:rPr>
        <w:lastRenderedPageBreak/>
        <w:t>30%，但投资于有存款期限，根据协议可提前支取的银行存款不受上述比例限制；本基金投资于具有基金托管人资格的同一商业银行的银行存款、同业存单占基金资产净值的比例合计不得超过20%，投资于不具有基金托管人资格的同一商业银行的银行存款、同业存单占基金资产净值的比例合计不得超过5%；</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中国证监会规定的特殊品种除外；本基金持有的同一（指同一信用级别）资产支持证券的比例，不得超过该资产支持证券规模的10%；本基金管理人管理的全部基金投资于同一原始权益人的各类资产支持证券，不得超过其各类资产支持证券合计规模的10%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应投资于具有评级资质的资信评级机构进行持续信用评级，且信用评级不低于国内信用评级机构评定的AAA级或相当于AAA级的信用级别的资产支持证券。基金持有资产支持证券期间，如果其信用等级下降、不再符合投资标准，应在评级报告发布之日起3 个月内予以全部卖出；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（11）本基金管理人管理的全部货币市场基金投资于同一商业银行的银行存款及其发行的同业存单与债券，不得超过该商业银行最近一个季度末净资产的10%；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（12）当本基金前10 名份额持有人的持有份额合计超过基金总份额的50%时，本基金投资组合的平均剩余期限不得超过60天，平均剩余存续期不得超过120天；投资组合中现金、国债、中央银行票据、政策性金融债券以及5个交易日内到期的其他金融工具占基金资产净值的比例合计不得低于30%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（13）当本基金前10 名份额持有人的持有份额合计超过基金总份额的20%时，本基金投资组合的平均剩余期限不得超过90天，平均剩余存续期不得超过180天；投资组合中现金、国债、中央银行票据、政策性金融债券以及5个交易日内到期的其他金融工具占基金资产净值的比例合计不得低于20%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（14）本基金投资于主体信用评级低于AAA 的机构发行的金融工具占基金资产净值的比例合计不得超过10%，其中单一机构发行的金融工具占基金资产净值的比例合计不得超过2%；前述金融工具包括债券、非金融企业债务融资工具、银行存款、同业存单、相关机构作为原始权益人的资产支持证券及中国证监会认定的其他品种；</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（15）本基金与私募类证券资管产品及中国证监会认定的其他主体为交易对手开展逆回购交易的，可接受质押品的资质要求应当与基金合同约定的投资范围保持</w:t>
      </w:r>
      <w:r>
        <w:rPr>
          <w:rFonts w:ascii="宋体" w:hAnsi="宋体"/>
          <w:sz w:val="24"/>
        </w:rPr>
        <w:lastRenderedPageBreak/>
        <w:t>一致；</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（16）本基金在全国银行间同业市场的债券回购最长期限为1年，债券回购到期后不得展期；</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（17）本基金的基金资产总值不得超过基金资产净值的140%；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（18）法律法规、中国证监会及中国人民银行规定的其他比例限制。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1）、（2）、（4）、（10）、（15）项外，因证券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债券与非金融企业债务融资工具的信用等级应主要参照最近一个会计年度的主体信用评级，如果对发行人同时有两家以上境内评级机构评级的，应采用孰低原则确定其评级，并结合基金管理人内部信用评级进行独立判断与认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 个月内使基金的投资组合比例符合基金合同的有关约定，基金合同另有约定的除外。在上述期间内，本基金的投资范围、投资策略应当符合基金合同的约定。基金托管人对基金的投资的监督与检查自本基金合同生效之日起开始。</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法律法规对上述投资组合比例限制进行变更的，以变更后的规定为准。法律法规或监管部门取消上述限制，如适用于本基金，基金管理人在履行适当程序后，本基金投资不再受相关限制。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3、禁止行为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（3）从事承担无限责任的投资；</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本基金的业绩比较基准为：活期存款利率（税后）。</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位为现金管理工具，注重基金资产的流动性和安全性，因此采用活期存款利率（税后）作为业绩比较基准。活期存款利率由中国人民银行公布，如果活期存款利率或利息税发生调整，则新的业绩比较基准将从调整当日起开始生效。</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今后法律法规发生变化，或者中国人民银行调整或停止该基准利率的发布，或者市场中出现其他代表性更强、更科学客观的业绩比较基准适用于本基金时，经基金管理人和基金托管人协商一致后，本基金可以变更业绩比较基准并及时公告，而无需召开基金份额持有人大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货币市场基金，是证券投资基金中的低风险品种，长期风险收益水平低于股票型基金、混合型基金和债券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（七）投资组合平均剩余期限和平均剩余存续期限的计算</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1、平均剩余期限（天）的计算公式如下：</w:t>
      </w:r>
    </w:p>
    <w:p w:rsidR="001D3F82" w:rsidRDefault="00AD7AD4">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9pt;height:51.75pt">
            <v:imagedata r:id="rId15" o:title="1521256610242020828"/>
          </v:shape>
        </w:pic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2、平均剩余存续期限（天）的计算公式如下：</w:t>
      </w:r>
    </w:p>
    <w:p w:rsidR="001D3F82" w:rsidRDefault="00AD7AD4">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29pt;height:51.75pt">
            <v:imagedata r:id="rId16" o:title="1521256610242020828"/>
          </v:shape>
        </w:pic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于金融工具产生的资产包括银行活期存款、清算备付金、交易保证金、证券清算款、银行定期存款、同业存单、债券、非金融企业债务融资工具、资产支持证券、逆回购、中央银行票据、买断式回购产生的待回购债券、或中国证监会、中国人民银行认可的其他具有良好流动性的货币市场工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投资于金融工具产生的负债包括正回购、买断式回购产生的待返售债券等。</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2、各类资产和负债剩余期限、剩余存续期限的确定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（1）银行活期存款、清算备付金、交易保证金的剩余期限和剩余存续期限为0天；证券清算款的剩余期限和剩余存续期限以计算日至交收日的剩余交易日天数计算；</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回购（包括正回购和逆回购）的剩余期限和剩余存续期限以计算日至回购协议到期日的实际剩余天数计算；买断式回购产生的待回购债券的剩余期限和剩余存续期限为该基础债券的剩余期限，待返售债券的剩余期限和剩余存续期限以计算日至回购协议到期日的实际剩余天数计算；</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银行定期存款、同业存单的剩余期限和剩余存续期限以计算日至协议到期日的实际剩余天数计算；有存款期限，根据协议可提前支取且没有利息损失的银行存款，剩余期限和剩余存续期限以计算日至协议到期日的实际剩余天数计算；银行通知存款的剩余期限和剩余存续期限以存款协议中约定的通知期计算；</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（4）中央银行票据的剩余期限和剩余存续期限以计算日至中央银行票据到期日的实际剩余天数计算；</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（5）组合中债券的剩余期限和剩余存续期限是指计算日至债券到期日为止所剩余的天数，以下情况除外：</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允许投资的可变利率或浮动利率债券的剩余期限以计算日至下一个利率调整日的实际剩余天数计算。</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允许投资的可变利率或浮动利率债券的剩余存续期限以计算日至债券到期日的实际剩余天数计算。</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（八）基金管理人代表基金行使债权人权利的处理原则及方法</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1、基金管理人按照国家有关规定代表基金独立行使债权人权利，保护基金份额持有人的利益；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2、有利于基金财产的安全与增值；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3、不通过关联交易为自身、雇员、授权代理人或任何存在利害关系的第三人牟取任何不当利益。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（十）基金投资组合报告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基金托管人中信建投证券股份有限公司根据本基金合同规定，于2026年04月20日复核了本报告中的财务指标、净值表现和投资组合报告等内容，保证复核内容不存在虚假记载、误导性陈述或者重大遗漏。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本报告期自2026年01月01日起至03月31日止。本报告财务资料未经审计师审计。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56,279,797,423.99</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39.61</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56,279,797,423.99</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39.61</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2,451,680,013.00</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1.73</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1D3F82">
            <w:pPr>
              <w:widowControl/>
              <w:snapToGrid w:val="0"/>
              <w:jc w:val="left"/>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83,042,513,188.24</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58.44</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317,695,685.00</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0.22</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142,091,686,310.23</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2、报告期债券回购融资情况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400"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报告期内债券回购融资余额</w:t>
            </w:r>
          </w:p>
        </w:tc>
        <w:tc>
          <w:tcPr>
            <w:tcW w:w="400" w:type="pct"/>
            <w:gridSpan w:val="2"/>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6.02</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1D3F82">
            <w:pPr>
              <w:widowControl/>
              <w:snapToGrid w:val="0"/>
              <w:jc w:val="left"/>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其中：买断式回购融资</w:t>
            </w:r>
          </w:p>
        </w:tc>
        <w:tc>
          <w:tcPr>
            <w:tcW w:w="400" w:type="pct"/>
            <w:gridSpan w:val="2"/>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报告期末债券回购融资余额</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5,696,832,423.23</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4.18</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1D3F82">
            <w:pPr>
              <w:widowControl/>
              <w:snapToGrid w:val="0"/>
              <w:jc w:val="left"/>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其中：买断式回购融资</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bl>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注：报告期内债券回购融资余额占基金资产净值的比例为报告期内每个银行间市场交易日融资余额占资产净值比例的简单平均值。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债券正回购的资金余额超过基金资产净值的20%的说明</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3、基金投资组合平均剩余期限</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投资组合平均剩余期限基本情况</w:t>
      </w:r>
    </w:p>
    <w:tbl>
      <w:tblPr>
        <w:tblW w:w="5000" w:type="pct"/>
        <w:tblCellMar>
          <w:left w:w="0" w:type="dxa"/>
          <w:right w:w="0" w:type="dxa"/>
        </w:tblCellMar>
        <w:tblLook w:val="0000" w:firstRow="0" w:lastRow="0" w:firstColumn="0" w:lastColumn="0" w:noHBand="0" w:noVBand="0"/>
      </w:tblPr>
      <w:tblGrid>
        <w:gridCol w:w="2167"/>
        <w:gridCol w:w="6503"/>
      </w:tblGrid>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天数</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报告期末投资组合平均剩余期限</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97</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报告期内投资组合平均剩余期限最高值</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115</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报告期内投资组合平均剩余期限最低值</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83</w:t>
            </w:r>
          </w:p>
        </w:tc>
      </w:tr>
    </w:tbl>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报告期内投资组合平均剩余期限超过120天情况说明</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本基金本报告期内投资组合平均剩余期限未超过120天。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 报告期末投资组合平均剩余期限分布比例</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平均剩余期限</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各期限资产占基金资产净值的比例（</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各期限负债占基金资产净值的比例（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天以内</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28.68</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4.18</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其中：剩余存续期超过</w:t>
            </w:r>
            <w:r>
              <w:rPr>
                <w:rFonts w:ascii="Times New Roman" w:hAnsi="Times New Roman"/>
                <w:color w:val="000000"/>
                <w:kern w:val="0"/>
                <w:sz w:val="25"/>
                <w:szCs w:val="24"/>
              </w:rPr>
              <w:t>397</w:t>
            </w:r>
            <w:r>
              <w:rPr>
                <w:rFonts w:ascii="Times New Roman" w:hAnsi="Times New Roman"/>
                <w:color w:val="000000"/>
                <w:kern w:val="0"/>
                <w:sz w:val="25"/>
                <w:szCs w:val="24"/>
              </w:rPr>
              <w:t>天的浮动利率债</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天（含）</w:t>
            </w:r>
            <w:r>
              <w:rPr>
                <w:rFonts w:ascii="Times New Roman" w:hAnsi="Times New Roman"/>
                <w:color w:val="000000"/>
                <w:kern w:val="0"/>
                <w:sz w:val="25"/>
                <w:szCs w:val="24"/>
              </w:rPr>
              <w:t>—60</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11.48</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其中：剩余存续期超过</w:t>
            </w:r>
            <w:r>
              <w:rPr>
                <w:rFonts w:ascii="Times New Roman" w:hAnsi="Times New Roman"/>
                <w:color w:val="000000"/>
                <w:kern w:val="0"/>
                <w:sz w:val="25"/>
                <w:szCs w:val="24"/>
              </w:rPr>
              <w:t>397</w:t>
            </w:r>
            <w:r>
              <w:rPr>
                <w:rFonts w:ascii="Times New Roman" w:hAnsi="Times New Roman"/>
                <w:color w:val="000000"/>
                <w:kern w:val="0"/>
                <w:sz w:val="25"/>
                <w:szCs w:val="24"/>
              </w:rPr>
              <w:t>天的浮动利率债</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0.71</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60</w:t>
            </w:r>
            <w:r>
              <w:rPr>
                <w:rFonts w:ascii="Times New Roman" w:hAnsi="Times New Roman"/>
                <w:color w:val="000000"/>
                <w:kern w:val="0"/>
                <w:sz w:val="25"/>
                <w:szCs w:val="24"/>
              </w:rPr>
              <w:t>天（含）</w:t>
            </w:r>
            <w:r>
              <w:rPr>
                <w:rFonts w:ascii="Times New Roman" w:hAnsi="Times New Roman"/>
                <w:color w:val="000000"/>
                <w:kern w:val="0"/>
                <w:sz w:val="25"/>
                <w:szCs w:val="24"/>
              </w:rPr>
              <w:t>—90</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27.29</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其中：剩余存续期超过</w:t>
            </w:r>
            <w:r>
              <w:rPr>
                <w:rFonts w:ascii="Times New Roman" w:hAnsi="Times New Roman"/>
                <w:color w:val="000000"/>
                <w:kern w:val="0"/>
                <w:sz w:val="25"/>
                <w:szCs w:val="24"/>
              </w:rPr>
              <w:t>397</w:t>
            </w:r>
            <w:r>
              <w:rPr>
                <w:rFonts w:ascii="Times New Roman" w:hAnsi="Times New Roman"/>
                <w:color w:val="000000"/>
                <w:kern w:val="0"/>
                <w:sz w:val="25"/>
                <w:szCs w:val="24"/>
              </w:rPr>
              <w:t>天的浮动利率债</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90</w:t>
            </w:r>
            <w:r>
              <w:rPr>
                <w:rFonts w:ascii="Times New Roman" w:hAnsi="Times New Roman"/>
                <w:color w:val="000000"/>
                <w:kern w:val="0"/>
                <w:sz w:val="25"/>
                <w:szCs w:val="24"/>
              </w:rPr>
              <w:t>天（含）</w:t>
            </w:r>
            <w:r>
              <w:rPr>
                <w:rFonts w:ascii="Times New Roman" w:hAnsi="Times New Roman"/>
                <w:color w:val="000000"/>
                <w:kern w:val="0"/>
                <w:sz w:val="25"/>
                <w:szCs w:val="24"/>
              </w:rPr>
              <w:t>—120</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6.62</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其中：剩余存续期超过</w:t>
            </w:r>
            <w:r>
              <w:rPr>
                <w:rFonts w:ascii="Times New Roman" w:hAnsi="Times New Roman"/>
                <w:color w:val="000000"/>
                <w:kern w:val="0"/>
                <w:sz w:val="25"/>
                <w:szCs w:val="24"/>
              </w:rPr>
              <w:t>397</w:t>
            </w:r>
            <w:r>
              <w:rPr>
                <w:rFonts w:ascii="Times New Roman" w:hAnsi="Times New Roman"/>
                <w:color w:val="000000"/>
                <w:kern w:val="0"/>
                <w:sz w:val="25"/>
                <w:szCs w:val="24"/>
              </w:rPr>
              <w:t>天的浮动利率债</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120</w:t>
            </w:r>
            <w:r>
              <w:rPr>
                <w:rFonts w:ascii="Times New Roman" w:hAnsi="Times New Roman"/>
                <w:color w:val="000000"/>
                <w:kern w:val="0"/>
                <w:sz w:val="25"/>
                <w:szCs w:val="24"/>
              </w:rPr>
              <w:t>天（含）</w:t>
            </w:r>
            <w:r>
              <w:rPr>
                <w:rFonts w:ascii="Times New Roman" w:hAnsi="Times New Roman"/>
                <w:color w:val="000000"/>
                <w:kern w:val="0"/>
                <w:sz w:val="25"/>
                <w:szCs w:val="24"/>
              </w:rPr>
              <w:t>—397</w:t>
            </w:r>
            <w:r>
              <w:rPr>
                <w:rFonts w:ascii="Times New Roman" w:hAnsi="Times New Roman"/>
                <w:color w:val="000000"/>
                <w:kern w:val="0"/>
                <w:sz w:val="25"/>
                <w:szCs w:val="24"/>
              </w:rPr>
              <w:t>天（含）</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29.91</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其中：剩余存续期超过</w:t>
            </w:r>
            <w:r>
              <w:rPr>
                <w:rFonts w:ascii="Times New Roman" w:hAnsi="Times New Roman"/>
                <w:color w:val="000000"/>
                <w:kern w:val="0"/>
                <w:sz w:val="25"/>
                <w:szCs w:val="24"/>
              </w:rPr>
              <w:t>397</w:t>
            </w:r>
            <w:r>
              <w:rPr>
                <w:rFonts w:ascii="Times New Roman" w:hAnsi="Times New Roman"/>
                <w:color w:val="000000"/>
                <w:kern w:val="0"/>
                <w:sz w:val="25"/>
                <w:szCs w:val="24"/>
              </w:rPr>
              <w:t>天的浮动利率债</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D3F82">
        <w:trPr>
          <w:cantSplit/>
          <w:trHeight w:val="375"/>
        </w:trPr>
        <w:tc>
          <w:tcPr>
            <w:tcW w:w="250" w:type="pct"/>
            <w:gridSpan w:val="2"/>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合计</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103.97</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4.18</w:t>
            </w:r>
          </w:p>
        </w:tc>
      </w:tr>
    </w:tbl>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报告期内投资组合平均剩余存续期超过240天情况说明</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本基金本报告期内投资组合平均剩余存续期限未超过240天。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摊余成本（元）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9,137,488,902.63</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6.70</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5,881,414,596.29</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4.31</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214,223,008.48</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2,280,286,690.69</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1.67</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632,610,627.60</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0.46</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44,015,188,194.59</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32.29</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56,279,797,423.99</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41.28</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剩余存续期超过</w:t>
            </w:r>
            <w:r>
              <w:rPr>
                <w:rFonts w:ascii="Times New Roman" w:hAnsi="Times New Roman"/>
                <w:color w:val="000000"/>
                <w:kern w:val="0"/>
                <w:sz w:val="25"/>
                <w:szCs w:val="24"/>
              </w:rPr>
              <w:t>397</w:t>
            </w:r>
            <w:r>
              <w:rPr>
                <w:rFonts w:ascii="Times New Roman" w:hAnsi="Times New Roman"/>
                <w:color w:val="000000"/>
                <w:kern w:val="0"/>
                <w:sz w:val="25"/>
                <w:szCs w:val="24"/>
              </w:rPr>
              <w:t>天的浮动利率债券</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1,028,898,598.92</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0.75</w:t>
            </w:r>
          </w:p>
        </w:tc>
      </w:tr>
    </w:tbl>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6、报告期末按摊余成本占基金资产净值比例大小排名的前十名债券投资明细</w:t>
      </w:r>
    </w:p>
    <w:tbl>
      <w:tblPr>
        <w:tblW w:w="5000" w:type="pct"/>
        <w:tblCellMar>
          <w:left w:w="0" w:type="dxa"/>
          <w:right w:w="0" w:type="dxa"/>
        </w:tblCellMar>
        <w:tblLook w:val="0000" w:firstRow="0" w:lastRow="0" w:firstColumn="0" w:lastColumn="0" w:noHBand="0" w:noVBand="0"/>
      </w:tblPr>
      <w:tblGrid>
        <w:gridCol w:w="515"/>
        <w:gridCol w:w="1598"/>
        <w:gridCol w:w="1599"/>
        <w:gridCol w:w="1599"/>
        <w:gridCol w:w="1760"/>
        <w:gridCol w:w="1599"/>
      </w:tblGrid>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摊余成本（元）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112692579</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r>
              <w:rPr>
                <w:rFonts w:ascii="Times New Roman" w:hAnsi="Times New Roman"/>
                <w:color w:val="000000"/>
                <w:kern w:val="0"/>
                <w:sz w:val="25"/>
                <w:szCs w:val="24"/>
              </w:rPr>
              <w:t>深圳前海微众银行</w:t>
            </w:r>
            <w:r>
              <w:rPr>
                <w:rFonts w:ascii="Times New Roman" w:hAnsi="Times New Roman"/>
                <w:color w:val="000000"/>
                <w:kern w:val="0"/>
                <w:sz w:val="25"/>
                <w:szCs w:val="24"/>
              </w:rPr>
              <w:t>CD014</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27,000,000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2,699,113,814.21</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1.98</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250306</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进出</w:t>
            </w:r>
            <w:r>
              <w:rPr>
                <w:rFonts w:ascii="Times New Roman" w:hAnsi="Times New Roman"/>
                <w:color w:val="000000"/>
                <w:kern w:val="0"/>
                <w:sz w:val="25"/>
                <w:szCs w:val="24"/>
              </w:rPr>
              <w:t>06</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9,200,000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928,480,392.12</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0.68</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092318004</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r>
              <w:rPr>
                <w:rFonts w:ascii="Times New Roman" w:hAnsi="Times New Roman"/>
                <w:color w:val="000000"/>
                <w:kern w:val="0"/>
                <w:sz w:val="25"/>
                <w:szCs w:val="24"/>
              </w:rPr>
              <w:t>农发清发</w:t>
            </w:r>
            <w:r>
              <w:rPr>
                <w:rFonts w:ascii="Times New Roman" w:hAnsi="Times New Roman"/>
                <w:color w:val="000000"/>
                <w:kern w:val="0"/>
                <w:sz w:val="25"/>
                <w:szCs w:val="24"/>
              </w:rPr>
              <w:t>04</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8,200,000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821,353,992.46</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0.60</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250431</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农发</w:t>
            </w:r>
            <w:r>
              <w:rPr>
                <w:rFonts w:ascii="Times New Roman" w:hAnsi="Times New Roman"/>
                <w:color w:val="000000"/>
                <w:kern w:val="0"/>
                <w:sz w:val="25"/>
                <w:szCs w:val="24"/>
              </w:rPr>
              <w:t>31</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5,500,000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554,507,076.43</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0.41</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112692874</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r>
              <w:rPr>
                <w:rFonts w:ascii="Times New Roman" w:hAnsi="Times New Roman"/>
                <w:color w:val="000000"/>
                <w:kern w:val="0"/>
                <w:sz w:val="25"/>
                <w:szCs w:val="24"/>
              </w:rPr>
              <w:t>深圳前海微众银行</w:t>
            </w:r>
            <w:r>
              <w:rPr>
                <w:rFonts w:ascii="Times New Roman" w:hAnsi="Times New Roman"/>
                <w:color w:val="000000"/>
                <w:kern w:val="0"/>
                <w:sz w:val="25"/>
                <w:szCs w:val="24"/>
              </w:rPr>
              <w:t>CD016</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499,747,124.56</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0.37</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112692927</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r>
              <w:rPr>
                <w:rFonts w:ascii="Times New Roman" w:hAnsi="Times New Roman"/>
                <w:color w:val="000000"/>
                <w:kern w:val="0"/>
                <w:sz w:val="25"/>
                <w:szCs w:val="24"/>
              </w:rPr>
              <w:t>深圳前海微众银行</w:t>
            </w:r>
            <w:r>
              <w:rPr>
                <w:rFonts w:ascii="Times New Roman" w:hAnsi="Times New Roman"/>
                <w:color w:val="000000"/>
                <w:kern w:val="0"/>
                <w:sz w:val="25"/>
                <w:szCs w:val="24"/>
              </w:rPr>
              <w:t>CD017</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499,683,925.69</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0.37</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112581073</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北京农商银行</w:t>
            </w:r>
            <w:r>
              <w:rPr>
                <w:rFonts w:ascii="Times New Roman" w:hAnsi="Times New Roman"/>
                <w:color w:val="000000"/>
                <w:kern w:val="0"/>
                <w:sz w:val="25"/>
                <w:szCs w:val="24"/>
              </w:rPr>
              <w:t>CD163</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499,029,126.25</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0.37</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112514152</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江苏银行</w:t>
            </w:r>
            <w:r>
              <w:rPr>
                <w:rFonts w:ascii="Times New Roman" w:hAnsi="Times New Roman"/>
                <w:color w:val="000000"/>
                <w:kern w:val="0"/>
                <w:sz w:val="25"/>
                <w:szCs w:val="24"/>
              </w:rPr>
              <w:t>CD152</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498,857,841.85</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0.37</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112585963</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广州农村商业银行</w:t>
            </w:r>
            <w:r>
              <w:rPr>
                <w:rFonts w:ascii="Times New Roman" w:hAnsi="Times New Roman"/>
                <w:color w:val="000000"/>
                <w:kern w:val="0"/>
                <w:sz w:val="25"/>
                <w:szCs w:val="24"/>
              </w:rPr>
              <w:t>CD120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498,592,433.81</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0.37</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112585993</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东莞农村商业银行</w:t>
            </w:r>
            <w:r>
              <w:rPr>
                <w:rFonts w:ascii="Times New Roman" w:hAnsi="Times New Roman"/>
                <w:color w:val="000000"/>
                <w:kern w:val="0"/>
                <w:sz w:val="25"/>
                <w:szCs w:val="24"/>
              </w:rPr>
              <w:t>CD132</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498,592,433.81</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0.37</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10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112586013</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广东顺德农商行</w:t>
            </w:r>
            <w:r>
              <w:rPr>
                <w:rFonts w:ascii="Times New Roman" w:hAnsi="Times New Roman"/>
                <w:color w:val="000000"/>
                <w:kern w:val="0"/>
                <w:sz w:val="25"/>
                <w:szCs w:val="24"/>
              </w:rPr>
              <w:t>CD058</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498,570,123.47</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0.37</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112586064</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重庆农村商行</w:t>
            </w:r>
            <w:r>
              <w:rPr>
                <w:rFonts w:ascii="Times New Roman" w:hAnsi="Times New Roman"/>
                <w:color w:val="000000"/>
                <w:kern w:val="0"/>
                <w:sz w:val="25"/>
                <w:szCs w:val="24"/>
              </w:rPr>
              <w:t>CD182</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498,570,123.47</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0.37</w:t>
            </w:r>
          </w:p>
        </w:tc>
      </w:tr>
    </w:tbl>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“影子定价”与“摊余成本法”确定的基金资产净值的偏离</w:t>
      </w:r>
    </w:p>
    <w:tbl>
      <w:tblPr>
        <w:tblW w:w="5000" w:type="pct"/>
        <w:tblCellMar>
          <w:left w:w="0" w:type="dxa"/>
          <w:right w:w="0" w:type="dxa"/>
        </w:tblCellMar>
        <w:tblLook w:val="0000" w:firstRow="0" w:lastRow="0" w:firstColumn="0" w:lastColumn="0" w:noHBand="0" w:noVBand="0"/>
      </w:tblPr>
      <w:tblGrid>
        <w:gridCol w:w="2167"/>
        <w:gridCol w:w="6503"/>
      </w:tblGrid>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偏离情况</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报告期内偏离度的绝对值在</w:t>
            </w:r>
            <w:r>
              <w:rPr>
                <w:rFonts w:ascii="Times New Roman" w:hAnsi="Times New Roman"/>
                <w:color w:val="000000"/>
                <w:kern w:val="0"/>
                <w:sz w:val="25"/>
                <w:szCs w:val="24"/>
              </w:rPr>
              <w:t>0.25</w:t>
            </w:r>
            <w:r>
              <w:rPr>
                <w:rFonts w:ascii="Times New Roman" w:hAnsi="Times New Roman"/>
                <w:color w:val="000000"/>
                <w:kern w:val="0"/>
                <w:sz w:val="25"/>
                <w:szCs w:val="24"/>
              </w:rPr>
              <w:t>（含）</w:t>
            </w:r>
            <w:r>
              <w:rPr>
                <w:rFonts w:ascii="Times New Roman" w:hAnsi="Times New Roman"/>
                <w:color w:val="000000"/>
                <w:kern w:val="0"/>
                <w:sz w:val="25"/>
                <w:szCs w:val="24"/>
              </w:rPr>
              <w:t>-0.5%</w:t>
            </w:r>
            <w:r>
              <w:rPr>
                <w:rFonts w:ascii="Times New Roman" w:hAnsi="Times New Roman"/>
                <w:color w:val="000000"/>
                <w:kern w:val="0"/>
                <w:sz w:val="25"/>
                <w:szCs w:val="24"/>
              </w:rPr>
              <w:t>间的次数</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0</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报告期内偏离度的最高值</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0.0280%</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报告期内偏离度的最低值</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0.0088%</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报告期内每个工作日偏离度的绝对值的简单平均值</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0.0177%</w:t>
            </w:r>
          </w:p>
        </w:tc>
      </w:tr>
    </w:tbl>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报告期内负偏离度的绝对值达到0.25%情况说明</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报告期内正偏离度的绝对值达到0.5%情况说明</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8、报告期末按摊余成本占基金资产净值比例大小排名的前十名资产支持证券投资明细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9、投资组合报告附注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基金计价方法说明</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本基金采用摊余成本法计价，即计价对象以买入成本列示，按票面利率或商定利率并考虑其买入时的溢价与折价，在其剩余期限内按照实际利率和摊余成本逐日摊销计算损益。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本基金投资的前十名证券的发行主体本期是否出现被监管部门立案调查，或在报告编制日前一年内受到公开谴责、处罚的情形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2026年03月05日,国家外汇管理局北京市分局公示京汇罚[2026]14号行政处罚决定书,给予中国进出口银行罚没共计221.24万元人民币的行政处罚。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 xml:space="preserve">　　2026年02月28日,央行北京市分行公示银京罚决字[2026]16号行政处罚决定书,给予北京农村商业银行股份有限公司100万元人民币的行政处罚。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2025年11月21日,国家金融监督管理总局东莞监管分局公示行政处罚决定书,给予东莞农村商业银行股份有限公司245万元人民币的行政处罚。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2025年10月28日,国家金融监督管理总局深圳金融监管局公示行政处罚决定书,给予深圳前海微众银行股份有限公司105万元人民币的行政处罚。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2025年09月12日,国家金融监督管理总局公示行政处罚决定书,给予中国进出口银行130万元人民币的行政处罚。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2025年09月05日,国家金融监督管理总局北京监管局公示行政处罚决定书,给予北京农村商业银行股份有限公司185万元人民币的行政处罚。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2025年08月01日,国家金融监督管理总局公示行政处罚决定书,给予中国农业发展银行1020万元人民币的行政处罚。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2025年06月27日,国家金融监督管理总局公示行政处罚决定书,给予中国进出口银行1810万元人民币的行政处罚。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13,412.90</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316,773,291.51</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908,755.59</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225.00</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right"/>
              <w:rPr>
                <w:rFonts w:ascii="宋体" w:hAnsi="宋体"/>
                <w:color w:val="000000"/>
                <w:kern w:val="0"/>
                <w:sz w:val="25"/>
                <w:szCs w:val="24"/>
              </w:rPr>
            </w:pPr>
            <w:r>
              <w:rPr>
                <w:rFonts w:ascii="Times New Roman" w:hAnsi="Times New Roman"/>
                <w:color w:val="000000"/>
                <w:kern w:val="0"/>
                <w:sz w:val="25"/>
                <w:szCs w:val="24"/>
              </w:rPr>
              <w:t>317,695,685.00</w:t>
            </w:r>
          </w:p>
        </w:tc>
      </w:tr>
    </w:tbl>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 投资组合报告附注的其他文字描述部分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3B0F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D3F82" w:rsidRDefault="003B0F32">
      <w:pPr>
        <w:pStyle w:val="1"/>
        <w:snapToGrid w:val="0"/>
        <w:spacing w:beforeLines="0" w:before="240" w:after="240"/>
        <w:rPr>
          <w:rFonts w:ascii="宋体" w:hAnsi="宋体"/>
          <w:szCs w:val="30"/>
        </w:rPr>
      </w:pPr>
      <w:bookmarkStart w:id="14" w:name="_Toc232076537"/>
      <w:r>
        <w:rPr>
          <w:rFonts w:ascii="Times New Roman" w:hAnsi="Times New Roman"/>
          <w:sz w:val="30"/>
        </w:rPr>
        <w:lastRenderedPageBreak/>
        <w:t>十一、基金的业绩</w:t>
      </w:r>
      <w:bookmarkEnd w:id="14"/>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1、基金份额净值收益率及其与同期业绩比较基准收益率的比较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（1）交银活期通货币A：</w:t>
      </w:r>
    </w:p>
    <w:tbl>
      <w:tblPr>
        <w:tblW w:w="5000" w:type="pct"/>
        <w:tblCellMar>
          <w:left w:w="0" w:type="dxa"/>
          <w:right w:w="0" w:type="dxa"/>
        </w:tblCellMar>
        <w:tblLook w:val="0000" w:firstRow="0" w:lastRow="0" w:firstColumn="0" w:lastColumn="0" w:noHBand="0" w:noVBand="0"/>
      </w:tblPr>
      <w:tblGrid>
        <w:gridCol w:w="1294"/>
        <w:gridCol w:w="1294"/>
        <w:gridCol w:w="1294"/>
        <w:gridCol w:w="1294"/>
        <w:gridCol w:w="1294"/>
        <w:gridCol w:w="1294"/>
        <w:gridCol w:w="906"/>
      </w:tblGrid>
      <w:tr w:rsidR="001D3F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净值收益率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净值收益率标准差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1D3F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0.2569%</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0.0003%</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0.0863%</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0.1706%</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0.0003%</w:t>
            </w:r>
          </w:p>
        </w:tc>
      </w:tr>
      <w:tr w:rsidR="001D3F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1.1520%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0.0007%</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0.8020%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0.0007%</w:t>
            </w:r>
          </w:p>
        </w:tc>
      </w:tr>
      <w:tr w:rsidR="001D3F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1.6349%</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0.0011%</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0.3510%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1.2839%</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0.0011%</w:t>
            </w:r>
          </w:p>
        </w:tc>
      </w:tr>
      <w:tr w:rsidR="001D3F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1.8196%</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0.0012%</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1.4696%</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0.0012%</w:t>
            </w:r>
          </w:p>
        </w:tc>
      </w:tr>
      <w:tr w:rsidR="001D3F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1.7283%</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0.0017%</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1.3783%</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0.0017%</w:t>
            </w:r>
          </w:p>
        </w:tc>
      </w:tr>
      <w:tr w:rsidR="001D3F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2.2247%</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1.8747%</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0.0010%</w:t>
            </w:r>
          </w:p>
        </w:tc>
      </w:tr>
      <w:tr w:rsidR="001D3F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2.0819%</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0.0019%</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0.3510%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1.7309%</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0.0019%</w:t>
            </w:r>
          </w:p>
        </w:tc>
      </w:tr>
      <w:tr w:rsidR="001D3F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2.4544%</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0.0009%</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2.1044%</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0.0009%</w:t>
            </w:r>
          </w:p>
        </w:tc>
      </w:tr>
      <w:tr w:rsidR="001D3F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3.5695%</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0.0016%</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3.2195%</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0.0016%</w:t>
            </w:r>
          </w:p>
        </w:tc>
      </w:tr>
      <w:tr w:rsidR="001D3F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3.8067%</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3.4567%</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0.0010%</w:t>
            </w:r>
          </w:p>
        </w:tc>
      </w:tr>
      <w:tr w:rsidR="001D3F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年度（自基金合同生效起至</w:t>
            </w: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1.0493%</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0.0014%</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0.1515%</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0.8978%</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0.0014%</w:t>
            </w:r>
          </w:p>
        </w:tc>
      </w:tr>
    </w:tbl>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注：本基金的业绩比较基准为活期存款利率（税后）。</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（2）交银活期通货币E：</w:t>
      </w:r>
    </w:p>
    <w:tbl>
      <w:tblPr>
        <w:tblW w:w="5000" w:type="pct"/>
        <w:tblCellMar>
          <w:left w:w="0" w:type="dxa"/>
          <w:right w:w="0" w:type="dxa"/>
        </w:tblCellMar>
        <w:tblLook w:val="0000" w:firstRow="0" w:lastRow="0" w:firstColumn="0" w:lastColumn="0" w:noHBand="0" w:noVBand="0"/>
      </w:tblPr>
      <w:tblGrid>
        <w:gridCol w:w="1294"/>
        <w:gridCol w:w="1294"/>
        <w:gridCol w:w="1294"/>
        <w:gridCol w:w="1294"/>
        <w:gridCol w:w="1294"/>
        <w:gridCol w:w="1294"/>
        <w:gridCol w:w="906"/>
      </w:tblGrid>
      <w:tr w:rsidR="001D3F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净值收益率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净值收益率标准差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1D3F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0.3163%</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0.0003%</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0.0863%</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0.2300%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0.0003%</w:t>
            </w:r>
          </w:p>
        </w:tc>
      </w:tr>
      <w:tr w:rsidR="001D3F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1.3948%</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0.0007%</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1.0448%</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0.0007%</w:t>
            </w:r>
          </w:p>
        </w:tc>
      </w:tr>
      <w:tr w:rsidR="001D3F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1.8788%</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0.0011%</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0.3510%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1.5278%</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0.0011%</w:t>
            </w:r>
          </w:p>
        </w:tc>
      </w:tr>
      <w:tr w:rsidR="001D3F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2.0639%</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0.0012%</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1.7139%</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0.0012%</w:t>
            </w:r>
          </w:p>
        </w:tc>
      </w:tr>
      <w:tr w:rsidR="001D3F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1.9722%</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0.0017%</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1.6222%</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0.0017%</w:t>
            </w:r>
          </w:p>
        </w:tc>
      </w:tr>
      <w:tr w:rsidR="001D3F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2.4704%</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2.1204%</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0.0010%</w:t>
            </w:r>
          </w:p>
        </w:tc>
      </w:tr>
      <w:tr w:rsidR="001D3F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2.3273%</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0.0019%</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0.3510%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1.9763%</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0.0019%</w:t>
            </w:r>
          </w:p>
        </w:tc>
      </w:tr>
      <w:tr w:rsidR="001D3F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2.7008%</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0.0009%</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2.3508%</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0.0009%</w:t>
            </w:r>
          </w:p>
        </w:tc>
      </w:tr>
      <w:tr w:rsidR="001D3F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3.8178%</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0.0016%</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3.4678%</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0.0016%</w:t>
            </w:r>
          </w:p>
        </w:tc>
      </w:tr>
      <w:tr w:rsidR="001D3F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4.0545%</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3.7045%</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0.0010%</w:t>
            </w:r>
          </w:p>
        </w:tc>
      </w:tr>
      <w:tr w:rsidR="001D3F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年（自基金合同生效起至</w:t>
            </w: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1.1483%</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0.0014%</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0.1515%</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0.9968%</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0.0014%</w:t>
            </w:r>
          </w:p>
        </w:tc>
      </w:tr>
    </w:tbl>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注：本基金的业绩比较基准为活期存款利率（税后）。</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2、自基金合同生效以来基金份额累计净值收益率变动及其与同期业绩比较基准收益率变动的比较</w:t>
      </w:r>
    </w:p>
    <w:p w:rsidR="001D3F82" w:rsidRDefault="003B0F32">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交银施罗德活期通货币市场基金</w:t>
      </w:r>
    </w:p>
    <w:p w:rsidR="001D3F82" w:rsidRDefault="003B0F32">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份额累计净值收益率与业绩比较基准收益率历史走势对比图</w:t>
      </w:r>
    </w:p>
    <w:p w:rsidR="001D3F82" w:rsidRDefault="003B0F32">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（2016年7月27日至2026年03月31日）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（1）交银活期通货币A</w:t>
      </w:r>
    </w:p>
    <w:p w:rsidR="001D3F82" w:rsidRDefault="00AD7AD4">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7" type="#_x0000_t75" style="width:439.5pt;height:268.5pt">
            <v:imagedata r:id="rId17" o:title="1521256610242020828"/>
          </v:shape>
        </w:pic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（2）交银活期通货币E</w:t>
      </w:r>
    </w:p>
    <w:p w:rsidR="001D3F82" w:rsidRDefault="00AD7AD4">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8" type="#_x0000_t75" style="width:439.5pt;height:268.5pt">
            <v:imagedata r:id="rId18" o:title="1521256610242020828"/>
          </v:shape>
        </w:pic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3B0F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D3F82" w:rsidRDefault="003B0F32">
      <w:pPr>
        <w:pStyle w:val="1"/>
        <w:snapToGrid w:val="0"/>
        <w:spacing w:beforeLines="0" w:before="240" w:after="240"/>
        <w:rPr>
          <w:rFonts w:ascii="宋体" w:hAnsi="宋体"/>
          <w:szCs w:val="30"/>
        </w:rPr>
      </w:pPr>
      <w:bookmarkStart w:id="15" w:name="_Toc232076538"/>
      <w:r>
        <w:rPr>
          <w:rFonts w:ascii="Times New Roman" w:hAnsi="Times New Roman"/>
          <w:sz w:val="30"/>
        </w:rPr>
        <w:lastRenderedPageBreak/>
        <w:t>十二、基金的财产</w:t>
      </w:r>
      <w:bookmarkEnd w:id="15"/>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基金资产总值是指基金拥有的各类有价证券及票据价值、银行存款本息、基金应收申购款及其他资产的价值总和。</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3B0F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D3F82" w:rsidRDefault="003B0F32">
      <w:pPr>
        <w:pStyle w:val="1"/>
        <w:snapToGrid w:val="0"/>
        <w:spacing w:beforeLines="0" w:before="240" w:after="240"/>
        <w:rPr>
          <w:rFonts w:ascii="宋体" w:hAnsi="宋体"/>
          <w:szCs w:val="30"/>
        </w:rPr>
      </w:pPr>
      <w:bookmarkStart w:id="16" w:name="_Toc232076539"/>
      <w:r>
        <w:rPr>
          <w:rFonts w:ascii="Times New Roman" w:hAnsi="Times New Roman"/>
          <w:sz w:val="30"/>
        </w:rPr>
        <w:lastRenderedPageBreak/>
        <w:t>十三、基金资产的估值</w:t>
      </w:r>
      <w:bookmarkEnd w:id="16"/>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本基金的估值日为本基金相关的证券交易场所的交易日以及国家法律法规规定需要对外披露各类基金份额的基金资产净值、每万份基金已实现收益和7日年化收益率的非交易日。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基金所拥有的各类证券、票据和银行存款本息、应收款项、其它投资等资产及负债。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（三）估值方法</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估值采用“摊余成本法”，即计价对象以买入成本列示，按照票面利率或协议利率并考虑其买入时的溢价与折价，在剩余存续期内按照实际利率法摊销，每日计提损益。本基金不采用市场利率和上市交易的债券和票据的市价计算基金资产净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本基金采用摊余成本法估值，当变现所持有的资产时，变现价格与摊余成本法估值价格的差异将于变现当日集中反映，从而可能导致变现当日本基金收益出现较大幅度的波动。具体而言，当估值价格高于变现价格时，变现当日收益可能将出现较大幅度的下跌；当估值价格低于变现价格时，变现当日收益可能将出现较大幅度的上涨。投资者应知晓并接受该风险。基金管理人不对由于采用该估值方法而产生的后果及风险承担责任。</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为了避免采用“摊余成本法”计算的基金资产净值与按市场利率和交易市价计算的基金资产净值发生重大偏离，从而对基金份额持有人的利益产生稀释和不公平的结果，基金管理人于每一估值日，采用估值技术，对基金持有的估值对象进行重新评估，即“影子定价”。当“影子定价”确定的基金资产净值与“摊余成本法”计算的基金资产净值的负偏离度的绝对值达到0.25%时，基金管理人应当在5个交易日内将负偏离度绝对值调整到0.25%以内。当正偏离度绝对值达到0.5%时，基金管理人应当暂停接受申购并在5个交易日内将正偏离度绝对值调整到0.5%以内。当负偏离度绝对值达到0.5%时，基金管理人应当使用风险准备金或者固有资金弥补潜在资产损失，将负偏离度绝对值控制在0.5%以内。当负偏离度绝对值连续两个交易日超过0.5%时，基金管理人应当采用公允价值估值方法对持有投资组合的账面价</w:t>
      </w:r>
      <w:r>
        <w:rPr>
          <w:rFonts w:ascii="宋体" w:hAnsi="宋体"/>
          <w:sz w:val="24"/>
        </w:rPr>
        <w:lastRenderedPageBreak/>
        <w:t>值进行调整，或者采取暂停接受所有赎回申请并终止基金合同进行财产清算等措施。</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3、如有确凿证据表明按上述方法进行估值不能客观反映其公允价值的，基金管理人可根据具体情况与基金托管人商定后，按最能反映公允价值的价格估值。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4、相关法律法规以及监管部门有强制规定的，从其规定。如有新增事项，按法律法规以及监管部门最新规定估值。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（四）估值程序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1、每万份基金已实现收益是按照相关法规计算的每万份基金份额的日已实现收益，精确到小数点后第4位，小数点后第5位四舍五入。本基金的收益分配是按日结转份额的，7日年化收益率是以最近7日(含节假日) 每万份基金已实现收益所折算的年资产收益率，精确到0.001%，百分号内小数点后第4位四舍五入。国家另有规定的，从其规定。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本基金合同的规定暂停估值时除外。基金管理人每个工作日对基金资产估值后，将各类基金份额的基金资产净值、每万份基金已实现收益和7日年化收益率结果发送基金托管人，经基金托管人复核无误后，由基金管理人依据基金合同和相关法律法规的规定对外公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（五）估值错误的处理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基金管理人和基金托管人将采取必要、适当、合理的措施确保基金资产估值的准确性、及时性。当基金资产的计价导致每万份基金已实现收益小数点后4位以内发生差错时，视为估值错误。</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由于一方当事人提供的信息错误，另一方当事人在采取了必要合理的措施后仍不能发现该错误，进而导致基金资产净值计算错误造成投资人或基金的损失，以及</w:t>
      </w:r>
      <w:r>
        <w:rPr>
          <w:rFonts w:ascii="宋体" w:hAnsi="宋体"/>
          <w:sz w:val="24"/>
        </w:rPr>
        <w:lastRenderedPageBreak/>
        <w:t>由此造成以后交易日基金资产净值计算顺延错误而引起的投资人或基金的损失，由提供错误信息的当事人一方负责赔偿。</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本基金合同的当事人应按照以下约定处理：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w:t>
      </w:r>
      <w:r>
        <w:rPr>
          <w:rFonts w:ascii="宋体" w:hAnsi="宋体"/>
          <w:sz w:val="24"/>
        </w:rPr>
        <w:lastRenderedPageBreak/>
        <w:t>和超过其实际损失的差额部分支付给估值错误责任方。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4、基金估值错误处理的方法如下：</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（1）基金估值出现错误时，基金管理人应当立即予以纠正，通报基金托管人，并采取合理的措施防止损失进一步扩大。</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（2）错误偏差达到基金资产净值的0.25%时，基金管理人应当通报基金托管人并报中国证监会备案；错误偏差达到基金资产净值的0.5%时，基金管理人应当公告。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（六）暂停估值的情形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2、因不可抗力或其他特殊情形致使基金管理人、基金托管人无法准确评估基金资产价值时；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3、当前一估值日基金资产净值50%以上的资产出现无可参考的活跃市场价格且采用估值技术仍导致公允价值存在重大不确定性时，经与基金托管人协商确认后，基金管理人应当暂停估值；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4、中国证监会和基金合同认定的其它情形。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（七）基金净值的确认</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用于基金信息披露的各类基金份额的基金资产净值、每万份基金已实现收益和</w:t>
      </w:r>
      <w:r>
        <w:rPr>
          <w:rFonts w:ascii="宋体" w:hAnsi="宋体"/>
          <w:sz w:val="24"/>
        </w:rPr>
        <w:lastRenderedPageBreak/>
        <w:t>7日年化收益率由基金管理人负责计算，基金托管人负责进行复核。基金管理人应于每个开放日交易结束后计算当日的各类基金份额的基金资产净值、每万份基金已实现收益和7日年化收益率并发送给基金托管人。基金托管人复核确认后发送给基金管理人，由基金管理人予以公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（八）特殊情形的处理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1、基金管理人、基金托管人按估值方法的第3项进行估值时，所造成的误差不作为基金资产估值错误处理。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B439CC" w:rsidRDefault="003B0F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D3F82" w:rsidRDefault="003B0F32">
      <w:pPr>
        <w:pStyle w:val="1"/>
        <w:snapToGrid w:val="0"/>
        <w:spacing w:beforeLines="0" w:before="240" w:after="240"/>
        <w:rPr>
          <w:rFonts w:ascii="宋体" w:hAnsi="宋体"/>
          <w:szCs w:val="30"/>
        </w:rPr>
      </w:pPr>
      <w:bookmarkStart w:id="17" w:name="_Toc232076540"/>
      <w:r>
        <w:rPr>
          <w:rFonts w:ascii="Times New Roman" w:hAnsi="Times New Roman"/>
          <w:sz w:val="30"/>
        </w:rPr>
        <w:lastRenderedPageBreak/>
        <w:t>十四、基金收益与分配</w:t>
      </w:r>
      <w:bookmarkEnd w:id="17"/>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基金利润指基金利息收入、投资收益、公允价值变动收益和其他收入扣除相关费用后的余额；基金已实现收益指基金利润减去公允价值变动损益后的余额。</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（二）收益分配原则</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本基金收益分配应遵循下列原则：</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1、本基金同一类别的每份基金份额享有同等分配权；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2、本基金收益分配方式为红利再投资，免收再投资的费用；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每日分配、按日支付”。本基金根据每日基金收益情况，以每万份基金已实现收益为基准，为投资人每日计算当日收益并分配，且每日进行支付。投资人当日收益分配的计算保留到小数点后2位，小数点后第3位按去尾原则处理，因去尾形成的余额进行再次分配，直到分完为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4、本基金根据每日收益情况，将当日收益全部分配，若当日已实现收益大于零时，为投资人记正收益；若当日已实现收益小于零时，为投资人记负收益；若当日已实现收益等于零时，当日投资人不记收益；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每日进行收益计算并分配时，每日收益支付方式只采用红利再投资(即红利转基金份额)方式。若当日净收益大于零时，则增加投资人基金份额，若当日净收益等于零时，则保持投资人基金份额不变；基金管理人将采取必要措施尽量避免基金净收益小于零，若当日净收益小于零时，缩减投资人基金份额；</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6、当日申购的基金份额自下一个工作日起，享有基金的收益分配权益；当日赎回的基金份额自下一个工作日起，不享有基金的收益分配权益；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7、法律法规或监管机构另有规定的从其规定。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在不违反法律法规且对基金份额持有人利益无实质不利影响的前提下，基金管理人可对基金收益分配原则进行调整，不需召开基金份额持有人大会。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（三）收益分配方案</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基金收益分配方案由基金管理人拟定，并由基金托管人复核后确定。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（四）收益分配的时间和程序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本基金每个工作日进行收益分配。每个开放日公告前一个开放日各类基金份额的每万份基金已实现收益和7日年化收益率。若遇法定节假日，应于节假日结束后</w:t>
      </w:r>
      <w:r>
        <w:rPr>
          <w:rFonts w:ascii="宋体" w:hAnsi="宋体"/>
          <w:sz w:val="24"/>
        </w:rPr>
        <w:lastRenderedPageBreak/>
        <w:t>第二个自然日，披露节假日期间的各类基金份额的每万份基金已实现收益和节假日最后一日的7日年化收益率，以及节假日后首个开放日的各类基金份额的每万份基金已实现收益和7日年化收益率。经中国证监会同意，可以适当延迟计算或公告。法律法规另有规定的，从其规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本基金每日例行按照基金合同的约定对当天实现的收益进行收益结转(如遇节假日可顺延)，每日例行的收益结转不再另行公告。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（五）本基金各类基金份额的每万份基金已实现收益及7日年化收益率的计算见招募说明书第十五部分。</w:t>
      </w:r>
    </w:p>
    <w:p w:rsidR="00B439CC" w:rsidRDefault="003B0F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D3F82" w:rsidRDefault="003B0F32">
      <w:pPr>
        <w:pStyle w:val="1"/>
        <w:snapToGrid w:val="0"/>
        <w:spacing w:beforeLines="0" w:before="240" w:after="240"/>
        <w:rPr>
          <w:rFonts w:ascii="宋体" w:hAnsi="宋体"/>
          <w:szCs w:val="30"/>
        </w:rPr>
      </w:pPr>
      <w:bookmarkStart w:id="18" w:name="_Toc232076541"/>
      <w:r>
        <w:rPr>
          <w:rFonts w:ascii="Times New Roman" w:hAnsi="Times New Roman"/>
          <w:sz w:val="30"/>
        </w:rPr>
        <w:lastRenderedPageBreak/>
        <w:t>十五、基金的费用与税收</w:t>
      </w:r>
      <w:bookmarkEnd w:id="18"/>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3、销售服务费；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4、《基金合同》生效后与基金相关的信息披露费用；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5、《基金合同》生效后与基金相关的会计师费、律师费、仲裁费和诉讼费；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6、基金份额持有人大会费用；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7、基金的证券交易费用；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8、基金的银行汇划费用；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9、基金的开户费用、账户维护费用；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本基金的管理费按前一日基金资产净值的0.3%年费率计提。管理费的计算方法如下：</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H＝E×0.3%÷当年天数</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与基金托管人核对一致后，由基金托管人于次月首日起第3个工作日从基金财产中一次性支付给基金管理人，若遇法定节假日、休息日或不可抗力致使无法按时支付的，支付日期顺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本基金的托管费按前一日基金资产净值的0.05%的年费率计提。托管费的计算方法如下：</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H＝E×0.05%÷当年天数</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E为前一日的基金资产净值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与基金托管人核对一致后，由基金托管人复核后于次月首日起第3个工作日从基金财产中一次性支付给基金托管人，若遇法定节假日、休息日或不可抗力致使无法按时支付的，支付日期顺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（1）除法律法规另有规定或基金合同另有约定外，本基金不收取申购费用和赎回费用。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（2）基金销售服务费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本基金各类基金份额按照不同的费率计提销售服务费，在通常情况下，本基金A 类基金份额的销售服务费按前一日A类基金份额的基金资产净值的0.25%年费率计提，本基金E类基金份额的销售服务费按前一日E类基金份额的基金资产净值的0.01%年费率计提。</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各类基金份额的基金销售服务费计提的计算公式如下：</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H＝E×年销售服务费率÷当年天数</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H为某类基金份额每日应计提的基金销售服务费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E为前一日该类基金份额的基金资产净值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销售服务费每日计提，按月支付。由基金管理人向基金托管人发送划付指令，由基金托管人复核后于次月首日起第3个工作日内从基金财产中一次性支付给基金管理人，由基金管理人代付给销售机构，若遇法定节假日、休息日或不可抗力致使无法按时支付的，支付日期顺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上述“一、基金费用的种类”中第4－10项费用，根据有关法规及相应协议规定，按费用实际支出金额列入当期费用，由基金托管人从基金财产中支付。</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（四）费用调整</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可根据基金发展情况，在履行适当程序后调整基金管理费率、基金托管费率等相关费率。降低基金销售服务费率无须召开基金份额持有人大会。基金管理人必须依照有关规定于新的费率实施日前在指定媒介上刊登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3B0F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D3F82" w:rsidRDefault="003B0F32">
      <w:pPr>
        <w:pStyle w:val="1"/>
        <w:snapToGrid w:val="0"/>
        <w:spacing w:beforeLines="0" w:before="240" w:after="240"/>
        <w:rPr>
          <w:rFonts w:ascii="宋体" w:hAnsi="宋体"/>
          <w:szCs w:val="30"/>
        </w:rPr>
      </w:pPr>
      <w:bookmarkStart w:id="19" w:name="_Toc232076542"/>
      <w:r>
        <w:rPr>
          <w:rFonts w:ascii="Times New Roman" w:hAnsi="Times New Roman"/>
          <w:sz w:val="30"/>
        </w:rPr>
        <w:lastRenderedPageBreak/>
        <w:t>十六、基金的会计与审计</w:t>
      </w:r>
      <w:bookmarkEnd w:id="19"/>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1、基金管理人聘请与基金管理人、基金托管人相互独立的具有证券、期货相关从业资格的会计师事务所及其注册会计师对本基金的年度财务报表进行审计。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3B0F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D3F82" w:rsidRDefault="003B0F32">
      <w:pPr>
        <w:pStyle w:val="1"/>
        <w:snapToGrid w:val="0"/>
        <w:spacing w:beforeLines="0" w:before="240" w:after="240"/>
        <w:rPr>
          <w:rFonts w:ascii="宋体" w:hAnsi="宋体"/>
          <w:szCs w:val="30"/>
        </w:rPr>
      </w:pPr>
      <w:bookmarkStart w:id="20" w:name="_Toc232076543"/>
      <w:r>
        <w:rPr>
          <w:rFonts w:ascii="Times New Roman" w:hAnsi="Times New Roman"/>
          <w:sz w:val="30"/>
        </w:rPr>
        <w:lastRenderedPageBreak/>
        <w:t>十七、基金的信息披露</w:t>
      </w:r>
      <w:bookmarkEnd w:id="20"/>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（一）本基金的信息披露应符合《基金法》、《运作办法》、《信息披露办法》、《流动性规定》、《基金合同》及其他有关规定。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本基金信息披露义务人按照以保护基金份额持有人利益为根本出发点，法律法规和中国证监会的规定披露基金信息，并保证所披露信息的真实性、准确性、完整性、及时性、简明性和易得性。</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（1）本基金的基金合同生效后，在开始办理基金份额申购或者赎回前，基金管理人将至少每周分别公告一次各类基金份额的基金资产净值、每万份基金已实现收益和7日年化收益率；</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各类基金份额的每万份基金已实现收益和7日年化收益率的计算方法如下：</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某类基金份额的日每万份基金已实现收益＝当日该类基金份额的已实现收益/当日该类基金份额总额×10000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某类基金份额的7日年化收益率（%）=</w:t>
      </w:r>
      <w:r w:rsidR="00AD7AD4">
        <w:rPr>
          <w:rFonts w:ascii="宋体" w:hAnsi="宋体"/>
          <w:kern w:val="0"/>
          <w:sz w:val="24"/>
        </w:rPr>
        <w:pict>
          <v:shape id="_x0000_i1029" type="#_x0000_t75" style="width:171.75pt;height:44.25pt">
            <v:imagedata r:id="rId19" o:title="1521256610242020828"/>
          </v:shape>
        </w:pic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其中，Ri为最近第i个自然日(包括计算当日) 该类基金份额的每万份基金已实现收益，如果基金合同生效不足七日，按类似规则计算。</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万份基金已实现收益采用四舍五入保留至小数点后第4位，7日年化收益率采用四舍五入保留至百分号内小数点后第3位。其中，当日该类基金份额总额包括该类基金份额截至上一工作日(包括节假日)未结转份额（若有）。</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（2）在开始办理基金份额申购或者赎回后，基金管理人将在不晚于每个开放日的次日，通过指定网站、基金销售机构网站或者营业网点披露开放日的各类基金份额的每万份基金已实现收益和7日年化收益率。</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应于节假日结束后第二个自然日，披露节假日期间的各类基金份额的每万份基金已实现收益、节假日最后一日的7日年化收益率，以及节假日后首个开放日的各类基金份额的每万份基金已实现收益和7日年化收益率。</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（3）基金管理人应当在不晚于半年度和年度最后一日的次日，在指定网站披露半年度和年度最后一日的各类基金份额的每万份基金已实现收益和7日年化收益率。</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5、基金定期报告，包括基金年度报告、基金中期报告和基金季度报告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《基金合同》生效不足2个月的，基金管理人可以不编制当期季度报告、中期或者年度报告。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w:t>
      </w:r>
      <w:r>
        <w:rPr>
          <w:rFonts w:ascii="宋体" w:hAnsi="宋体"/>
          <w:sz w:val="24"/>
        </w:rPr>
        <w:lastRenderedPageBreak/>
        <w:t>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基金管理人应当在年度报告、中期报告中，至少披露报告期末基金前10名份额持有人的类别、持有份额及占总份额的比例等信息。</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6、临时报告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前款所称重大事件，是指可能对基金份额持有人权益或者基金资产净值产生重大影响的下列事件：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w:t>
      </w:r>
      <w:r>
        <w:rPr>
          <w:rFonts w:ascii="宋体" w:hAnsi="宋体"/>
          <w:sz w:val="24"/>
        </w:rPr>
        <w:lastRenderedPageBreak/>
        <w:t>重大行政处罚、刑事处罚，基金托管人或其专门基金托管部门负责人因基金托管业务相关行为受到重大行政处罚、刑事处罚；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（14）基金收益分配事项，但基金合同另有约定的除外；</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（16）基金资产净值计价错误达基金资产净值百分之零点五；</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（21）调整本基金的份额类别设置；</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（22）发生涉及基金申购、赎回事项调整或潜在影响投资者赎回等重大事项；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（23）本基金投资于主体信用评级低于AA+的商业银行的银行存款与同业存单；</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（24）基金信息披露义务人认为可能对基金份额持有人权益或者基金份额的价格产生重大影响的其他事项或中国证监会和基金合同约定的其他事项。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7、澄清公告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资产净值产生误导性影响或者引起较大波动，以及可能损害基金份额持有人权益的，相关信息披露义务人知悉后应当立即对该消息进行公开澄清，并将有关情况立即报告中国证监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8、基金份额持有人大会决议</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9、基金投资资产支持证券情况</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10、中国证监会规定的其他信息。</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基金信息披露义务人公开披露基金信息，应当符合中国证监会相关基金信息披露内容与格式准则等法律法规的规定。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各类基金份额的基金资产净值、每万份基金已实现收益、7日年化收益率、基金份额申购赎回价格、基金定期报告、更新的招募说明书、基金产品资料概要、基金清算报告等公开披露的相关基金信息进行复核、审查，并向基金管理人进行书面或电子确认。</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基金管理人、基金托管人应当在指定报刊中选择披露信息的报刊。基金管理人、基金托管人应当向中国证监会基金电子披露网站报送拟披露的基金信息，并保证相关报送信息的真实、准确、完整、及时。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依法必须披露的信息发布后，基金管理人、基金托管人应当按照相关法律法规规定将信息置备于各自住所，供社会公众查阅、复制。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（八）本基金信息披露事项以法律法规规定及本章节约定的内容为准。</w:t>
      </w:r>
    </w:p>
    <w:p w:rsidR="00B439CC" w:rsidRDefault="003B0F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D3F82" w:rsidRDefault="003B0F32">
      <w:pPr>
        <w:pStyle w:val="1"/>
        <w:snapToGrid w:val="0"/>
        <w:spacing w:beforeLines="0" w:before="240" w:after="240"/>
        <w:rPr>
          <w:rFonts w:ascii="宋体" w:hAnsi="宋体"/>
          <w:szCs w:val="30"/>
        </w:rPr>
      </w:pPr>
      <w:bookmarkStart w:id="21" w:name="_Toc232076544"/>
      <w:r>
        <w:rPr>
          <w:rFonts w:ascii="Times New Roman" w:hAnsi="Times New Roman"/>
          <w:sz w:val="30"/>
        </w:rPr>
        <w:lastRenderedPageBreak/>
        <w:t>十八、风险揭示</w:t>
      </w:r>
      <w:bookmarkEnd w:id="21"/>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后扣除申购申请份额总数及基金转换中转入申请份额总数后的余额）超过基金总份额的百分之十时，投资人将可能无法及时赎回持有的全部基金份额。</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投资者购买本货币市场基金并不等于将资金作为存款存放在银行或存款类金融机构，基金管理人不保证基金一定盈利，也不保证最低收益。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证券市场价格因受到经济因素、政治因素、投资心理和交易制度等各种因素的影响而引起的波动，将对基金收益水平产生潜在风险，主要包括：</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（三）流动性风险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产净值产生不利的影响，都会影响基金运作和收益水平。尤其是在发生巨额赎回时，因市场交易量不足，某些投资品种的流动性不佳，可能导致证券不能迅速、低成本地转变为现金，从而影响基金运作和收益水平。极端情况下，连续大量赎回将会导致基金的现金支付出现困难，或迫使基金以不适当的价格大量抛售证券或提前支取存款，可能导致基金财产的损失。</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w:t>
      </w:r>
      <w:r>
        <w:rPr>
          <w:rFonts w:ascii="宋体" w:hAnsi="宋体"/>
          <w:sz w:val="24"/>
        </w:rPr>
        <w:lastRenderedPageBreak/>
        <w:t>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以此类推，直到全部赎回为止。如投资人在提交赎回申请时未作明确选择，投资人未能赎回部分作自动延期赎回处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（四）交易对手违约风险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交易对手违约风险是指当债券、票据或债券回购等交易对手或存款银行违约时，将直接导致基金资产的损失，或导致基金不能及时抓住市场机会，对投资收益产生影响。</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（五）货币市场基金的特定风险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1、本基金投资于货币市场工具，面临货币市场利率波动的风险，基金每日的收益将根据市场情况上下波动，在极端情况下可能为负值。由于货币市场基金的特</w:t>
      </w:r>
      <w:r>
        <w:rPr>
          <w:rFonts w:ascii="宋体" w:hAnsi="宋体"/>
          <w:sz w:val="24"/>
        </w:rPr>
        <w:lastRenderedPageBreak/>
        <w:t>殊要求，为满足投资者的赎回需要，基金必须保持一定的现金比例以应对赎回的需求，在管理现金头寸时，有可能存在现金不足的风险或现金过多而带来的机会成本风险。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影子定价确定的基金资产净值与摊余成本法计算的基金资产净值的正偏离度绝对值达到0.5%时，基金管理人应当暂停接受申购并在5个交易日内将正偏离度绝对值调整到0.5%以内。故投资者可能面临暂停申购的风险。当负偏离度绝对值连续两个交易日超过0.5%时，基金管理人应当采用公允价值估值方法对持有投资组合的账面价值进行调整，或者采取暂停接受所有赎回申请并终止基金合同进行财产清算等措施。故投资者可能面临上述估值调整或暂停赎回及基金合同提前终止的风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满足相关流动性风险管理要求的前提下，当本基金持有的现金、国债、中央银行票据、政策性金融债券以及5个交易日内到期的其他金融工具占基金资产净值的比例合计低于5%且偏离度为负时，当日单个基金份额持有人申请赎回基金份额超过基金总份额1%以上的，该基金份额持有人可能面临被征收1%的强制赎回费用的风险，上述赎回费用全额计入基金财产。此外，单个基金份额持有人在单个开放日申请赎回基金份额超过基金总份额10%的，该基金份额持有人可能面临延期办理部分赎回申请或者延缓支付赎回款项的风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（六）本基金法律文件风险收益特征表述与销售机构基金风险评价可能不一致的风险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（七）其他风险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3、因人为因素而产生的风险、如内幕交易、欺诈行为等产生的风险；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7、金融市场危机、行业竞争、代理商违约、托管行违约等超出基金管理人自身直接控制能力之外的风险，也可能导致基金或者基金份额持有人利益受损。</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8、其他意外导致的风险。</w:t>
      </w:r>
    </w:p>
    <w:p w:rsidR="00B439CC" w:rsidRDefault="003B0F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D3F82" w:rsidRDefault="003B0F32">
      <w:pPr>
        <w:pStyle w:val="1"/>
        <w:snapToGrid w:val="0"/>
        <w:spacing w:beforeLines="0" w:before="240" w:after="240"/>
        <w:rPr>
          <w:rFonts w:ascii="宋体" w:hAnsi="宋体"/>
          <w:szCs w:val="30"/>
        </w:rPr>
      </w:pPr>
      <w:bookmarkStart w:id="22" w:name="_Toc232076545"/>
      <w:r>
        <w:rPr>
          <w:rFonts w:ascii="Times New Roman" w:hAnsi="Times New Roman"/>
          <w:sz w:val="30"/>
        </w:rPr>
        <w:lastRenderedPageBreak/>
        <w:t>十九、基金合同的变更、终止与基金财产的清算</w:t>
      </w:r>
      <w:bookmarkEnd w:id="22"/>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（4）制作清算报告；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3B0F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D3F82" w:rsidRDefault="003B0F32">
      <w:pPr>
        <w:pStyle w:val="1"/>
        <w:snapToGrid w:val="0"/>
        <w:spacing w:beforeLines="0" w:before="240" w:after="240"/>
        <w:rPr>
          <w:rFonts w:ascii="宋体" w:hAnsi="宋体"/>
          <w:szCs w:val="30"/>
        </w:rPr>
      </w:pPr>
      <w:bookmarkStart w:id="23" w:name="_Toc232076546"/>
      <w:r>
        <w:rPr>
          <w:rFonts w:ascii="Times New Roman" w:hAnsi="Times New Roman"/>
          <w:sz w:val="30"/>
        </w:rPr>
        <w:lastRenderedPageBreak/>
        <w:t>二十、基金合同内容摘要</w:t>
      </w:r>
      <w:bookmarkEnd w:id="23"/>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（一）基金管理人、基金托管人和基金份额持有人的权利与义务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12）依照法律法规为基金的利益行使因基金财产投资于证券所产生的权利；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16）在符合有关法律、法规的前提下，制定和调整有关基金认购、申购、赎回、转换等的业务规则；</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17）法律法规及中国证监会规定的和《基金合同》约定的其他权利。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1）依法募集资金，办理或者委托经中国证监会认定的其他机构代为办理基金份额的发售、申购、赎回和登记事宜；</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8）采取适当合理的措施使计算基金份额认购、申购、赎回和注销价格的方法符合《基金合同》等法律文件的规定，按有关规定计算并公告各类基金份额的基金净值信息、每万份基金已实现收益和7日年化收益率；</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w:t>
      </w:r>
      <w:r>
        <w:rPr>
          <w:rFonts w:ascii="宋体" w:hAnsi="宋体"/>
          <w:sz w:val="24"/>
        </w:rPr>
        <w:lastRenderedPageBreak/>
        <w:t>配合基金托管人、基金份额持有人依法召集基金份额持有人大会；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2）依《基金合同》约定获得基金托管费以及法律法规规定或监管部门批准的其他费用；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4）根据相关市场规则，为基金开设资金账户、证券账户等投资所需账户，为基金办理证券交易资金清算；</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8）复核、审查基金管理人计算的各类基金份额的基金资产净值、基金份额净值、每万份基金已实现收益和7日年化收益率；</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w:t>
      </w:r>
      <w:r>
        <w:rPr>
          <w:rFonts w:ascii="宋体" w:hAnsi="宋体"/>
          <w:sz w:val="24"/>
        </w:rPr>
        <w:lastRenderedPageBreak/>
        <w:t>金管理人在各重要方面的运作是否严格按照《基金合同》的规定进行；如果基金管理人有未执行《基金合同》规定的行为，还应当说明基金托管人是否采取了适当的措施；</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18）面临解散、依法被撤销或者被依法宣告破产时，及时报告中国证监会，并通知基金管理人；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1）分享基金财产收益；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基金份额持有人大会由基金份额持有人组成，基金份额持有人的合法授权代表有权代表基金份额持有人出席会议并表决。基金份额持有人持有的每一基金份额拥有平等的投票权。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5）调整基金管理人、基金托管人的报酬标准和提高销售服务费；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（2）以下情况可由基金管理人和基金托管人协商后修改，不需召开基金份额持有人大会：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1）调低除基金管理费、基金托管费之外的其他应由本基金或基金份额持有人承担的费用；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3）在法律法规和本基金合同规定的范围内调低基金的销售服务费率或在不影响现有基金份额持有人利益的前提下变更或增加收费方式；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4）因相应的法律法规、登记机构的相关业务规则发生变动而应当对《基金合同》进行修改；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9）按照法律法规和《基金合同》规定不需召开基金份额持有人大会的以外的其他情形。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w:t>
      </w:r>
      <w:r>
        <w:rPr>
          <w:rFonts w:ascii="宋体" w:hAnsi="宋体"/>
          <w:sz w:val="24"/>
        </w:rPr>
        <w:lastRenderedPageBreak/>
        <w:t>金管理人；基金托管人决定召集的，应当自出具书面决定之日起60日内召开并告知基金管理人，基金管理人应当配合；</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基金份额持有人大会可通过现场开会方式、通讯开会方式或法律法规和监管机关允许的其他方式召开，会议的召开方式由会议召集人确定。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（2）通讯开会。通讯开会系指基金份额持有人将其对表决事项的投票以会议通知载明的形式在表决截至日以前送达至召集人指定的地址。</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w:t>
      </w:r>
      <w:r>
        <w:rPr>
          <w:rFonts w:ascii="宋体" w:hAnsi="宋体"/>
          <w:sz w:val="24"/>
        </w:rPr>
        <w:lastRenderedPageBreak/>
        <w:t>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w:t>
      </w:r>
      <w:r>
        <w:rPr>
          <w:rFonts w:ascii="宋体" w:hAnsi="宋体"/>
          <w:sz w:val="24"/>
        </w:rPr>
        <w:lastRenderedPageBreak/>
        <w:t>份额持有人大会的主持人。基金管理人和基金托管人拒不出席或主持基金份额持有人大会，不影响基金份额持有人大会作出的决议的效力。</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w:t>
      </w:r>
      <w:r>
        <w:rPr>
          <w:rFonts w:ascii="宋体" w:hAnsi="宋体"/>
          <w:sz w:val="24"/>
        </w:rPr>
        <w:lastRenderedPageBreak/>
        <w:t>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基金份额持有人大会决定的事项自表决通过之日起生效，召集人应当自通过之日起5日内报中国证监会备案。</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部分对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（三）基金合同变更、解除和终止的事由、程序以及基金财产清算方式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5）聘请会计师事务所对清算报告进行外部审计，聘请律师事务所对清算报告出具法律意见书；</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律师费由败诉方承担。</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《基金合同》可印制成册，供投资者在基金管理人、基金托管人、销售机构的办公场所和营业场所查阅，但应以《基金合同》正本为准。</w:t>
      </w:r>
    </w:p>
    <w:p w:rsidR="00B439CC" w:rsidRDefault="003B0F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D3F82" w:rsidRDefault="003B0F32">
      <w:pPr>
        <w:pStyle w:val="1"/>
        <w:snapToGrid w:val="0"/>
        <w:spacing w:beforeLines="0" w:before="240" w:after="240"/>
        <w:rPr>
          <w:rFonts w:ascii="宋体" w:hAnsi="宋体"/>
          <w:szCs w:val="30"/>
        </w:rPr>
      </w:pPr>
      <w:bookmarkStart w:id="24" w:name="_Toc232076547"/>
      <w:r>
        <w:rPr>
          <w:rFonts w:ascii="Times New Roman" w:hAnsi="Times New Roman"/>
          <w:sz w:val="30"/>
        </w:rPr>
        <w:lastRenderedPageBreak/>
        <w:t>二十一、</w:t>
      </w:r>
      <w:r>
        <w:rPr>
          <w:rFonts w:ascii="Times New Roman" w:hAnsi="Times New Roman"/>
          <w:sz w:val="30"/>
        </w:rPr>
        <w:t xml:space="preserve"> </w:t>
      </w:r>
      <w:r>
        <w:rPr>
          <w:rFonts w:ascii="Times New Roman" w:hAnsi="Times New Roman"/>
          <w:sz w:val="30"/>
        </w:rPr>
        <w:t>托管协议的内容摘要</w:t>
      </w:r>
      <w:bookmarkEnd w:id="24"/>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批准设立机关：中国证监会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批准设立文号：证监基金字[2005]128号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名称：中信建投证券股份有限公司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法定代表人：王常青</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成立日期：2005年11月2日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批准设立机关和批准设立文号：中国证监会证监机构字[2005]112号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基金托管业务批准文号：中国证监会证监许可[2015]219号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注册资本：人民币陆拾壹亿元整</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证券经纪；证券投资咨询；与证券交易、证券投资活动有关的财务顾问；证券承销与保荐；证券自营；证券资产管理；证券投资基金代销；为期货公司提供中间介绍业务；融资融券业务；代销金融产品业务；保险兼业代理业务(保险兼业代理业务许可证有效期至2016年7月08日)；股票期权做市业务；证券投资基金托管业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1、基金托管人对基金管理人的投资行为行使监督权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（1）基金托管人根据有关法律法规的规定和基金合同的约定，对下述基金投资范围、投资对象进行监督。本基金将投资于以下金融工具：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现金，期限在1年以内（含1年）的银行存款、债券回购、中央银行票据、同业存单，剩余期限在397天以内（含397天）的债券、非金融企业债务融资工具、资产支持证券，中国证监会、中国人民银行认可的其他具有良好流动性的货币市场工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如法律法规或监管机构以后允许货币市场基金投资其他金融工具，基金管理人在履行适当程序后，可以将其纳入投资范围，其投资比例遵循届时有效法律法规或相关规定。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1）本基金不得投资于以下金融工具：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（a）股票；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（b）可转换债券、可交换债券；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（c）以定期存款利率为基准利率的浮动利率债券，已进入最后一个利率调整期的除外；</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（d）信用等级在AA+以下的债券与非金融企业债务融资工具；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（e）中国证监会、中国人民银行禁止投资的其他金融工具。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本基金拟投资于主体信用评级低于AA+的商业银行的银行存款与同业存单的，应当经基金管理人董事会审议批准，相关交易应当事先征得基金托管人的同意，并作为重大事项履行信息披露程序。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法律法规或监管部门取消上述限制，如适用于本基金，基金管理人在履行适当程序后，则本基金投资不再受相关限制。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2）组合限制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（a）本基金投资组合的平均剩余期限在每个交易日均不得超过120天，平均剩余存续期在每个交易日均不得超过240天；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（b）本基金投资于现金、国债、中央银行票据、政策性金融债券占基金资产净值的比例合计不得低于5%，其中现金不包括结算备付金、存出保证金、应收申购款等；</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（c）本基金投资于现金、国债、中央银行票据、政策性金融债券以及五个交易日内到期的其他金融工具占基金资产净值的比例合计不得低于10%；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主动投资于流动性受限资产的市值合计不得超过基金资产净值的10%；因证券市场波动、基金规模变动等基金管理人之外的因素致使基金不符合该比例限制的，基金管理人不得主动新增流动性受限资产的投资；</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（e）除发生巨额赎回、连续3 个交易日累计赎回20%以上或者连续5 个交易日累计赎回30%以上的情形外，本基金债券正回购的资金余额占基金资产净值的比例不得超过20%；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（f）本基金投资于同一机构发行的债券、非金融企业债务融资工具及其作为原始权益人的资产支持证券占基金资产净值的比例合计不得超过10%，国债、中央银行票据、政策性金融债券除外；</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（g）本基金管理人管理的全部基金持有一家公司发行的证券，不超过该证券的10%；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本基金投资于有固定期限银行存款的比例，不得超过基金资产净值的30%，但投资于有存款期限，根据协议可提前支取的银行存款不受上述比例限制；本基金投资于具有基金托管人资格的同一商业银行的银行存款、同业存单占基金资产净值的比例合计不得超过20%，投资于不具有基金托管人资格的同一商业银行的银行存款、同业存单占基金资产净值的比例合计不得超过5%；</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（i）本基金持有的全部资产支持证券，其市值不得超过基金资产净值的20%，中国证监会规定的特殊品种除外；本基金持有的同一（指同一信用级别）资产支持证券的比例，不得超过该资产支持证券规模的10%；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j）本基金管理人管理的全部基金投资于同一原始权益人的各类资产支持证券，不得超过其各类资产支持证券合计规模的10%；本基金应投资于具有评级资质的资信评级机构进行持续信用评级，且信用评级不低于国内信用评级机构评定的AAA级或相当于AAA级的信用级别的资产支持证券。基金持有资产支持证券期间，如果其信用等级下降、不再符合投资标准，应在评级报告发布之日起3 个月内予以全部卖出；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（k）本基金管理人管理的全部货币市场基金投资于同一商业银行的银行存款及其发行的同业存单与债券，不得超过该商业银行最近一个季度末净资产的10%；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（l）当本基金前10 名份额持有人的持有份额合计超过基金总份额的50%时，</w:t>
      </w:r>
      <w:r>
        <w:rPr>
          <w:rFonts w:ascii="宋体" w:hAnsi="宋体"/>
          <w:sz w:val="24"/>
        </w:rPr>
        <w:lastRenderedPageBreak/>
        <w:t>本基金投资组合的平均剩余期限不得超过60天，平均剩余存续期不得超过120天；投资组合中现金、国债、中央银行票据、政策性金融债券以及5个交易日内到期的其他金融工具占基金资产净值的比例合计不得低于30%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（m）当本基金前10 名份额持有人的持有份额合计超过基金总份额的20%时，本基金投资组合的平均剩余期限不得超过90天，平均剩余存续期不得超过180天；投资组合中现金、国债、中央银行票据、政策性金融债券以及5个交易日内到期的其他金融工具占基金资产净值的比例合计不得低于20%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（n）本基金投资于主体信用评级低于AAA 的机构发行的金融工具占基金资产净值的比例合计不得超过10%，其中单一机构发行的金融工具占基金资产净值的比例合计不得超过2%；前述金融工具包括债券、非金融企业债务融资工具、银行存款、同业存单、相关机构作为原始权益人的资产支持证券及中国证监会认定的其他品种；</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（o）本基金与私募类证券资管产品及中国证监会认定的其他主体为交易对手开展逆回购交易的，可接受质押品的资质要求应当与基金合同约定的投资范围保持一致；</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（p）本基金在全国银行间同业市场的债券回购最长期限为1年，债券回购到期后不得展期；</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（q）本基金的基金资产总值不得超过基金资产净值的140%；</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（r）法律法规、中国证监会及中国人民银行规定的其他比例限制。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除上述第（a）、（b）、（d）、（j）、（o）项外，因证券市场波动、证券发行人合并或基金规模变动等基金管理人之外的因素致使基金投资比例不符合上述规定投资比例的，基金管理人应当在10 个交易日内进行调整，但中国证监会规定的特殊情形除外。法律法规另有规定的，从其规定。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债券与非金融企业债务融资工具的信用等级应主要参照最近一个会计年度的主体信用评级，如果对发行人同时有两家以上境内评级机构评级的，应采用孰低原则确定其评级，并结合基金管理人内部信用评级进行独立判断与认定。基金管理人应当自基金合同生效之日起6 个月内使基金的投资组合比例符合基金合同的有关约定，基金合同另有约定的除外。在上述期间内，本基金的投资范围、投资策略应当符合基金合同的约定。基金托管人对基金的投资的监督与检查自基金合同生效之日起开始。</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法律法规对上述投资组合比例限制进行变更的，以变更后的规定为准。法律法规或监管部门取消上述限制，如适用于本基金，基金管理人在履行适当程序后，本基金投资不再受相关限制。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2）违反规定向他人贷款或提供担保；</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（4）基金托管人依据有关法律法规的规定和基金合同的约定对于基金关联投资进行监督：</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w:t>
      </w:r>
      <w:r>
        <w:rPr>
          <w:rFonts w:ascii="宋体" w:hAnsi="宋体"/>
          <w:sz w:val="24"/>
        </w:rPr>
        <w:lastRenderedPageBreak/>
        <w:t>仍违规进行交易，并造成基金资产损失的，由基金管理人承担责任，基金托管人不承担任何损失和责任。</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交易必须事先得到基金托管人的同意，若基金托管人发现基金管理人与关联方进行违反法律法规规定的关联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1）基金托管人依据有关法律法规的规定和基金合同的约定对于基金管理人参与银行间债券市场交易时面临的交易对手资信风险进行监督。</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如果基金托管人发现基金管理人与不在名单内的银行间债券市场交易对手进行交易，应及时提醒基金管理人撤销交易，经提醒后基金管理人仍执行交易并造成基金资产损失的，基金托管人不承担责任。</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有责任控制交易对手的资信风险，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（6）基金托管人根据有关法律法规的规定及基金合同的约定，对基金管理人选择存款银行进行监督：</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w:t>
      </w:r>
      <w:r>
        <w:rPr>
          <w:rFonts w:ascii="宋体" w:hAnsi="宋体"/>
          <w:sz w:val="24"/>
        </w:rPr>
        <w:lastRenderedPageBreak/>
        <w:t>定，确定符合条件的所有存款银行的名单，并及时提供给基金托管人，基金托管人应据以对基金投资银行存款的交易对手是否符合有关规定进行监督。</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2）基金托管人应加强对基金银行存款业务的监督与核查，严格审查、复核相关协议、账户资料、投资指令、存款证实书等有关文件，切实履行托管职责。</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3）基金管理人与基金托管人在开展基金存款业务时，应严格遵守《基金法》、《运作办法》等有关法律法规，以及国家有关账户管理、利率管理、支付结算等的各项规定。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2、基金托管人对基金管理人业务进行监督和核查的有关措施：</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根据有关法律法规的规定及基金合同的约定，对各类基金份额的基金资产净值计算、每万份基金已实现收益和7日年化收益率计算、应收资金到账、基金费用开支及收入确定、基金收益分配、相关信息披露、基金宣传推介材料中登载基金业绩表现数据等进行监督和核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（3）在限期内，基金托管人有权随时对通知事项进行复查，督促基金管理人改正。基金管理人对基金托管人通知的违规事项未能在限期内纠正的，基金托管人应报告中国证监会。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（4）基金托管人发现基金管理人的投资指令违反相关法律法规规定或者违反基金合同约定的，应当拒绝执行，立即通知基金管理人。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（5）基金托管人发现基金管理人依据交易程序已经生效的投资指令违反法律、行政法规和其他有关规定，或者违反基金合同约定的，应当立即通知基金管理</w:t>
      </w:r>
      <w:r>
        <w:rPr>
          <w:rFonts w:ascii="宋体" w:hAnsi="宋体"/>
          <w:sz w:val="24"/>
        </w:rPr>
        <w:lastRenderedPageBreak/>
        <w:t>人，并及时向中国证监会报告，基金管理人应依法承担相应责任。</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（7）基金托管人发现基金管理人有重大违规行为，应立即报告中国证监会，同时通知基金管理人限期纠正。</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但不限于基金托管人安全保管基金财产、开设基金财产的资金账户、证券账户等投资所需账户、复核基金管理人计算的各类基金份额的基金资产净值、每万份基金已实现收益和7日年化收益率、根据基金管理人指令办理清算交收、相关信息披露和监督基金投资运作等行为。</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基金管理人因此所遭受的损失。</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3、基金管理人发现基金托管人有重大违规行为，应立即报告中国证监会，同时通知基金托管人限期纠正。</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4、基金托管人应积极配合基金管理人的核查行为，包括但不限于：提交相关资料以供基金管理人核查托管财产的完整性和真实性，在规定时间内答复基金管理人并改正。</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5、基金托管人无正当理由，拒绝、阻挠基金管理人根据本协议规定行使监督</w:t>
      </w:r>
      <w:r>
        <w:rPr>
          <w:rFonts w:ascii="宋体" w:hAnsi="宋体"/>
          <w:sz w:val="24"/>
        </w:rPr>
        <w:lastRenderedPageBreak/>
        <w:t>权，或采取拖延、欺诈等手段妨碍基金管理人进行有效监督，情节严重或经基金管理人提出警告仍不改正的，基金管理人应报告中国证监会。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基金托管人对实际交付并控制下的基金财产承担保管职责，对于非由基金托管人实际控制的财产不承担保管责任。除依据法律法规规定、基金合同和本托管协议约定及基金管理人的正当指令外，不得自行运用、处分、分配基金的任何财产。</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（6）除依据法律法规和基金合同的规定外，基金托管人不得委托第三人托管基金资产。</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2、募集资金的验资</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（1）基金募集期间募集认购款项应存于基金认购专用账户，该账户由基金管理人或基金管理人委托的登记机构开立并管理。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具有从事证券业务资格的会计师事务所进行验资，出具验资报告，出具的验资报告应由参加验资的2名以上（含2名）中国注册会计师签字有效。</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（3）若基金募集期限届满，未能达到基金备案条件，由基金管理人按规定办理退款事宜，基金托管人应提供充分协助。</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3、基金的银行账户的开立和管理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（1）基金托管人在具有证券投资基金托管资格的商业银行为本基金开立基金的银行账户，账户名称以实际开立为准，并根据基金管理人合法合规的指令办理资</w:t>
      </w:r>
      <w:r>
        <w:rPr>
          <w:rFonts w:ascii="宋体" w:hAnsi="宋体"/>
          <w:sz w:val="24"/>
        </w:rPr>
        <w:lastRenderedPageBreak/>
        <w:t>金收付。本基金的银行预留印鉴由基金托管人刻制、保管和使用。基金托管人为本基金的银行账户开立网上银行，网上银行的电子密钥和密码由基金托管人保管和使用，基金托管人并承担网上银行操作及账户安全、保密义务等产生的相关责任。</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（2）基金银行账户的开立和使用，限于满足开展本基金业务的需要。基金托管人和基金管理人不得假借本基金的名义开立任何其他银行账户；亦不得使用本基金的任何账户进行本基金业务以外的活动。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（3）基金银行账户的开立和管理应符合有关法律法规以及银行业监督管理机构的有关规定。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4、基金证券账户与证券交易资金账户的开设和管理：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（1）基金托管人以基金托管人和本基金联名的方式在中国证券登记结算有限责任公司上海分公司/深圳分公司开设证券账户。</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（2）基金托管人按照中国证券登记结算有限责任公司的要求在中国证券登记结算有限责任公司上海分公司/深圳分公司开立基金证券交易资金账户，用于证券清算。</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（3）基金证券账户的开立和使用，限于满足开展本基金业务的需要。基金托管人和基金管理人不得出借和未经对方同意擅自转让基金的任何证券账户；亦不得使用基金的任何账户进行本基金业务以外的活动。</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5、债券托管账户的开立和管理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基金管理人负责以本基金的名义申请并取得进入全国银行间同业拆借市场的交易资格，并代表本基金进行交易；基金托管人负责以本基金的名义在中央国债登记结算有限责任公司开设银行间债券市场债券托管账户，并由基金托管人负责本基金的债券的后台匹配及资金的清算。</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（2）基金管理人和基金托管人应一起负责为本基金对外签订全国银行间国债市场回购主协议，正本由基金托管人保管，基金管理人保存副本。</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7、基金财产投资的有关实物证券、银行定期存款存单等有价凭证的保管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财产投资的有关实物证券由基金托管人存放于基金托管人的保管库；其中实物证券也可存入中央国债登记结算有限责任公司、银行间市场清算所股份有限公司或中国证券登记结算有限责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但应勤勉履行定期查询等合理注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本基金签署的与本基金有关的重大合同的原件分别应由基金托管人、基金管理人保管。基金管理人在代表本基金签署与本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15年以上。对于无法取得二份以上的正本的，基金管理人应向基金托管人提供加盖授权业务章的合同传真件，未经双方协商或未在合同约定范围内，合同原件不得转移，由基金管理人保管。如基金托管人收到的合同传真件与基金管理人保管的合同原件不一致的，以基金托管人收到的传真件为准。</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是指基金资产总值减去负债后的价值。每万份基金已实现收益是按照相关法规计算的每万份基金份额的日已实现收益，精确到小数点后第4位，小数点后第5位四舍五入。本基金的收益分配是按日结转份额的，7日年化收益率是以最近7日(含节假日) 每万份基金已实现收益所折算的年资产收益率，精确到0.001%，百分号内小数点后第4位四舍五入。国家另有规定的，从其规定。</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工作日对基金资产估值，但基金管理人根据法律法规或基金合同的规定暂停估值时除外。估值原则应符合基金合同及相关法律、法规的规定。用于基金信息披露的各类基金份额的基金资产净值、每万份基金已实现收益和7日年化收益率由基金管理人负责计算，基金托管人复核。基金管理人应于每个工作日交易结束后计算当日的各类基金份额的基金资产净值、每万份基金已实现收益和7日年化收益率并以双方认可的方式发送给基金托管人。基金托管人对净值计算</w:t>
      </w:r>
      <w:r>
        <w:rPr>
          <w:rFonts w:ascii="宋体" w:hAnsi="宋体"/>
          <w:sz w:val="24"/>
        </w:rPr>
        <w:lastRenderedPageBreak/>
        <w:t>结果复核后以双方认可的方式发送给基金管理人，由基金管理人依据基金合同和相关法律法规的规定予以公布。月末、年中和年末估值复核与基金会计账目的核对同时进行。</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基金法》，基金管理人计算并公告各类基金份额的基金资产净值、每万份基金已实现收益和7日年化收益率，基金托管人复核、审查基金管理人计算的各类基金份额的基金资产净值、每万份基金已实现收益和7日年化收益率。因此，本基金的会计责任方是基金管理人，就与本基金有关的会计问题，如经相关各方在平等基础上充分讨论后，仍无法达成一致的意见，按照基金管理人对各类基金份额的基金资产净值、每万份基金已实现收益和7日年化收益率的计算结果对外予以公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1、基金管理人和基金托管人须分别妥善保管的基金份额持有人名册，基金份额持有人名册的内容必须包括基金份额持有人的名称和持有的基金份额。</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持有人名册由基金的登记机构根据基金管理人的指令编制和保管，保管期限为20年。基金管理人和基金托管人应按照目前相关规则分别保管基金份额持有人名册。保管方式可以采用电子或文档的形式，保管期限为15年。</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为15年。基金托管人不得将所保管的基金份额持有人名册用于基金托管业务以外的其他用途，并应遵守保密义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4、若基金管理人或基金托管人由于自身原因无法妥善保管基金份额持有人名册，应按有关法规规定各自承担相应的责任。</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本协议而产生的或与本协议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律师费由败诉方承担。</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（八）托管协议的变更与终止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本协议双方当事人经协商一致，可以对协议的内容进行变更。变更后的托管协议，其内容不得与基金合同的规定有任何冲突。本托管协议的变更报中国证监会备案。</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3B0F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D3F82" w:rsidRDefault="003B0F32">
      <w:pPr>
        <w:pStyle w:val="1"/>
        <w:snapToGrid w:val="0"/>
        <w:spacing w:beforeLines="0" w:before="240" w:after="240"/>
        <w:rPr>
          <w:rFonts w:ascii="宋体" w:hAnsi="宋体"/>
          <w:szCs w:val="30"/>
        </w:rPr>
      </w:pPr>
      <w:bookmarkStart w:id="25" w:name="_Toc232076548"/>
      <w:r>
        <w:rPr>
          <w:rFonts w:ascii="Times New Roman" w:hAnsi="Times New Roman"/>
          <w:sz w:val="30"/>
        </w:rPr>
        <w:lastRenderedPageBreak/>
        <w:t>二十二、对基金份额持有人的服务</w:t>
      </w:r>
      <w:bookmarkEnd w:id="25"/>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每次交易结束后，投资者可在T+2个工作日后到交易网点进行确认单的查询和打印，或通过交易网点提供的自助、电话、网上服务手段查询。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（二）信息咨询、查询服务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投资人如果想查询申购和赎回等交易情况、基金账户余额、基金产品与服务等信息，请拨打本基金管理人客户服务电话（400-700-5000，021-61055000）或登录本基金管理人网站（www.fund001.com）进行咨询、查询。</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（三）基金转换业务</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本基金已开通基金转换业务，具体实施方法请参见相关公告。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（四）定期定额投资计划</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本基金已开通定期定额投资业务，具体实施方法请参见相关公告。</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（五）如本招募说明书存在任何您/贵机构无法理解的内容，请通过上述方式联系基金管理人。请确保投资前，您/贵机构已经全面理解了本招募说明书。</w:t>
      </w:r>
    </w:p>
    <w:p w:rsidR="00B439CC" w:rsidRDefault="003B0F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D3F82" w:rsidRDefault="003B0F32">
      <w:pPr>
        <w:pStyle w:val="1"/>
        <w:snapToGrid w:val="0"/>
        <w:spacing w:beforeLines="0" w:before="240" w:after="240"/>
        <w:rPr>
          <w:rFonts w:ascii="宋体" w:hAnsi="宋体"/>
          <w:szCs w:val="30"/>
        </w:rPr>
      </w:pPr>
      <w:bookmarkStart w:id="26" w:name="_Toc232076549"/>
      <w:r>
        <w:rPr>
          <w:rFonts w:ascii="Times New Roman" w:hAnsi="Times New Roman"/>
          <w:sz w:val="30"/>
        </w:rPr>
        <w:lastRenderedPageBreak/>
        <w:t>二十三、其他应披露事项</w:t>
      </w:r>
      <w:bookmarkEnd w:id="26"/>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交银施罗德基金管理有限公司关于增加华西证券股份有限公司为旗下基金的销售机构的公告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2025-06-16</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交银施罗德活期通货币市场基金招募说明书更新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交银施罗德活期通货币市场基金（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交银施罗德活期通货币市场基金（</w:t>
            </w:r>
            <w:r>
              <w:rPr>
                <w:rFonts w:ascii="Times New Roman" w:hAnsi="Times New Roman"/>
                <w:color w:val="000000"/>
                <w:kern w:val="0"/>
                <w:sz w:val="25"/>
                <w:szCs w:val="24"/>
              </w:rPr>
              <w:t>E</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交银施罗德活期通货币市场基金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交银施罗德活期通货币市场基金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交银施罗德活期通货币市场基金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交银施罗德活期通货币市场基金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交银施罗德活期通货币市场基金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1D3F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交银施罗德活期通货币市场基金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D3F82" w:rsidRDefault="003B0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3B0F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D3F82" w:rsidRDefault="003B0F32">
      <w:pPr>
        <w:pStyle w:val="1"/>
        <w:snapToGrid w:val="0"/>
        <w:spacing w:beforeLines="0" w:before="240" w:after="240"/>
        <w:rPr>
          <w:rFonts w:ascii="宋体" w:hAnsi="宋体"/>
          <w:szCs w:val="30"/>
        </w:rPr>
      </w:pPr>
      <w:bookmarkStart w:id="27" w:name="_Toc232076550"/>
      <w:r>
        <w:rPr>
          <w:rFonts w:ascii="Times New Roman" w:hAnsi="Times New Roman"/>
          <w:sz w:val="30"/>
        </w:rPr>
        <w:lastRenderedPageBreak/>
        <w:t>二十四、招募说明书的存放及查阅方式</w:t>
      </w:r>
      <w:bookmarkEnd w:id="27"/>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3B0F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D3F82" w:rsidRDefault="003B0F32">
      <w:pPr>
        <w:pStyle w:val="1"/>
        <w:snapToGrid w:val="0"/>
        <w:spacing w:beforeLines="0" w:before="240" w:after="240"/>
        <w:rPr>
          <w:rFonts w:ascii="宋体" w:hAnsi="宋体"/>
          <w:szCs w:val="30"/>
        </w:rPr>
      </w:pPr>
      <w:bookmarkStart w:id="28" w:name="_Toc232076551"/>
      <w:r>
        <w:rPr>
          <w:rFonts w:ascii="Times New Roman" w:hAnsi="Times New Roman"/>
          <w:sz w:val="30"/>
        </w:rPr>
        <w:lastRenderedPageBreak/>
        <w:t>二十五、备查文件</w:t>
      </w:r>
      <w:bookmarkEnd w:id="28"/>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（一）中国证监会准予交银施罗德活期通货币市场基金募集注册的文件</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（二）《交银施罗德活期通货币市场基金基金合同》</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（三）《交银施罗德活期通货币市场基金托管协议》</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1D3F82" w:rsidRDefault="003B0F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（六）关于申请募集注册交银施罗德活期通货币市场基金的法律意见书</w:t>
      </w:r>
    </w:p>
    <w:sectPr w:rsidR="001D3F82">
      <w:footerReference w:type="default" r:id="rId20"/>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534A" w:rsidRDefault="003B0F32">
      <w:r>
        <w:separator/>
      </w:r>
    </w:p>
  </w:endnote>
  <w:endnote w:type="continuationSeparator" w:id="0">
    <w:p w:rsidR="00F5534A" w:rsidRDefault="003B0F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3F82" w:rsidRDefault="001D3F8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3F82" w:rsidRDefault="00AD7AD4">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1D3F82" w:rsidRDefault="003B0F32">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AD7AD4">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3F82" w:rsidRDefault="001D3F82">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3F82" w:rsidRDefault="00AD7AD4">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1D3F82" w:rsidRDefault="003B0F32">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AD7AD4">
                  <w:rPr>
                    <w:rFonts w:ascii="Times New Roman" w:hAnsi="Times New Roman"/>
                    <w:noProof/>
                    <w:kern w:val="0"/>
                    <w:sz w:val="18"/>
                    <w:szCs w:val="18"/>
                  </w:rPr>
                  <w:t>131</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534A" w:rsidRDefault="003B0F32">
      <w:r>
        <w:separator/>
      </w:r>
    </w:p>
  </w:footnote>
  <w:footnote w:type="continuationSeparator" w:id="0">
    <w:p w:rsidR="00F5534A" w:rsidRDefault="003B0F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3F82" w:rsidRDefault="001D3F8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3F82" w:rsidRDefault="003B0F32">
    <w:pPr>
      <w:pStyle w:val="a3"/>
      <w:jc w:val="right"/>
      <w:rPr>
        <w:rFonts w:ascii="宋体" w:hAnsi="宋体"/>
      </w:rPr>
    </w:pPr>
    <w:r>
      <w:rPr>
        <w:rFonts w:ascii="宋体" w:hAnsi="宋体" w:hint="eastAsia"/>
      </w:rPr>
      <w:t>交银施罗德活期通货币市场基金招募说明书更新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3F82" w:rsidRDefault="001D3F82">
    <w:pPr>
      <w:pStyle w:val="10"/>
      <w:jc w:val="right"/>
    </w:pPr>
  </w:p>
  <w:p w:rsidR="001D3F82" w:rsidRDefault="001D3F82">
    <w:pPr>
      <w:pStyle w:val="10"/>
      <w:jc w:val="right"/>
    </w:pPr>
  </w:p>
  <w:p w:rsidR="001D3F82" w:rsidRDefault="001D3F82">
    <w:pPr>
      <w:pStyle w:val="a3"/>
      <w:jc w:val="right"/>
    </w:pPr>
  </w:p>
  <w:p w:rsidR="001D3F82" w:rsidRDefault="003B0F32">
    <w:pPr>
      <w:pStyle w:val="a3"/>
      <w:jc w:val="right"/>
      <w:rPr>
        <w:rFonts w:ascii="宋体" w:hAnsi="宋体"/>
      </w:rPr>
    </w:pPr>
    <w:r>
      <w:rPr>
        <w:rFonts w:ascii="宋体" w:hAnsi="宋体" w:hint="eastAsia"/>
      </w:rPr>
      <w:t>交银施罗德活期通货币市场基金招募说明书更新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3F82" w:rsidRDefault="001D3F82">
    <w:pPr>
      <w:pStyle w:val="a3"/>
      <w:jc w:val="right"/>
    </w:pPr>
  </w:p>
  <w:p w:rsidR="001D3F82" w:rsidRDefault="001D3F82">
    <w:pPr>
      <w:pStyle w:val="a3"/>
      <w:jc w:val="right"/>
    </w:pPr>
  </w:p>
  <w:p w:rsidR="001D3F82" w:rsidRDefault="001D3F82">
    <w:pPr>
      <w:pStyle w:val="a3"/>
      <w:jc w:val="right"/>
    </w:pPr>
  </w:p>
  <w:p w:rsidR="001D3F82" w:rsidRDefault="003B0F32">
    <w:pPr>
      <w:pStyle w:val="a3"/>
      <w:jc w:val="right"/>
      <w:rPr>
        <w:rFonts w:ascii="宋体" w:hAnsi="宋体"/>
      </w:rPr>
    </w:pPr>
    <w:r>
      <w:rPr>
        <w:rFonts w:ascii="宋体" w:hAnsi="宋体" w:hint="eastAsia"/>
      </w:rPr>
      <w:t>交银施罗德活期通货币市场基金招募说明书更新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9"/>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3F82"/>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0F32"/>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D7AD4"/>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534A"/>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9"/>
    <o:shapelayout v:ext="edit">
      <o:idmap v:ext="edit" data="3"/>
    </o:shapelayout>
  </w:shapeDefaults>
  <w:decimalSymbol w:val="."/>
  <w:listSeparator w:val=","/>
  <w15:docId w15:val="{D29546AD-BCB3-433D-B4A7-2DA162A51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132</Pages>
  <Words>13466</Words>
  <Characters>76759</Characters>
  <Application>Microsoft Office Word</Application>
  <DocSecurity>0</DocSecurity>
  <Lines>639</Lines>
  <Paragraphs>180</Paragraphs>
  <ScaleCrop>false</ScaleCrop>
  <Company>Microsoft</Company>
  <LinksUpToDate>false</LinksUpToDate>
  <CharactersWithSpaces>90045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2026-06-11T05:21:00Z</dcterms:created>
  <dcterms:modified xsi:type="dcterms:W3CDTF">2026-06-11T05:21:00Z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