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交银施罗德裕通纯债债券型证券投资基金（A类份额）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2026-05-14</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2026-06-12</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交银裕通纯债债券A</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519762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兴业银行股份有限公司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2015-12-29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债券型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于海颖</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2024-12-17</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2006-05-01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二十个工作日基金份额持有人数量不满200人或者基金资产净值低于5000万元的，基金管理人应当在定期报告中予以披露。连续五十个工作日出现基金份额持有人数量不满200人或者基金资产净值低于5000万元情形的，基金管理人提前终止基金合同，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在严格控制风险的基础上，通过积极主动的投资管理，追求基金资产的长期稳健增值，力争实现超越业绩比较基准的投资回报。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国债、金融债、央行票据、地方政府债、企业债、公司债、中小企业私募债、中期票据、短期融资券、超级短期融资券、资产支持证券、次级债、可分离交易可转债的纯债部分、债券回购、银行存款、货币市场工具以及法律法规或中国证监会允许基金投资的其他金融工具(但须符合中国证监会相关规定)。本基金不直接在二级市场买入股票、权证等权益类资产，也不参与一级市场新股申购和新股增发。同时本基金不参与可转换债券投资(分离交易可转债除外)。</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本基金投资于债券资产的比例不低于基金资产的80%，现金或到期日在一年以内的政府债券的投资比例合计不低于基金资产净值的5%，其中现金不包括结算备付金、存出保证金和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将宏观周期研究、行业周期研究、公司研究相结合，在分析和判断宏观经济运行状况和金融市场运行趋势的基础上，动态调整大类金融资产比例，自上而下决定债券组合久期、期限结构、债券类别配置策略，在严谨深入的分析基础上，综合考量各类债券的流动性、供求关系和收益率水平等，深入挖掘价值被低估的标的券种。</w:t>
            </w:r>
          </w:p>
          <w:p>
            <w:pPr>
              <w:ind w:firstLine="420"/>
              <w:jc w:val="left"/>
              <w:rPr>
                <w:rFonts w:ascii="仿宋_GB2312" w:eastAsia="仿宋_GB2312"/>
                <w:szCs w:val="21"/>
              </w:rPr>
            </w:pPr>
            <w:r>
              <w:rPr>
                <w:rFonts w:hint="eastAsia" w:ascii="仿宋_GB2312" w:eastAsia="仿宋_GB2312"/>
                <w:szCs w:val="21"/>
              </w:rPr>
              <w:t>1、大类资产配置；2、债券投资策略。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中债综合全价指数</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债券型基金，其风险与预期收益高于货币市场基金，低于混合型基金和股票型基金，属于证券投资基金中中等风险的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详见《交银施罗德裕通纯债债券型证券投资基金招募说明书》“基金的投资”。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249.75pt;width:330.7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59.75pt;width:499.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6"/>
        <w:gridCol w:w="2818"/>
        <w:gridCol w:w="1754"/>
        <w:gridCol w:w="1990"/>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M＜50万元</w:t>
            </w:r>
          </w:p>
        </w:tc>
        <w:tc>
          <w:tcPr>
            <w:tcW w:w="1843" w:type="dxa"/>
            <w:vAlign w:val="center"/>
          </w:tcPr>
          <w:p>
            <w:pPr>
              <w:rPr>
                <w:rFonts w:ascii="仿宋_GB2312" w:eastAsia="仿宋_GB2312"/>
                <w:szCs w:val="21"/>
              </w:rPr>
            </w:pPr>
            <w:r>
              <w:rPr>
                <w:rFonts w:hint="eastAsia" w:ascii="仿宋_GB2312" w:eastAsia="仿宋_GB2312"/>
                <w:szCs w:val="21"/>
              </w:rPr>
              <w:t>0.8%</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50万元≤M＜100万元</w:t>
            </w:r>
          </w:p>
        </w:tc>
        <w:tc>
          <w:tcPr>
            <w:tcW w:w="1843" w:type="dxa"/>
            <w:vAlign w:val="center"/>
          </w:tcPr>
          <w:p>
            <w:pPr>
              <w:rPr>
                <w:rFonts w:ascii="仿宋_GB2312" w:eastAsia="仿宋_GB2312"/>
                <w:szCs w:val="21"/>
              </w:rPr>
            </w:pPr>
            <w:r>
              <w:rPr>
                <w:rFonts w:hint="eastAsia" w:ascii="仿宋_GB2312" w:eastAsia="仿宋_GB2312"/>
                <w:szCs w:val="21"/>
              </w:rPr>
              <w:t>0.6%</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100万元≤M＜200万元</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200万元≤M＜500万元</w:t>
            </w:r>
          </w:p>
        </w:tc>
        <w:tc>
          <w:tcPr>
            <w:tcW w:w="1843" w:type="dxa"/>
            <w:vAlign w:val="center"/>
          </w:tcPr>
          <w:p>
            <w:pPr>
              <w:rPr>
                <w:rFonts w:ascii="仿宋_GB2312" w:eastAsia="仿宋_GB2312"/>
                <w:szCs w:val="21"/>
              </w:rPr>
            </w:pPr>
            <w:r>
              <w:rPr>
                <w:rFonts w:hint="eastAsia" w:ascii="仿宋_GB2312" w:eastAsia="仿宋_GB2312"/>
                <w:szCs w:val="21"/>
              </w:rPr>
              <w:t>0.3%</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0.1%</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2、本基金管理人对养老金客户实施特定申购费率，请详见本基金招募说明书。销售机构若有其他费率优惠请见基金管理人或其他销售机构的有关公告或通知。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0.30%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0.10%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60000.00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0.41%</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（1）政策风险、（2）经济周期风险、（3）利率风险、（4）信用风险、（5）购买力风险、（6）债券收益率曲线变动风险、（7）再投资风险、（8）经营风险、（9）上市公司经营风险、（10）债券回购风险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4、交易对手违约风险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（1）本基金为债券型基金，投资于债券资产的比例不低于基金资产的80%，因投资固定收益类资产而面临固定收益类资产市场的系统性风险和个券风险；</w:t>
      </w:r>
    </w:p>
    <w:p>
      <w:pPr>
        <w:ind w:firstLine="420"/>
        <w:jc w:val="left"/>
        <w:rPr>
          <w:rFonts w:ascii="仿宋_GB2312" w:eastAsia="仿宋_GB2312"/>
          <w:szCs w:val="21"/>
        </w:rPr>
      </w:pPr>
      <w:r>
        <w:rPr>
          <w:rFonts w:hint="eastAsia" w:ascii="仿宋_GB2312" w:eastAsia="仿宋_GB2312"/>
          <w:szCs w:val="21"/>
        </w:rPr>
        <w:t>（2）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3）本基金投资中小企业私募债，中小企业私募债是根据相关法律法规由非上市中小企业采用非公开方式发行的债券。由于不能公开交易，一般情况下，交易不活跃，潜在较大流动性风险。当发债主体信用质量恶化时，受市场流动性所限，本基金可能无法卖出所持有的中小企业私募债，由此可能给基金净值带来更大的负面影响和损失。</w:t>
      </w:r>
    </w:p>
    <w:p>
      <w:pPr>
        <w:ind w:firstLine="420"/>
        <w:jc w:val="left"/>
        <w:rPr>
          <w:rFonts w:ascii="仿宋_GB2312" w:eastAsia="仿宋_GB2312"/>
          <w:szCs w:val="21"/>
        </w:rPr>
      </w:pPr>
      <w:r>
        <w:rPr>
          <w:rFonts w:hint="eastAsia" w:ascii="仿宋_GB2312" w:eastAsia="仿宋_GB2312"/>
          <w:szCs w:val="21"/>
        </w:rPr>
        <w:t>6、本基金法律文件风险收益特征表述与销售机构基金风险评价可能不一致的风险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7、其他风险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●《交银施罗德裕通纯债债券型证券投资基金基金合同》、</w:t>
      </w:r>
    </w:p>
    <w:p>
      <w:pPr>
        <w:ind w:firstLine="420"/>
        <w:jc w:val="left"/>
        <w:rPr>
          <w:rFonts w:ascii="仿宋_GB2312" w:eastAsia="仿宋_GB2312"/>
          <w:szCs w:val="21"/>
        </w:rPr>
      </w:pPr>
      <w:r>
        <w:rPr>
          <w:rFonts w:hint="eastAsia" w:ascii="仿宋_GB2312" w:eastAsia="仿宋_GB2312"/>
          <w:szCs w:val="21"/>
        </w:rPr>
        <w:t>《交银施罗德裕通纯债债券型证券投资基金托管协议》、</w:t>
      </w:r>
    </w:p>
    <w:p>
      <w:pPr>
        <w:ind w:firstLine="420"/>
        <w:jc w:val="left"/>
        <w:rPr>
          <w:rFonts w:ascii="仿宋_GB2312" w:eastAsia="仿宋_GB2312"/>
          <w:szCs w:val="21"/>
        </w:rPr>
      </w:pPr>
      <w:r>
        <w:rPr>
          <w:rFonts w:hint="eastAsia" w:ascii="仿宋_GB2312" w:eastAsia="仿宋_GB2312"/>
          <w:szCs w:val="21"/>
        </w:rPr>
        <w:t>《交银施罗德裕通纯债债券型证券投资基金招募说明书》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546DB"/>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495C03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596</Words>
  <Characters>3403</Characters>
  <Lines>28</Lines>
  <Paragraphs>7</Paragraphs>
  <TotalTime>0</TotalTime>
  <ScaleCrop>false</ScaleCrop>
  <LinksUpToDate>false</LinksUpToDate>
  <CharactersWithSpaces>3992</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2026-05-20T01:38:00Z</dcterms:created>
  <dc:creator>Cc</dc:creator>
  <cp:lastModifiedBy>haotingting</cp:lastModifiedBy>
  <dcterms:modified xsi:type="dcterms:W3CDTF">2026-05-22T08:08:49Z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1030E33E01404BF6A9FD19B2CE72C73C</vt:lpwstr>
  </property>
</Properties>
</file>