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交银施罗德天益宝货币市场基金（E类份额）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交银天益宝货币E</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003969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2016-12-20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2016-12-20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pPr>
              <w:ind w:firstLine="420"/>
              <w:jc w:val="left"/>
              <w:rPr>
                <w:rFonts w:ascii="仿宋_GB2312" w:eastAsia="仿宋_GB2312"/>
                <w:szCs w:val="21"/>
              </w:rPr>
            </w:pPr>
            <w:r>
              <w:rPr>
                <w:rFonts w:hint="eastAsia" w:ascii="仿宋_GB2312" w:eastAsia="仿宋_GB2312"/>
                <w:szCs w:val="21"/>
              </w:rPr>
              <w:t>如法律法规或监管机构以后允许货币市场基金投资其他金融工具，基金管理人在履行适当程序后，可以将其纳入投资范围，其投资比例遵循届时有效法律法规或相关规定。</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活期存款利率（税后）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详见《交银施罗德天益宝货币市场基金招募说明书》“基金的投资”。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2、本基金合同于2016年12月20日生效，合同生效当年净值收益率按实际存续期计算；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0.01%</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5、货币市场基金的特定风险</w:t>
      </w:r>
    </w:p>
    <w:p>
      <w:pPr>
        <w:ind w:firstLine="420"/>
        <w:jc w:val="left"/>
        <w:rPr>
          <w:rFonts w:ascii="仿宋_GB2312" w:eastAsia="仿宋_GB2312"/>
          <w:szCs w:val="21"/>
        </w:rPr>
      </w:pPr>
      <w:r>
        <w:rPr>
          <w:rFonts w:hint="eastAsia" w:ascii="仿宋_GB2312" w:eastAsia="仿宋_GB2312"/>
          <w:szCs w:val="21"/>
        </w:rPr>
        <w:t>（1）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pPr>
        <w:ind w:firstLine="420"/>
        <w:jc w:val="left"/>
        <w:rPr>
          <w:rFonts w:ascii="仿宋_GB2312" w:eastAsia="仿宋_GB2312"/>
          <w:szCs w:val="21"/>
        </w:rPr>
      </w:pPr>
      <w:r>
        <w:rPr>
          <w:rFonts w:hint="eastAsia" w:ascii="仿宋_GB2312" w:eastAsia="仿宋_GB2312"/>
          <w:szCs w:val="21"/>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pPr>
        <w:ind w:firstLine="420"/>
        <w:jc w:val="left"/>
        <w:rPr>
          <w:rFonts w:ascii="仿宋_GB2312" w:eastAsia="仿宋_GB2312"/>
          <w:szCs w:val="21"/>
        </w:rPr>
      </w:pPr>
      <w:r>
        <w:rPr>
          <w:rFonts w:hint="eastAsia" w:ascii="仿宋_GB2312" w:eastAsia="仿宋_GB2312"/>
          <w:szCs w:val="21"/>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●《交银施罗德天益宝货币市场基金基金合同》、</w:t>
      </w:r>
    </w:p>
    <w:p>
      <w:pPr>
        <w:ind w:firstLine="420"/>
        <w:jc w:val="left"/>
        <w:rPr>
          <w:rFonts w:ascii="仿宋_GB2312" w:eastAsia="仿宋_GB2312"/>
          <w:szCs w:val="21"/>
        </w:rPr>
      </w:pPr>
      <w:r>
        <w:rPr>
          <w:rFonts w:hint="eastAsia" w:ascii="仿宋_GB2312" w:eastAsia="仿宋_GB2312"/>
          <w:szCs w:val="21"/>
        </w:rPr>
        <w:t>《交银施罗德天益宝货币市场基金托管协议》、</w:t>
      </w:r>
    </w:p>
    <w:p>
      <w:pPr>
        <w:ind w:firstLine="420"/>
        <w:jc w:val="left"/>
        <w:rPr>
          <w:rFonts w:ascii="仿宋_GB2312" w:eastAsia="仿宋_GB2312"/>
          <w:szCs w:val="21"/>
        </w:rPr>
      </w:pPr>
      <w:r>
        <w:rPr>
          <w:rFonts w:hint="eastAsia" w:ascii="仿宋_GB2312" w:eastAsia="仿宋_GB2312"/>
          <w:szCs w:val="21"/>
        </w:rPr>
        <w:t>《交银施罗德天益宝货币市场基金招募说明书》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02F7A"/>
    <w:rsid w:val="00C0525C"/>
    <w:rsid w:val="00CD7637"/>
    <w:rsid w:val="00D04A15"/>
    <w:rsid w:val="00D373CC"/>
    <w:rsid w:val="00DB319C"/>
    <w:rsid w:val="00E51B6D"/>
    <w:rsid w:val="00F75715"/>
    <w:rsid w:val="00F811C4"/>
    <w:rsid w:val="00FC2918"/>
    <w:rsid w:val="05006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572</Words>
  <Characters>3263</Characters>
  <Lines>27</Lines>
  <Paragraphs>7</Paragraphs>
  <TotalTime>0</TotalTime>
  <ScaleCrop>false</ScaleCrop>
  <LinksUpToDate>false</LinksUpToDate>
  <CharactersWithSpaces>3828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2026-05-22T08:00:54Z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AACBA7E7E91646DB8F10015C73B3D113</vt:lpwstr>
  </property>
</Properties>
</file>