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交银施罗德增利增强债券型证券投资基金（C类份额）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交银增利增强债券C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004428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2017-06-02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2018-11-02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本基金以债券投资为主，通过自上而下进行宏观分析，自下而上精选个券，在严格控制风险的前提下，力争实现基金资产的长期稳定增值。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存托凭证)、权证等权益类品种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的比例不低于基金资产的80%；对股票（含存托凭证）、权证等权益类资产的投资比例不高于基金资产净值的20%；现金或到期日在一年以内的政府债券的投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本基金通过参与一级市场新股申购、股票增发，以及因所持股票进行股票配售及派发所形成的股票不超过基金资产净值的20%，通过二级市场买入股票（含存托凭证）、权证等权益类资产不高于基金资产净值的5%。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大类资产比例。本基金自上而下决定债券组合久期、期限结构配置及债券类属配置；在严谨深入的信用分析基础上，综合考量信用债券的信用评级，以及各类债券的流动性、供求关系和收益率水平等，自下而上地精选个券。通过综合运用骑乘操作、套利操作等策略，提高投资组合收益。此外，本基金深度关注股票、权证市场的运行状况与相应风险收益特征，在严格控制基金资产运作风险的前提下，有效把握投资机会，适时增强组合收益。</w:t>
            </w:r>
          </w:p>
          <w:p>
            <w:pPr>
              <w:ind w:firstLine="420"/>
              <w:jc w:val="left"/>
              <w:rPr>
                <w:rFonts w:ascii="仿宋_GB2312" w:eastAsia="仿宋_GB2312"/>
                <w:szCs w:val="21"/>
              </w:rPr>
            </w:pPr>
            <w:r>
              <w:rPr>
                <w:rFonts w:hint="eastAsia" w:ascii="仿宋_GB2312" w:eastAsia="仿宋_GB2312"/>
                <w:szCs w:val="21"/>
              </w:rPr>
              <w:t>1、资产配置策略；2、债券投资策略；3、股票投资策略；4、权证投资策略。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详见《交银施罗德增利增强债券型证券投资基金招募说明书》“基金的投资”。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2、本基金合同于2017年6月2日生效，合同生效当年净值增长率按实际存续期计算；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1.22%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（1）本基金为债券型基金，固定收益类资产的比例不低于基金资产净值的80%，因投资固定收益类资产而面临的固定收益类资产市场的系统性风险和个券风险；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（3）本基金在主要投资于固定收益类资产的同时也积极关注股票、权证市场的投资机会，会因投资权益类资产而面临的权益类资产市场的系统性风险和个券风险。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●《交银施罗德增利增强债券型证券投资基金基金合同》、</w:t>
      </w:r>
    </w:p>
    <w:p>
      <w:pPr>
        <w:ind w:firstLine="420"/>
        <w:jc w:val="left"/>
        <w:rPr>
          <w:rFonts w:ascii="仿宋_GB2312" w:eastAsia="仿宋_GB2312"/>
          <w:szCs w:val="21"/>
        </w:rPr>
      </w:pPr>
      <w:r>
        <w:rPr>
          <w:rFonts w:hint="eastAsia" w:ascii="仿宋_GB2312" w:eastAsia="仿宋_GB2312"/>
          <w:szCs w:val="21"/>
        </w:rPr>
        <w:t>《交银施罗德增利增强债券型证券投资基金托管协议》、</w:t>
      </w:r>
    </w:p>
    <w:p>
      <w:pPr>
        <w:ind w:firstLine="420"/>
        <w:jc w:val="left"/>
        <w:rPr>
          <w:rFonts w:ascii="仿宋_GB2312" w:eastAsia="仿宋_GB2312"/>
          <w:szCs w:val="21"/>
        </w:rPr>
      </w:pPr>
      <w:r>
        <w:rPr>
          <w:rFonts w:hint="eastAsia" w:ascii="仿宋_GB2312" w:eastAsia="仿宋_GB2312"/>
          <w:szCs w:val="21"/>
        </w:rPr>
        <w:t>《交银施罗德增利增强债券型证券投资基金招募说明书》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4B582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5CC05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676</Words>
  <Characters>3854</Characters>
  <Lines>32</Lines>
  <Paragraphs>9</Paragraphs>
  <TotalTime>0</TotalTime>
  <ScaleCrop>false</ScaleCrop>
  <LinksUpToDate>false</LinksUpToDate>
  <CharactersWithSpaces>4521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2026-05-20T01:34:00Z</dcterms:created>
  <dc:creator>Cc</dc:creator>
  <cp:lastModifiedBy>haotingting</cp:lastModifiedBy>
  <dcterms:modified xsi:type="dcterms:W3CDTF">2026-05-22T08:14:18Z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BEF84C2E68A248A486F2E136973AE18C</vt:lpwstr>
  </property>
</Properties>
</file>