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交银施罗德180天持有期债券型证券投资基金（A类份额）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交银180天持有期债券A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023582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每个开放日开放申购，每份基金份额最短持有期限为180天，在最短持有期限内不可赎回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债券（含国债、金融债、央行票据、地方政府债、政府支持债、政府支持机构债、企业债、公司债、可转换债券（含可分离交易可转换债券）、可交换公司债券、公开发行的次级债、短期融资券、超短期融资券、中期票据）、资产支持证券、债券回购、银行存款（包括定期存款、协议存款、通知存款等）、同业存单、货币市场工具、国债期货、信用衍生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不直接投资于股票等权益类资产，但可参与可转换债券（含可分离交易可转换债券）、可交换公司债券的投资。因所持可转换债券转股、可交换公司债券换股所形成的股票，本基金将在其可交易之日起的10个交易日内卖出。</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组合比例为：本基金投资于债券资产的比例不低于基金资产的80%，投资于可转换债券（含可分离交易可转换债券）、可交换公司债券的比例合计不超过基金资产的20%；每个交易日日终在扣除国债期货合约需缴纳的交易保证金后，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债券投资策略：（1）久期调整策略；（2）债券的类属配置策略；（3）期限结构配置策略；（4）回购策略；（5）信用债券（含资产支持证券）投资策略；（6）可转换债券（含可分离交易可转换债券）与可交换公司债券投资策略；2、国债期货投资策略；3、信用衍生品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中债综合全价指数收益率×90%+人民币活期存款利率(税后)×10%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本基金是一只债券型基金，其预期风险与预期收益理论上高于货币市场基金，低于混合型基金和股票型基金。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详见《交银施罗德180天持有期债券型证券投资基金招募说明书》“基金的投资”。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0.7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499.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2、本基金合同于2025年7月18日生效，合同生效当年净值增长率按实际存续期计算。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180天，最短持有期限届满后，本基金不收取赎回费。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hint="eastAsia" w:ascii="仿宋_GB2312" w:eastAsia="仿宋_GB2312"/>
          <w:b/>
          <w:szCs w:val="21"/>
        </w:rPr>
      </w:pPr>
      <w:r>
        <w:rPr>
          <w:rFonts w:hint="eastAsia" w:ascii="仿宋_GB2312" w:eastAsia="仿宋_GB2312"/>
          <w:b/>
          <w:szCs w:val="21"/>
        </w:rPr>
        <w:t>（三）基金运作综合费用测算</w:t>
      </w:r>
    </w:p>
    <w:p>
      <w:pPr>
        <w:jc w:val="left"/>
        <w:rPr>
          <w:rFonts w:hint="eastAsia" w:ascii="仿宋_GB2312" w:eastAsia="仿宋_GB2312"/>
          <w:szCs w:val="21"/>
        </w:rPr>
      </w:pPr>
      <w:r>
        <w:rPr>
          <w:rFonts w:hint="eastAsia" w:ascii="仿宋_GB2312" w:eastAsia="仿宋_GB2312"/>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0.27%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本基金每份基金份额的最短持有期限为180天，在最短持有期限内该份基金份额不可赎回，自最短持有期限届满日起（含该日）可赎回。即：自基金合同生效日（对认购份额而言）、基金份额申购确认日（对申购份额而言）起的第180天起（含当日，如为非工作日则顺延至下一工作日），投资者方可提出赎回申请。对于基金份额持有人而言，存在投资本基金后180天内无法赎回的风险；</w:t>
      </w:r>
    </w:p>
    <w:p>
      <w:pPr>
        <w:ind w:firstLine="420"/>
        <w:jc w:val="left"/>
        <w:rPr>
          <w:rFonts w:ascii="仿宋_GB2312" w:eastAsia="仿宋_GB2312"/>
          <w:szCs w:val="21"/>
        </w:rPr>
      </w:pPr>
      <w:r>
        <w:rPr>
          <w:rFonts w:hint="eastAsia" w:ascii="仿宋_GB2312" w:eastAsia="仿宋_GB2312"/>
          <w:szCs w:val="21"/>
        </w:rPr>
        <w:t>（3）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6、投资国债期货的特定风险</w:t>
      </w:r>
    </w:p>
    <w:p>
      <w:pPr>
        <w:ind w:firstLine="420"/>
        <w:jc w:val="left"/>
        <w:rPr>
          <w:rFonts w:ascii="仿宋_GB2312" w:eastAsia="仿宋_GB2312"/>
          <w:szCs w:val="21"/>
        </w:rPr>
      </w:pPr>
      <w:r>
        <w:rPr>
          <w:rFonts w:hint="eastAsia" w:ascii="仿宋_GB2312" w:eastAsia="仿宋_GB2312"/>
          <w:szCs w:val="21"/>
        </w:rPr>
        <w:t>本基金可投资国债期货，国债期货的投资可能给本基金带来额外风险。国债期货的投资可能面临市场风险、基差风险、流动性风险。市场风险是因期货市场价格波动使所持有的期货合约价值发生变化的风险。基差风险是期货市场的特有风险之一，是指由于期货与现货之间价差的波动，影响套期保值或套利效果，使之发生意外损益的风险。流动性风险可分为两类：一类为流通量风险，是指期货合约无法及时以所希望的价格建立或了结头寸的风险，此类风险往往是由市场缺乏广度或深度导致的；另一类为资金量风险，是指资金量无法满足保证金要求，使得所持有的头寸面临被强制平仓的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8、信用衍生品投资风险</w:t>
      </w:r>
    </w:p>
    <w:p>
      <w:pPr>
        <w:ind w:firstLine="420"/>
        <w:jc w:val="left"/>
        <w:rPr>
          <w:rFonts w:ascii="仿宋_GB2312" w:eastAsia="仿宋_GB2312"/>
          <w:szCs w:val="21"/>
        </w:rPr>
      </w:pPr>
      <w:r>
        <w:rPr>
          <w:rFonts w:hint="eastAsia" w:ascii="仿宋_GB2312" w:eastAsia="仿宋_GB2312"/>
          <w:szCs w:val="21"/>
        </w:rPr>
        <w:t>为对冲信用风险，本基金可能投资于信用衍生品，若投资信用衍生品可能面临流动性风险、偿付风险以及价格波动风险等。流动性风险是指信用衍生品在交易转让过程中，因无法找到交易对手或交易对手较少，导致难以将其以合理价格变现的风险。偿付风险是在信用衍生品的存续期内，由于不可控制的市场及环境变化，创设机构可能出现经营情况不佳，或创设机构的现金流与预期出现一定的偏差，从而影响信用衍生品结算的风险。价格波动风险是由于创设机构或所受保护债券主体，经营情况或利率环境出现变化，引起信用衍生品交易价格波动的风险。</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●《交银施罗德180天持有期债券型证券投资基金基金合同》、</w:t>
      </w:r>
    </w:p>
    <w:p>
      <w:pPr>
        <w:ind w:firstLine="420"/>
        <w:jc w:val="left"/>
        <w:rPr>
          <w:rFonts w:ascii="仿宋_GB2312" w:eastAsia="仿宋_GB2312"/>
          <w:szCs w:val="21"/>
        </w:rPr>
      </w:pPr>
      <w:r>
        <w:rPr>
          <w:rFonts w:hint="eastAsia" w:ascii="仿宋_GB2312" w:eastAsia="仿宋_GB2312"/>
          <w:szCs w:val="21"/>
        </w:rPr>
        <w:t>《交银施罗德180天持有期债券型证券投资基金托管协议》、</w:t>
      </w:r>
    </w:p>
    <w:p>
      <w:pPr>
        <w:ind w:firstLine="420"/>
        <w:jc w:val="left"/>
        <w:rPr>
          <w:rFonts w:ascii="仿宋_GB2312" w:eastAsia="仿宋_GB2312"/>
          <w:szCs w:val="21"/>
        </w:rPr>
      </w:pPr>
      <w:r>
        <w:rPr>
          <w:rFonts w:hint="eastAsia" w:ascii="仿宋_GB2312" w:eastAsia="仿宋_GB2312"/>
          <w:szCs w:val="21"/>
        </w:rPr>
        <w:t>《交银施罗德180天持有期债券型证券投资基金招募说明书》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819A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4EFC7EE4"/>
    <w:rsid w:val="60FB6201"/>
    <w:rsid w:val="62436C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728</Words>
  <Characters>4155</Characters>
  <Lines>34</Lines>
  <Paragraphs>9</Paragraphs>
  <TotalTime>10</TotalTime>
  <ScaleCrop>false</ScaleCrop>
  <LinksUpToDate>false</LinksUpToDate>
  <CharactersWithSpaces>4874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2026-05-20T01:39:00Z</dcterms:created>
  <dc:creator>Cc</dc:creator>
  <cp:lastModifiedBy>haotingting</cp:lastModifiedBy>
  <dcterms:modified xsi:type="dcterms:W3CDTF">2026-05-21T01:33:11Z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208E243541114520A0596615FC1C8028</vt:lpwstr>
  </property>
</Properties>
</file>