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交银施罗德核心资产混合型证券投资基金（C类份额）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交银核心资产混合C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020523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陈俊华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2019-01-18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2005-03-10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本基金主要投资于具有核心资产的上市公司，在合理控制风险并保持基金资产良好流动性的前提下，力争实现基金资产的长期稳定增值。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内地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50%-95%(其中，投资于内地依法发行上市的股票的比例占基金资产的50-95%，投资于港股通标的股票的比例占股票资产的0-50%)，其中投资于核心资产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1、大类资产配置；2、股票投资策略；3、债券投资策略；4、权证投资策略；5、资产支持证券投资策略；6、股指期货投资策略。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沪深300指数收益率×50%+恒生指数收益率×30%+中证综合债券指数收益率×20%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详见《交银施罗德核心资产混合型证券投资基金招募说明书》“基金的投资”。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2、本基金自2024年1月9日起，开始销售C类份额，基金份额类别首次确认当年净值增长率按实际存续期计算。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2.19%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（3）投资主题风险</w:t>
      </w:r>
    </w:p>
    <w:p>
      <w:pPr>
        <w:ind w:firstLine="420"/>
        <w:jc w:val="left"/>
        <w:rPr>
          <w:rFonts w:ascii="仿宋_GB2312" w:eastAsia="仿宋_GB2312"/>
          <w:szCs w:val="21"/>
        </w:rPr>
      </w:pPr>
      <w:r>
        <w:rPr>
          <w:rFonts w:hint="eastAsia" w:ascii="仿宋_GB2312" w:eastAsia="仿宋_GB2312"/>
          <w:szCs w:val="21"/>
        </w:rPr>
        <w:t>本基金投资于核心资产主题相关证券的比例不低于非现金基金资产的 80%，因此本基金的股票投资业绩与本基金界定的具有核心资产的公司发行证券的相关性较大，需承担相应风险。</w:t>
      </w:r>
    </w:p>
    <w:p>
      <w:pPr>
        <w:ind w:firstLine="420"/>
        <w:jc w:val="left"/>
        <w:rPr>
          <w:rFonts w:ascii="仿宋_GB2312" w:eastAsia="仿宋_GB2312"/>
          <w:szCs w:val="21"/>
        </w:rPr>
      </w:pPr>
      <w:r>
        <w:rPr>
          <w:rFonts w:hint="eastAsia" w:ascii="仿宋_GB2312" w:eastAsia="仿宋_GB2312"/>
          <w:szCs w:val="21"/>
        </w:rPr>
        <w:t>（4）本基金可投资港股通标的股票，会面临港股通机制下因投资环境、投资标的、市场制度以及交易规则等差异带来的特有风险，包括：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●《交银施罗德核心资产混合型证券投资基金基金合同》、</w:t>
      </w:r>
    </w:p>
    <w:p>
      <w:pPr>
        <w:ind w:firstLine="420"/>
        <w:jc w:val="left"/>
        <w:rPr>
          <w:rFonts w:ascii="仿宋_GB2312" w:eastAsia="仿宋_GB2312"/>
          <w:szCs w:val="21"/>
        </w:rPr>
      </w:pPr>
      <w:r>
        <w:rPr>
          <w:rFonts w:hint="eastAsia" w:ascii="仿宋_GB2312" w:eastAsia="仿宋_GB2312"/>
          <w:szCs w:val="21"/>
        </w:rPr>
        <w:t>《交银施罗德核心资产混合型证券投资基金托管协议》、</w:t>
      </w:r>
    </w:p>
    <w:p>
      <w:pPr>
        <w:ind w:firstLine="420"/>
        <w:jc w:val="left"/>
        <w:rPr>
          <w:rFonts w:ascii="仿宋_GB2312" w:eastAsia="仿宋_GB2312"/>
          <w:szCs w:val="21"/>
        </w:rPr>
      </w:pPr>
      <w:r>
        <w:rPr>
          <w:rFonts w:hint="eastAsia" w:ascii="仿宋_GB2312" w:eastAsia="仿宋_GB2312"/>
          <w:szCs w:val="21"/>
        </w:rPr>
        <w:t>《交银施罗德核心资产混合型证券投资基金招募说明书》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91415"/>
    <w:rsid w:val="00C0525C"/>
    <w:rsid w:val="00CD7637"/>
    <w:rsid w:val="00D04A15"/>
    <w:rsid w:val="00D373CC"/>
    <w:rsid w:val="00DB319C"/>
    <w:rsid w:val="00E51B6D"/>
    <w:rsid w:val="00F75715"/>
    <w:rsid w:val="00F811C4"/>
    <w:rsid w:val="00FC2918"/>
    <w:rsid w:val="06822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778</Words>
  <Characters>4439</Characters>
  <Lines>36</Lines>
  <Paragraphs>10</Paragraphs>
  <TotalTime>0</TotalTime>
  <ScaleCrop>false</ScaleCrop>
  <LinksUpToDate>false</LinksUpToDate>
  <CharactersWithSpaces>5207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2026-05-21T06:31:22Z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597BF542B8FD4BBBB864459A7A313A6D</vt:lpwstr>
  </property>
</Properties>
</file>