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36499D">
      <w:pPr>
        <w:rPr>
          <w:sz w:val="32"/>
        </w:rPr>
      </w:pPr>
    </w:p>
    <w:p w:rsidR="00C92FC0" w:rsidRPr="00EB07BC" w:rsidRDefault="0036499D">
      <w:pPr>
        <w:rPr>
          <w:sz w:val="32"/>
        </w:rPr>
      </w:pPr>
    </w:p>
    <w:p w:rsidR="00C92FC0" w:rsidRPr="00EB07BC" w:rsidRDefault="0036499D">
      <w:pPr>
        <w:rPr>
          <w:sz w:val="32"/>
        </w:rPr>
      </w:pPr>
    </w:p>
    <w:p w:rsidR="00D704E1" w:rsidRDefault="00D704E1">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D704E1" w:rsidRDefault="00D704E1">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D704E1" w:rsidRDefault="00D704E1">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D704E1" w:rsidRDefault="009E4ED0">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交银施罗德纯债债券型发起式证券投资基金</w:t>
      </w:r>
    </w:p>
    <w:p w:rsidR="00D704E1" w:rsidRDefault="009E4ED0">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D704E1" w:rsidRDefault="00D704E1">
      <w:pPr>
        <w:snapToGrid w:val="0"/>
        <w:spacing w:line="360" w:lineRule="auto"/>
        <w:jc w:val="center"/>
        <w:rPr>
          <w:rFonts w:ascii="宋体" w:hAnsi="宋体"/>
          <w:b/>
          <w:sz w:val="30"/>
          <w:szCs w:val="30"/>
        </w:rPr>
      </w:pPr>
    </w:p>
    <w:p w:rsidR="00D704E1" w:rsidRDefault="00D704E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704E1" w:rsidRDefault="00D704E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704E1" w:rsidRDefault="00D704E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704E1" w:rsidRDefault="00D704E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704E1" w:rsidRDefault="00D704E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704E1" w:rsidRDefault="00D704E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704E1" w:rsidRDefault="009E4ED0">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D704E1" w:rsidRDefault="009E4ED0">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D704E1" w:rsidRDefault="00D704E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704E1" w:rsidRDefault="00D704E1">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D704E1" w:rsidRDefault="009E4ED0">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二〇二六年五月</w:t>
      </w:r>
    </w:p>
    <w:p w:rsidR="00D704E1" w:rsidRDefault="00D704E1">
      <w:pPr>
        <w:autoSpaceDE w:val="0"/>
        <w:autoSpaceDN w:val="0"/>
        <w:adjustRightInd w:val="0"/>
        <w:snapToGrid w:val="0"/>
        <w:spacing w:line="360" w:lineRule="auto"/>
        <w:ind w:left="1347" w:rightChars="6" w:right="13"/>
        <w:rPr>
          <w:rFonts w:ascii="宋体" w:hAnsi="宋体"/>
          <w:kern w:val="0"/>
          <w:sz w:val="32"/>
          <w:szCs w:val="32"/>
        </w:rPr>
        <w:sectPr w:rsidR="00D704E1">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D704E1" w:rsidRDefault="009E4ED0">
      <w:pPr>
        <w:pStyle w:val="1"/>
        <w:snapToGrid w:val="0"/>
        <w:spacing w:beforeLines="0" w:before="240" w:after="240"/>
        <w:rPr>
          <w:rFonts w:ascii="宋体" w:hAnsi="宋体"/>
          <w:kern w:val="0"/>
        </w:rPr>
      </w:pPr>
      <w:bookmarkStart w:id="0" w:name="_Toc324920538"/>
      <w:bookmarkStart w:id="1" w:name="_Toc496884613"/>
      <w:bookmarkStart w:id="2" w:name="_Toc231197008"/>
      <w:r>
        <w:rPr>
          <w:rFonts w:ascii="Times New Roman" w:hAnsi="Times New Roman"/>
          <w:kern w:val="0"/>
        </w:rPr>
        <w:lastRenderedPageBreak/>
        <w:t>重要提示</w:t>
      </w:r>
      <w:bookmarkEnd w:id="0"/>
      <w:bookmarkEnd w:id="1"/>
      <w:bookmarkEnd w:id="2"/>
    </w:p>
    <w:p w:rsidR="00D704E1" w:rsidRDefault="009E4ED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交银施罗德纯债债券型发起式证券投资基金（以下简称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2012</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25</w:t>
      </w:r>
      <w:r>
        <w:rPr>
          <w:rFonts w:ascii="Times New Roman" w:hAnsi="Times New Roman"/>
          <w:kern w:val="0"/>
          <w:sz w:val="24"/>
        </w:rPr>
        <w:t>日中国证券监督管理委员会证监许可【</w:t>
      </w:r>
      <w:r>
        <w:rPr>
          <w:rFonts w:ascii="Times New Roman" w:hAnsi="Times New Roman"/>
          <w:kern w:val="0"/>
          <w:sz w:val="24"/>
        </w:rPr>
        <w:t>2012</w:t>
      </w:r>
      <w:r>
        <w:rPr>
          <w:rFonts w:ascii="Times New Roman" w:hAnsi="Times New Roman"/>
          <w:kern w:val="0"/>
          <w:sz w:val="24"/>
        </w:rPr>
        <w:t>】</w:t>
      </w:r>
      <w:r>
        <w:rPr>
          <w:rFonts w:ascii="Times New Roman" w:hAnsi="Times New Roman"/>
          <w:kern w:val="0"/>
          <w:sz w:val="24"/>
        </w:rPr>
        <w:t>1287</w:t>
      </w:r>
      <w:r>
        <w:rPr>
          <w:rFonts w:ascii="Times New Roman" w:hAnsi="Times New Roman"/>
          <w:kern w:val="0"/>
          <w:sz w:val="24"/>
        </w:rPr>
        <w:t>号文核准募集。本基金基金合同于</w:t>
      </w:r>
      <w:r>
        <w:rPr>
          <w:rFonts w:ascii="Times New Roman" w:hAnsi="Times New Roman"/>
          <w:kern w:val="0"/>
          <w:sz w:val="24"/>
        </w:rPr>
        <w:t>2012</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19</w:t>
      </w:r>
      <w:r>
        <w:rPr>
          <w:rFonts w:ascii="Times New Roman" w:hAnsi="Times New Roman"/>
          <w:kern w:val="0"/>
          <w:sz w:val="24"/>
        </w:rPr>
        <w:t>日正式生效。</w:t>
      </w:r>
    </w:p>
    <w:p w:rsidR="00D704E1" w:rsidRDefault="009E4ED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rsidR="00D704E1" w:rsidRDefault="009E4ED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D704E1" w:rsidRDefault="009E4ED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者在投资本基金前，需全面认识本基金产品的风险收益特征和产品特性，充分考虑自身的风险承受能力，理性判断市场，对投资本基金的意愿、时机、数量等投资行为作出独立决策。投资者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本基金特有的其他风险等等。本基金是一只债券型基金，属于证券投资基金中中等风险的品种，其长期平均的预期收益和风险高于货币市场基金，低于混合型基金和股票型基金。</w:t>
      </w:r>
    </w:p>
    <w:p w:rsidR="00D704E1" w:rsidRDefault="009E4ED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为发起式基金，基金管理人将公平对待所管理的全部基金，基金管理人并不能保证发起式基金不发生亏损，也不能保证发起式基金的收益将优于基金管理人管理的其他非发起式基金。基金管理人运用固有资金认购本基金</w:t>
      </w:r>
      <w:r>
        <w:rPr>
          <w:rFonts w:ascii="Times New Roman" w:hAnsi="Times New Roman"/>
          <w:kern w:val="0"/>
          <w:sz w:val="24"/>
        </w:rPr>
        <w:t>1000</w:t>
      </w:r>
      <w:r>
        <w:rPr>
          <w:rFonts w:ascii="Times New Roman" w:hAnsi="Times New Roman"/>
          <w:kern w:val="0"/>
          <w:sz w:val="24"/>
        </w:rPr>
        <w:t>万元，持有期限并不低于三年。但基金管理人对本基金的发起认购，并不代表对本基金的风险或收益的任何判断、预测、推荐和保证，基金管理人认购的发起资金也并不用于对投资者投资亏损的补偿，投资者及基金管理人均自行承担投资风险。基金管理人认购的发起份额持有期限满三年后，基金管理人将根据自身情况决定是否继续持有，届时，基金管理人有可能赎回认购的本基金份额。基金合同生效之日起满</w:t>
      </w:r>
      <w:r>
        <w:rPr>
          <w:rFonts w:ascii="Times New Roman" w:hAnsi="Times New Roman"/>
          <w:kern w:val="0"/>
          <w:sz w:val="24"/>
        </w:rPr>
        <w:t>3</w:t>
      </w:r>
      <w:r>
        <w:rPr>
          <w:rFonts w:ascii="Times New Roman" w:hAnsi="Times New Roman"/>
          <w:kern w:val="0"/>
          <w:sz w:val="24"/>
        </w:rPr>
        <w:t>年后的对应日（如该对应日为非工作日，则顺延至下一个工作</w:t>
      </w:r>
      <w:r>
        <w:rPr>
          <w:rFonts w:ascii="Times New Roman" w:hAnsi="Times New Roman"/>
          <w:kern w:val="0"/>
          <w:sz w:val="24"/>
        </w:rPr>
        <w:lastRenderedPageBreak/>
        <w:t>日），若本基金的资产净值低于</w:t>
      </w:r>
      <w:r>
        <w:rPr>
          <w:rFonts w:ascii="Times New Roman" w:hAnsi="Times New Roman"/>
          <w:kern w:val="0"/>
          <w:sz w:val="24"/>
        </w:rPr>
        <w:t>2</w:t>
      </w:r>
      <w:r>
        <w:rPr>
          <w:rFonts w:ascii="Times New Roman" w:hAnsi="Times New Roman"/>
          <w:kern w:val="0"/>
          <w:sz w:val="24"/>
        </w:rPr>
        <w:t>亿元，基金合同将自动终止，且无法通过召开持有人大会延续基金合同期限，因此投资者将面临基金合同可能终止的不确定性风险。</w:t>
      </w:r>
    </w:p>
    <w:p w:rsidR="00D704E1" w:rsidRDefault="009E4ED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投资有风险，投资者在投资本基金前应认真阅读本基金的招募说明书、基金合同、基金产品资料概要。基金的过往业绩并不代表其未来表现。基金管理人管理的其他基金的业绩并不构成新基金业绩表现的保证。</w:t>
      </w:r>
    </w:p>
    <w:p w:rsidR="00D704E1" w:rsidRDefault="009E4ED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日，有关财务和业绩表现数据截止日为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日，财务和业绩表现数据未经审计。</w:t>
      </w:r>
    </w:p>
    <w:p w:rsidR="00D704E1" w:rsidRDefault="00D704E1">
      <w:pPr>
        <w:autoSpaceDE w:val="0"/>
        <w:autoSpaceDN w:val="0"/>
        <w:adjustRightInd w:val="0"/>
        <w:snapToGrid w:val="0"/>
        <w:spacing w:before="51" w:line="360" w:lineRule="auto"/>
        <w:ind w:left="120" w:rightChars="6" w:right="13" w:firstLine="480"/>
        <w:rPr>
          <w:rFonts w:ascii="宋体" w:hAnsi="宋体"/>
          <w:kern w:val="0"/>
          <w:szCs w:val="24"/>
        </w:rPr>
        <w:sectPr w:rsidR="00D704E1">
          <w:headerReference w:type="default" r:id="rId14"/>
          <w:pgSz w:w="11920" w:h="16840"/>
          <w:pgMar w:top="1440" w:right="1680" w:bottom="280" w:left="1680" w:header="0" w:footer="1073" w:gutter="0"/>
          <w:pgNumType w:start="1"/>
          <w:cols w:space="720"/>
        </w:sectPr>
      </w:pPr>
    </w:p>
    <w:p w:rsidR="0036499D" w:rsidRPr="0036499D" w:rsidRDefault="009E4ED0" w:rsidP="0036499D">
      <w:pPr>
        <w:pStyle w:val="ad"/>
        <w:snapToGrid w:val="0"/>
        <w:spacing w:after="240" w:line="360" w:lineRule="auto"/>
        <w:jc w:val="center"/>
        <w:rPr>
          <w:rFonts w:ascii="宋体" w:hAnsi="宋体"/>
          <w:noProof/>
          <w:sz w:val="24"/>
        </w:rPr>
      </w:pPr>
      <w:r w:rsidRPr="0036499D">
        <w:rPr>
          <w:rFonts w:ascii="宋体" w:hAnsi="宋体"/>
          <w:color w:val="000000"/>
          <w:position w:val="-4"/>
          <w:sz w:val="24"/>
          <w:szCs w:val="30"/>
        </w:rPr>
        <w:lastRenderedPageBreak/>
        <w:t>目</w:t>
      </w:r>
      <w:r w:rsidRPr="0036499D">
        <w:rPr>
          <w:rFonts w:ascii="宋体" w:hAnsi="宋体"/>
          <w:color w:val="000000"/>
          <w:position w:val="-4"/>
          <w:sz w:val="24"/>
          <w:szCs w:val="30"/>
        </w:rPr>
        <w:tab/>
        <w:t>录</w:t>
      </w:r>
      <w:r w:rsidR="0036499D" w:rsidRPr="0036499D">
        <w:rPr>
          <w:rFonts w:ascii="宋体" w:hAnsi="宋体"/>
          <w:color w:val="000000"/>
          <w:position w:val="-4"/>
          <w:sz w:val="24"/>
          <w:szCs w:val="30"/>
        </w:rPr>
        <w:fldChar w:fldCharType="begin"/>
      </w:r>
      <w:r w:rsidR="0036499D" w:rsidRPr="0036499D">
        <w:rPr>
          <w:rFonts w:ascii="宋体" w:hAnsi="宋体"/>
          <w:color w:val="000000"/>
          <w:position w:val="-4"/>
          <w:sz w:val="24"/>
          <w:szCs w:val="30"/>
        </w:rPr>
        <w:instrText xml:space="preserve"> TOC \o "1-3" \f - \h \t "-1" </w:instrText>
      </w:r>
      <w:r w:rsidR="0036499D" w:rsidRPr="0036499D">
        <w:rPr>
          <w:rFonts w:ascii="宋体" w:hAnsi="宋体"/>
          <w:color w:val="000000"/>
          <w:position w:val="-4"/>
          <w:sz w:val="24"/>
          <w:szCs w:val="30"/>
        </w:rPr>
        <w:fldChar w:fldCharType="separate"/>
      </w:r>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08" w:history="1">
        <w:r w:rsidRPr="0036499D">
          <w:rPr>
            <w:rStyle w:val="aa"/>
            <w:rFonts w:ascii="宋体" w:hAnsi="宋体" w:hint="eastAsia"/>
            <w:noProof/>
            <w:kern w:val="0"/>
            <w:sz w:val="24"/>
          </w:rPr>
          <w:t>重要提示</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_Toc231197008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1</w:t>
        </w:r>
        <w:r w:rsidRPr="0036499D">
          <w:rPr>
            <w:rFonts w:ascii="宋体" w:hAnsi="宋体"/>
            <w:noProof/>
            <w:sz w:val="24"/>
          </w:rPr>
          <w:fldChar w:fldCharType="end"/>
        </w:r>
      </w:hyperlink>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09" w:history="1">
        <w:r w:rsidRPr="0036499D">
          <w:rPr>
            <w:rStyle w:val="aa"/>
            <w:rFonts w:ascii="宋体" w:hAnsi="宋体" w:hint="eastAsia"/>
            <w:noProof/>
            <w:sz w:val="24"/>
          </w:rPr>
          <w:t>一、绪言</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_Toc231197009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4</w:t>
        </w:r>
        <w:r w:rsidRPr="0036499D">
          <w:rPr>
            <w:rFonts w:ascii="宋体" w:hAnsi="宋体"/>
            <w:noProof/>
            <w:sz w:val="24"/>
          </w:rPr>
          <w:fldChar w:fldCharType="end"/>
        </w:r>
      </w:hyperlink>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10" w:history="1">
        <w:r w:rsidRPr="0036499D">
          <w:rPr>
            <w:rStyle w:val="aa"/>
            <w:rFonts w:ascii="宋体" w:hAnsi="宋体" w:hint="eastAsia"/>
            <w:noProof/>
            <w:sz w:val="24"/>
          </w:rPr>
          <w:t>二、释义</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_Toc231197010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5</w:t>
        </w:r>
        <w:r w:rsidRPr="0036499D">
          <w:rPr>
            <w:rFonts w:ascii="宋体" w:hAnsi="宋体"/>
            <w:noProof/>
            <w:sz w:val="24"/>
          </w:rPr>
          <w:fldChar w:fldCharType="end"/>
        </w:r>
      </w:hyperlink>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11" w:history="1">
        <w:r w:rsidRPr="0036499D">
          <w:rPr>
            <w:rStyle w:val="aa"/>
            <w:rFonts w:ascii="宋体" w:hAnsi="宋体" w:hint="eastAsia"/>
            <w:noProof/>
            <w:sz w:val="24"/>
          </w:rPr>
          <w:t>三、基金管理人</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_Toc231197011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11</w:t>
        </w:r>
        <w:r w:rsidRPr="0036499D">
          <w:rPr>
            <w:rFonts w:ascii="宋体" w:hAnsi="宋体"/>
            <w:noProof/>
            <w:sz w:val="24"/>
          </w:rPr>
          <w:fldChar w:fldCharType="end"/>
        </w:r>
      </w:hyperlink>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12" w:history="1">
        <w:r w:rsidRPr="0036499D">
          <w:rPr>
            <w:rStyle w:val="aa"/>
            <w:rFonts w:ascii="宋体" w:hAnsi="宋体" w:hint="eastAsia"/>
            <w:noProof/>
            <w:sz w:val="24"/>
          </w:rPr>
          <w:t>四、基金托管人</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_Toc231197012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19</w:t>
        </w:r>
        <w:r w:rsidRPr="0036499D">
          <w:rPr>
            <w:rFonts w:ascii="宋体" w:hAnsi="宋体"/>
            <w:noProof/>
            <w:sz w:val="24"/>
          </w:rPr>
          <w:fldChar w:fldCharType="end"/>
        </w:r>
      </w:hyperlink>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13" w:history="1">
        <w:r w:rsidRPr="0036499D">
          <w:rPr>
            <w:rStyle w:val="aa"/>
            <w:rFonts w:ascii="宋体" w:hAnsi="宋体" w:hint="eastAsia"/>
            <w:noProof/>
            <w:sz w:val="24"/>
          </w:rPr>
          <w:t>五、相关服务机构</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_Toc231197013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22</w:t>
        </w:r>
        <w:r w:rsidRPr="0036499D">
          <w:rPr>
            <w:rFonts w:ascii="宋体" w:hAnsi="宋体"/>
            <w:noProof/>
            <w:sz w:val="24"/>
          </w:rPr>
          <w:fldChar w:fldCharType="end"/>
        </w:r>
      </w:hyperlink>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14" w:history="1">
        <w:r w:rsidRPr="0036499D">
          <w:rPr>
            <w:rStyle w:val="aa"/>
            <w:rFonts w:ascii="宋体" w:hAnsi="宋体" w:hint="eastAsia"/>
            <w:noProof/>
            <w:sz w:val="24"/>
          </w:rPr>
          <w:t>六、基金的历史沿革</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_Toc231197014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58</w:t>
        </w:r>
        <w:r w:rsidRPr="0036499D">
          <w:rPr>
            <w:rFonts w:ascii="宋体" w:hAnsi="宋体"/>
            <w:noProof/>
            <w:sz w:val="24"/>
          </w:rPr>
          <w:fldChar w:fldCharType="end"/>
        </w:r>
      </w:hyperlink>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15" w:history="1">
        <w:r w:rsidRPr="0036499D">
          <w:rPr>
            <w:rStyle w:val="aa"/>
            <w:rFonts w:ascii="宋体" w:hAnsi="宋体" w:hint="eastAsia"/>
            <w:noProof/>
            <w:sz w:val="24"/>
          </w:rPr>
          <w:t>七</w:t>
        </w:r>
        <w:r w:rsidRPr="0036499D">
          <w:rPr>
            <w:rStyle w:val="aa"/>
            <w:rFonts w:ascii="宋体" w:hAnsi="宋体"/>
            <w:noProof/>
            <w:sz w:val="24"/>
          </w:rPr>
          <w:t xml:space="preserve"> </w:t>
        </w:r>
        <w:r w:rsidRPr="0036499D">
          <w:rPr>
            <w:rStyle w:val="aa"/>
            <w:rFonts w:ascii="宋体" w:hAnsi="宋体" w:hint="eastAsia"/>
            <w:noProof/>
            <w:sz w:val="24"/>
          </w:rPr>
          <w:t>、基金合同的生效</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_Toc231197015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59</w:t>
        </w:r>
        <w:r w:rsidRPr="0036499D">
          <w:rPr>
            <w:rFonts w:ascii="宋体" w:hAnsi="宋体"/>
            <w:noProof/>
            <w:sz w:val="24"/>
          </w:rPr>
          <w:fldChar w:fldCharType="end"/>
        </w:r>
      </w:hyperlink>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16" w:history="1">
        <w:r w:rsidRPr="0036499D">
          <w:rPr>
            <w:rStyle w:val="aa"/>
            <w:rFonts w:ascii="宋体" w:hAnsi="宋体" w:hint="eastAsia"/>
            <w:noProof/>
            <w:sz w:val="24"/>
          </w:rPr>
          <w:t>八、基金份额的申购与赎回</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_Toc231197016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60</w:t>
        </w:r>
        <w:r w:rsidRPr="0036499D">
          <w:rPr>
            <w:rFonts w:ascii="宋体" w:hAnsi="宋体"/>
            <w:noProof/>
            <w:sz w:val="24"/>
          </w:rPr>
          <w:fldChar w:fldCharType="end"/>
        </w:r>
      </w:hyperlink>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17" w:history="1">
        <w:r w:rsidRPr="0036499D">
          <w:rPr>
            <w:rStyle w:val="aa"/>
            <w:rFonts w:ascii="宋体" w:hAnsi="宋体" w:hint="eastAsia"/>
            <w:noProof/>
            <w:sz w:val="24"/>
          </w:rPr>
          <w:t>九、基金的转换</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_Toc231197017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76</w:t>
        </w:r>
        <w:r w:rsidRPr="0036499D">
          <w:rPr>
            <w:rFonts w:ascii="宋体" w:hAnsi="宋体"/>
            <w:noProof/>
            <w:sz w:val="24"/>
          </w:rPr>
          <w:fldChar w:fldCharType="end"/>
        </w:r>
      </w:hyperlink>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18" w:history="1">
        <w:r w:rsidRPr="0036499D">
          <w:rPr>
            <w:rStyle w:val="aa"/>
            <w:rFonts w:ascii="宋体" w:hAnsi="宋体" w:hint="eastAsia"/>
            <w:noProof/>
            <w:sz w:val="24"/>
          </w:rPr>
          <w:t>十、基金的投资</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_Toc231197018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83</w:t>
        </w:r>
        <w:r w:rsidRPr="0036499D">
          <w:rPr>
            <w:rFonts w:ascii="宋体" w:hAnsi="宋体"/>
            <w:noProof/>
            <w:sz w:val="24"/>
          </w:rPr>
          <w:fldChar w:fldCharType="end"/>
        </w:r>
      </w:hyperlink>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19" w:history="1">
        <w:r w:rsidRPr="0036499D">
          <w:rPr>
            <w:rStyle w:val="aa"/>
            <w:rFonts w:ascii="宋体" w:hAnsi="宋体" w:hint="eastAsia"/>
            <w:noProof/>
            <w:sz w:val="24"/>
          </w:rPr>
          <w:t>十一、基金的业绩</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_Toc231197019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94</w:t>
        </w:r>
        <w:r w:rsidRPr="0036499D">
          <w:rPr>
            <w:rFonts w:ascii="宋体" w:hAnsi="宋体"/>
            <w:noProof/>
            <w:sz w:val="24"/>
          </w:rPr>
          <w:fldChar w:fldCharType="end"/>
        </w:r>
      </w:hyperlink>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20" w:history="1">
        <w:r w:rsidRPr="0036499D">
          <w:rPr>
            <w:rStyle w:val="aa"/>
            <w:rFonts w:ascii="宋体" w:hAnsi="宋体" w:hint="eastAsia"/>
            <w:noProof/>
            <w:sz w:val="24"/>
          </w:rPr>
          <w:t>十二、基金的财产</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_Toc231197020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98</w:t>
        </w:r>
        <w:r w:rsidRPr="0036499D">
          <w:rPr>
            <w:rFonts w:ascii="宋体" w:hAnsi="宋体"/>
            <w:noProof/>
            <w:sz w:val="24"/>
          </w:rPr>
          <w:fldChar w:fldCharType="end"/>
        </w:r>
      </w:hyperlink>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21" w:history="1">
        <w:r w:rsidRPr="0036499D">
          <w:rPr>
            <w:rStyle w:val="aa"/>
            <w:rFonts w:ascii="宋体" w:hAnsi="宋体" w:hint="eastAsia"/>
            <w:noProof/>
            <w:sz w:val="24"/>
          </w:rPr>
          <w:t>十三、基金资产的估值</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_Toc231197021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99</w:t>
        </w:r>
        <w:r w:rsidRPr="0036499D">
          <w:rPr>
            <w:rFonts w:ascii="宋体" w:hAnsi="宋体"/>
            <w:noProof/>
            <w:sz w:val="24"/>
          </w:rPr>
          <w:fldChar w:fldCharType="end"/>
        </w:r>
      </w:hyperlink>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22" w:history="1">
        <w:r w:rsidRPr="0036499D">
          <w:rPr>
            <w:rStyle w:val="aa"/>
            <w:rFonts w:ascii="宋体" w:hAnsi="宋体" w:hint="eastAsia"/>
            <w:noProof/>
            <w:sz w:val="24"/>
          </w:rPr>
          <w:t>十四、基金的收益与分配</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_Toc231197022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106</w:t>
        </w:r>
        <w:r w:rsidRPr="0036499D">
          <w:rPr>
            <w:rFonts w:ascii="宋体" w:hAnsi="宋体"/>
            <w:noProof/>
            <w:sz w:val="24"/>
          </w:rPr>
          <w:fldChar w:fldCharType="end"/>
        </w:r>
      </w:hyperlink>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23" w:history="1">
        <w:r w:rsidRPr="0036499D">
          <w:rPr>
            <w:rStyle w:val="aa"/>
            <w:rFonts w:ascii="宋体" w:hAnsi="宋体" w:hint="eastAsia"/>
            <w:noProof/>
            <w:sz w:val="24"/>
          </w:rPr>
          <w:t>十五、基金的费用与税收</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_Toc231197023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108</w:t>
        </w:r>
        <w:r w:rsidRPr="0036499D">
          <w:rPr>
            <w:rFonts w:ascii="宋体" w:hAnsi="宋体"/>
            <w:noProof/>
            <w:sz w:val="24"/>
          </w:rPr>
          <w:fldChar w:fldCharType="end"/>
        </w:r>
      </w:hyperlink>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24" w:history="1">
        <w:r w:rsidRPr="0036499D">
          <w:rPr>
            <w:rStyle w:val="aa"/>
            <w:rFonts w:ascii="宋体" w:hAnsi="宋体" w:hint="eastAsia"/>
            <w:noProof/>
            <w:sz w:val="24"/>
          </w:rPr>
          <w:t>十六、基金的会计与审计</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_Toc231197024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111</w:t>
        </w:r>
        <w:r w:rsidRPr="0036499D">
          <w:rPr>
            <w:rFonts w:ascii="宋体" w:hAnsi="宋体"/>
            <w:noProof/>
            <w:sz w:val="24"/>
          </w:rPr>
          <w:fldChar w:fldCharType="end"/>
        </w:r>
      </w:hyperlink>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25" w:history="1">
        <w:r w:rsidRPr="0036499D">
          <w:rPr>
            <w:rStyle w:val="aa"/>
            <w:rFonts w:ascii="宋体" w:hAnsi="宋体" w:hint="eastAsia"/>
            <w:noProof/>
            <w:sz w:val="24"/>
          </w:rPr>
          <w:t>十七、基金的信息披露</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_Toc231197025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112</w:t>
        </w:r>
        <w:r w:rsidRPr="0036499D">
          <w:rPr>
            <w:rFonts w:ascii="宋体" w:hAnsi="宋体"/>
            <w:noProof/>
            <w:sz w:val="24"/>
          </w:rPr>
          <w:fldChar w:fldCharType="end"/>
        </w:r>
      </w:hyperlink>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26" w:history="1">
        <w:r w:rsidRPr="0036499D">
          <w:rPr>
            <w:rStyle w:val="aa"/>
            <w:rFonts w:ascii="宋体" w:hAnsi="宋体" w:hint="eastAsia"/>
            <w:noProof/>
            <w:sz w:val="24"/>
          </w:rPr>
          <w:t>十八、侧袋机制</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_Toc231197026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118</w:t>
        </w:r>
        <w:r w:rsidRPr="0036499D">
          <w:rPr>
            <w:rFonts w:ascii="宋体" w:hAnsi="宋体"/>
            <w:noProof/>
            <w:sz w:val="24"/>
          </w:rPr>
          <w:fldChar w:fldCharType="end"/>
        </w:r>
      </w:hyperlink>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27" w:history="1">
        <w:r w:rsidRPr="0036499D">
          <w:rPr>
            <w:rStyle w:val="aa"/>
            <w:rFonts w:ascii="宋体" w:hAnsi="宋体" w:hint="eastAsia"/>
            <w:noProof/>
            <w:sz w:val="24"/>
          </w:rPr>
          <w:t>十九、风险揭示</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_Toc231197027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121</w:t>
        </w:r>
        <w:r w:rsidRPr="0036499D">
          <w:rPr>
            <w:rFonts w:ascii="宋体" w:hAnsi="宋体"/>
            <w:noProof/>
            <w:sz w:val="24"/>
          </w:rPr>
          <w:fldChar w:fldCharType="end"/>
        </w:r>
      </w:hyperlink>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28" w:history="1">
        <w:r w:rsidRPr="0036499D">
          <w:rPr>
            <w:rStyle w:val="aa"/>
            <w:rFonts w:ascii="宋体" w:hAnsi="宋体" w:hint="eastAsia"/>
            <w:noProof/>
            <w:sz w:val="24"/>
          </w:rPr>
          <w:t>二十、基金合同的终止与基金财产的清算</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_Toc231197028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127</w:t>
        </w:r>
        <w:r w:rsidRPr="0036499D">
          <w:rPr>
            <w:rFonts w:ascii="宋体" w:hAnsi="宋体"/>
            <w:noProof/>
            <w:sz w:val="24"/>
          </w:rPr>
          <w:fldChar w:fldCharType="end"/>
        </w:r>
      </w:hyperlink>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29" w:history="1">
        <w:r w:rsidRPr="0036499D">
          <w:rPr>
            <w:rStyle w:val="aa"/>
            <w:rFonts w:ascii="宋体" w:hAnsi="宋体" w:hint="eastAsia"/>
            <w:noProof/>
            <w:sz w:val="24"/>
          </w:rPr>
          <w:t>二十一、基金合同内容摘要</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_Toc231197029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129</w:t>
        </w:r>
        <w:r w:rsidRPr="0036499D">
          <w:rPr>
            <w:rFonts w:ascii="宋体" w:hAnsi="宋体"/>
            <w:noProof/>
            <w:sz w:val="24"/>
          </w:rPr>
          <w:fldChar w:fldCharType="end"/>
        </w:r>
      </w:hyperlink>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30" w:history="1">
        <w:r w:rsidRPr="0036499D">
          <w:rPr>
            <w:rStyle w:val="aa"/>
            <w:rFonts w:ascii="宋体" w:hAnsi="宋体" w:hint="eastAsia"/>
            <w:noProof/>
            <w:sz w:val="24"/>
          </w:rPr>
          <w:t>二十二、托管协议的内容摘要</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_Toc231197030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145</w:t>
        </w:r>
        <w:r w:rsidRPr="0036499D">
          <w:rPr>
            <w:rFonts w:ascii="宋体" w:hAnsi="宋体"/>
            <w:noProof/>
            <w:sz w:val="24"/>
          </w:rPr>
          <w:fldChar w:fldCharType="end"/>
        </w:r>
      </w:hyperlink>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31" w:history="1">
        <w:r w:rsidRPr="0036499D">
          <w:rPr>
            <w:rStyle w:val="aa"/>
            <w:rFonts w:ascii="宋体" w:hAnsi="宋体" w:hint="eastAsia"/>
            <w:noProof/>
            <w:sz w:val="24"/>
          </w:rPr>
          <w:t>二十三、对基金份额持有人的服务</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_Toc231197031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162</w:t>
        </w:r>
        <w:r w:rsidRPr="0036499D">
          <w:rPr>
            <w:rFonts w:ascii="宋体" w:hAnsi="宋体"/>
            <w:noProof/>
            <w:sz w:val="24"/>
          </w:rPr>
          <w:fldChar w:fldCharType="end"/>
        </w:r>
      </w:hyperlink>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32" w:history="1">
        <w:r w:rsidRPr="0036499D">
          <w:rPr>
            <w:rStyle w:val="aa"/>
            <w:rFonts w:ascii="宋体" w:hAnsi="宋体" w:hint="eastAsia"/>
            <w:noProof/>
            <w:sz w:val="24"/>
          </w:rPr>
          <w:t>二十四、其他应披露事项</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_Toc231197032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164</w:t>
        </w:r>
        <w:r w:rsidRPr="0036499D">
          <w:rPr>
            <w:rFonts w:ascii="宋体" w:hAnsi="宋体"/>
            <w:noProof/>
            <w:sz w:val="24"/>
          </w:rPr>
          <w:fldChar w:fldCharType="end"/>
        </w:r>
      </w:hyperlink>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33" w:history="1">
        <w:r w:rsidRPr="0036499D">
          <w:rPr>
            <w:rStyle w:val="aa"/>
            <w:rFonts w:ascii="宋体" w:hAnsi="宋体" w:hint="eastAsia"/>
            <w:noProof/>
            <w:sz w:val="24"/>
          </w:rPr>
          <w:t>二十五、招募说明书的存放及查阅方式</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_Toc231197033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168</w:t>
        </w:r>
        <w:r w:rsidRPr="0036499D">
          <w:rPr>
            <w:rFonts w:ascii="宋体" w:hAnsi="宋体"/>
            <w:noProof/>
            <w:sz w:val="24"/>
          </w:rPr>
          <w:fldChar w:fldCharType="end"/>
        </w:r>
      </w:hyperlink>
    </w:p>
    <w:p w:rsidR="0036499D" w:rsidRPr="0036499D" w:rsidRDefault="0036499D" w:rsidP="0036499D">
      <w:pPr>
        <w:pStyle w:val="10"/>
        <w:tabs>
          <w:tab w:val="right" w:leader="dot" w:pos="8550"/>
        </w:tabs>
        <w:spacing w:line="360" w:lineRule="auto"/>
        <w:rPr>
          <w:rFonts w:ascii="宋体" w:hAnsi="宋体" w:cstheme="minorBidi"/>
          <w:noProof/>
          <w:sz w:val="24"/>
        </w:rPr>
      </w:pPr>
      <w:hyperlink w:anchor="_Toc231197034" w:history="1">
        <w:r w:rsidRPr="0036499D">
          <w:rPr>
            <w:rStyle w:val="aa"/>
            <w:rFonts w:ascii="宋体" w:hAnsi="宋体" w:hint="eastAsia"/>
            <w:noProof/>
            <w:sz w:val="24"/>
          </w:rPr>
          <w:t>二十六、备查文件</w:t>
        </w:r>
        <w:r w:rsidRPr="0036499D">
          <w:rPr>
            <w:rFonts w:ascii="宋体" w:hAnsi="宋体"/>
            <w:noProof/>
            <w:sz w:val="24"/>
          </w:rPr>
          <w:tab/>
        </w:r>
        <w:r w:rsidRPr="0036499D">
          <w:rPr>
            <w:rFonts w:ascii="宋体" w:hAnsi="宋体"/>
            <w:noProof/>
            <w:sz w:val="24"/>
          </w:rPr>
          <w:fldChar w:fldCharType="begin"/>
        </w:r>
        <w:r w:rsidRPr="0036499D">
          <w:rPr>
            <w:rFonts w:ascii="宋体" w:hAnsi="宋体"/>
            <w:noProof/>
            <w:sz w:val="24"/>
          </w:rPr>
          <w:instrText xml:space="preserve"> PAGEREF _Toc231197034 \h </w:instrText>
        </w:r>
        <w:r w:rsidRPr="0036499D">
          <w:rPr>
            <w:rFonts w:ascii="宋体" w:hAnsi="宋体"/>
            <w:noProof/>
            <w:sz w:val="24"/>
          </w:rPr>
        </w:r>
        <w:r w:rsidRPr="0036499D">
          <w:rPr>
            <w:rFonts w:ascii="宋体" w:hAnsi="宋体"/>
            <w:noProof/>
            <w:sz w:val="24"/>
          </w:rPr>
          <w:fldChar w:fldCharType="separate"/>
        </w:r>
        <w:r w:rsidRPr="0036499D">
          <w:rPr>
            <w:rFonts w:ascii="宋体" w:hAnsi="宋体"/>
            <w:noProof/>
            <w:sz w:val="24"/>
          </w:rPr>
          <w:t>169</w:t>
        </w:r>
        <w:r w:rsidRPr="0036499D">
          <w:rPr>
            <w:rFonts w:ascii="宋体" w:hAnsi="宋体"/>
            <w:noProof/>
            <w:sz w:val="24"/>
          </w:rPr>
          <w:fldChar w:fldCharType="end"/>
        </w:r>
      </w:hyperlink>
    </w:p>
    <w:p w:rsidR="00D704E1" w:rsidRPr="0036499D" w:rsidRDefault="0036499D" w:rsidP="0036499D">
      <w:pPr>
        <w:pStyle w:val="ad"/>
        <w:snapToGrid w:val="0"/>
        <w:spacing w:after="240" w:line="360" w:lineRule="auto"/>
        <w:jc w:val="center"/>
        <w:rPr>
          <w:rFonts w:ascii="宋体" w:hAnsi="宋体"/>
          <w:color w:val="000000"/>
          <w:sz w:val="24"/>
        </w:rPr>
      </w:pPr>
      <w:r w:rsidRPr="0036499D">
        <w:rPr>
          <w:rFonts w:ascii="宋体" w:hAnsi="宋体"/>
          <w:color w:val="000000"/>
          <w:position w:val="-4"/>
          <w:sz w:val="24"/>
          <w:szCs w:val="30"/>
        </w:rPr>
        <w:fldChar w:fldCharType="end"/>
      </w:r>
      <w:bookmarkStart w:id="3" w:name="_GoBack"/>
      <w:bookmarkEnd w:id="3"/>
    </w:p>
    <w:p w:rsidR="00D704E1" w:rsidRDefault="00D704E1">
      <w:pPr>
        <w:autoSpaceDE w:val="0"/>
        <w:autoSpaceDN w:val="0"/>
        <w:adjustRightInd w:val="0"/>
        <w:snapToGrid w:val="0"/>
        <w:spacing w:line="360" w:lineRule="auto"/>
        <w:ind w:left="120" w:rightChars="6" w:right="13"/>
        <w:rPr>
          <w:rFonts w:ascii="宋体" w:hAnsi="宋体"/>
          <w:kern w:val="0"/>
          <w:szCs w:val="24"/>
        </w:rPr>
        <w:sectPr w:rsidR="00D704E1">
          <w:pgSz w:w="11920" w:h="16840"/>
          <w:pgMar w:top="1480" w:right="1680" w:bottom="280" w:left="1680" w:header="0" w:footer="1073" w:gutter="0"/>
          <w:cols w:space="720"/>
        </w:sectPr>
      </w:pPr>
    </w:p>
    <w:p w:rsidR="00D704E1" w:rsidRDefault="009E4ED0">
      <w:pPr>
        <w:pStyle w:val="1"/>
        <w:snapToGrid w:val="0"/>
        <w:spacing w:beforeLines="0" w:before="240" w:after="240"/>
        <w:rPr>
          <w:rFonts w:ascii="宋体" w:hAnsi="宋体"/>
          <w:szCs w:val="30"/>
        </w:rPr>
      </w:pPr>
      <w:bookmarkStart w:id="4" w:name="_Toc231197009"/>
      <w:r>
        <w:rPr>
          <w:rFonts w:ascii="Times New Roman" w:hAnsi="Times New Roman"/>
          <w:sz w:val="30"/>
        </w:rPr>
        <w:lastRenderedPageBreak/>
        <w:t>一、绪言</w:t>
      </w:r>
      <w:bookmarkEnd w:id="4"/>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纯债债券型发起式证券投资基金招募说明书》（以下简称“本招募说明书”）依据《中华人民共和国证券投资基金法》、《证券投资基金运作管理办法》、《证券投资基金销售管理办法》、《公开募集证券投资基金信息披露管理办法》、《公开募集开放式证券投资基金流动性风险管理规定》（以下简称“《流动性规定》”）和其他相关法律法规的规定以及《交银施罗德纯债债券型发起式证券投资基金基金合同》（以下简称“基金合同”）编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金合同。</w:t>
      </w:r>
    </w:p>
    <w:p w:rsidR="00B439CC" w:rsidRDefault="009E4ED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04E1" w:rsidRDefault="009E4ED0">
      <w:pPr>
        <w:pStyle w:val="1"/>
        <w:snapToGrid w:val="0"/>
        <w:spacing w:beforeLines="0" w:before="240" w:after="240"/>
        <w:rPr>
          <w:rFonts w:ascii="宋体" w:hAnsi="宋体"/>
          <w:szCs w:val="30"/>
        </w:rPr>
      </w:pPr>
      <w:bookmarkStart w:id="5" w:name="_Toc231197010"/>
      <w:r>
        <w:rPr>
          <w:rFonts w:ascii="Times New Roman" w:hAnsi="Times New Roman"/>
          <w:sz w:val="30"/>
        </w:rPr>
        <w:lastRenderedPageBreak/>
        <w:t>二、释义</w:t>
      </w:r>
      <w:bookmarkEnd w:id="5"/>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1、基金或本基金：指交银施罗德纯债债券型发起式证券投资基金</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3、基金托管人或本基金托管人：指中国农业银行股份有限公司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4、基金合同：指《交银施罗德纯债债券型发起式证券投资基金基金合同》及对该基金合同的任何有效修订和补充</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5、托管协议：指基金管理人与基金托管人就本基金签订之《交银施罗德纯债债券型发起式证券投资基金托管协议》及对该托管协议的任何有效修订和补充</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6、招募说明书或本招募说明书：指《交银施罗德纯债债券型发起式证券投资基金招募说明书》，及其更新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7、基金份额发售公告：指《交银施罗德纯债债券型发起式证券投资基金基金份额发售公告》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8、基金产品资料概要：指《交银施罗德纯债债券型发起式证券投资基金基金产品资料概要》及其更新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9、法律法规：指中国现行有效并公布实施的法律、行政法规、司法解释、部门规章、地方性法规、地方政府规章及其他对基金合同当事人有约束力的规范性文件及对该等法律法规不时作出的修订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10、《基金法》：指2003年10月28日经第十届全国人民代表大会常务委员会第五次会议通过，自2004年6月1日起实施的《中华人民共和国证券投资基金法》及颁布机关对其不时作出的修订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11、《销售办法》：指中国证监会2011年6月9日颁布、同年10月1日实施的《证券投资基金销售管理办法》及对其不时作出的修订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12、《信息披露办法》：指中国证监会2019年7月26日颁布、同年9月1日实施的《公开募集证券投资基金信息披露管理办法》及颁布机关对其不时做出的修订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13、《运作办法》：指中国证监会2004年6月29日颁布、同年7月1日实施的《证券投资基金运作管理办法》及对其不时作出的修订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w:t>
      </w:r>
      <w:r>
        <w:rPr>
          <w:rFonts w:ascii="宋体" w:hAnsi="宋体"/>
          <w:sz w:val="24"/>
        </w:rPr>
        <w:lastRenderedPageBreak/>
        <w:t>修订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15、中国：指中华人民共和国，就本基金合同而言，不包括香港特别行政区、澳门特别行政区和台湾地区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16、中国证监会：指中国证券监督管理委员会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17、中国银监会：指中国银行业监督管理委员会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18、基金合同当事人：指受基金合同约束，根据基金合同享有权利并承担义务的法律主体，包括基金管理人、基金托管人和基金份额持有人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19、个人投资者：指符合法律法规规定的条件可以投资证券投资基金的自然人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20、机构投资者：指符合法律法规规定可以投资证券投资基金的在中国境内注册登记或经政府有关部门批准设立的机构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合格境外机构投资者：指符合《合格境外机构投资者境内证券投资管理办法》及其他相关法律法规规定的条件，经中国证监会批准可投资于中国证券市场，并取得国家外汇管理局额度批准的中国境外的机构投资者</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22、基金投资者或投资者：指个人投资者、机构投资者、合格境外机构投资者和使用发起资金认购的投资人，以及法律法规或中国证监会允许购买证券投资基金的其他投资者</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23、基金份额持有人：指依招募说明书和基金合同合法取得基金份额的基金投资者</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24、基金销售业务：指基金的宣传推介、认购、申购、赎回、转换、转托管及定期定额投资等业务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25、销售机构：指直销机构和代销机构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26、直销机构：指交银施罗德基金管理有限公司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代销机构：指符合《销售办法》和中国证监会规定的其他条件，取得基金代销业务资格并与基金管理人签订了基金销售服务代理协议，代为办理基金销售业务的机构以及可通过上海证券交易所交易系统办理基金销售业务的会员单位</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会员单位：指具有开放式基金代销资格，经上海证券交易所和中国证券登记结算有限责任公司认可的、可通过上海证券交易所交易系统办理开放式基金的认购、申购、赎回和转托管等业务的上海证券交易所会员单位</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29、基金销售网点：指直销机构的直销中心及代销机构的代销网点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30、注册登记业务：指基金登记、存管、过户、清算和结算业务，具体内容包</w:t>
      </w:r>
      <w:r>
        <w:rPr>
          <w:rFonts w:ascii="宋体" w:hAnsi="宋体"/>
          <w:sz w:val="24"/>
        </w:rPr>
        <w:lastRenderedPageBreak/>
        <w:t>括基金投资者基金账户的建立和管理、基金份额注册登记、基金销售业务的确认、清算和结算、代理发放红利、建立并保管基金份额持有人名册、办理非交易过户业务等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31、注册登记机构：指办理注册登记业务的机构。基金的注册登记机构为交银施罗德基金管理有限公司或接受交银施罗德基金管理有限公司委托代为办理注册登记业务的机构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32、基金账户：指注册登记机构为基金投资者开立的、记录其持有的、基金管理人所管理的基金份额余额及其变动情况的账户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33、基金交易账户：指销售机构为基金投资者开立的、记录基金投资者通过该销售机构办理交易业务而引起的基金份额的变动及结余情况的账户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34、基金合同生效日：指基金募集期结束后达到法律法规规定及基金合同约定的备案条件，基金管理人聘请法定机构验资并向中国证监会办理基金备案手续完毕，并收到其书面确认的日期</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35、基金合同终止日：指基金合同规定的基金合同终止事由出现后，基金财产清算完毕，清算结果报中国证监会备案并予以公告的日期</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36、基金募集期限：指自基金份额发售之日起至发售结束之日止的期间，最长不得超过3个月</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37、存续期：指基金合同生效至终止之间的不定期期限</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38、工作日：指上海证券交易所、深圳证券交易所的正常交易日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39、日：指公历日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40、月：指公历月</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41、T日：指销售机构在规定时间受理基金投资者有效申购、赎回或其他基金业务申请的工作日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42、T+n日：指自T日起第n个工作日（不包含T日）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43、开放日：指为基金投资者办理基金份额申购、赎回或其他业务的工作日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44、交易时间：指开放日基金接受申购、赎回或其他交易的时间段</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45、认购：指在基金募集期间，基金投资者按基金合同和招募说明书的规定申请购买基金份额的行为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46、申购：指在基金存续期内，基金投资者按基金合同和招募说明书的规定申请购买基金份额的行为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47、赎回：指在基金存续期内，基金份额持有人按基金合同和招募说明书规定的条件申请将基金份额兑换为现金的行为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48、场外：指不通过上海证券交易所的交易系统办理基金份额认购、申购和赎回等业务的销售机构和场所</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49、场内：指通过上海证券交易所的交易系统办理基金份额认购、申购和赎回等业务的销售机构和场所</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50、注册登记系统：指中国证券登记结算有限责任公司开放式基金登记结算系统</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51、证券登记结算系统：指中国证券登记结算有限责任公司上海分公司证券登记结算系统</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52、销售服务费：指从基金资产中计提的，用于本基金市场推广、销售以及基金份额持有人服务的费用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份额类别：指本基金根据认购/申购费用、赎回费用、销售服务费收取标准和收取方式的不同，将基金份额分为不同的类别。在投资者认购/申购时收取前端认购/申购费用、赎回时收取赎回费用的，称为A类基金份额；在投资者认购/申购时不收取认购/申购费用、赎回时收取后端认购/申购费用和赎回费用的，称为B类基金份额；在投资者认购/申购时不收取认购/申购费用、赎回时收取赎回费用，并从本类别基金资产中计提销售服务费的，称为C类基金份额；在投资者申购时收取前端申购费用、赎回时收取赎回费用的，称为D类基金份额，A类基金份额与D类基金份额设置不同的申购费、赎回费收取标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转换：指基金份额持有人按照本基金合同和基金管理人届时公告规定的条件，向基金管理人提出申请将其所持有的基金管理人管理的某一开放式基金（转出基金）的全部或部分基金份额转换为该基金其他份额（如有）或基金管理人管理的其他开放式基金（转入基金）的基金份额的行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定期定额投资计划：指基金投资者通过有关销售机构提出申请，约定每期申购日、扣款金额及扣款方式，由销售机构在基金投资者指定银行账户内自动完成扣款并于每期约定的申购日提交基金申购申请的一种投资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56、转托管：指基金份额持有人在本基金的不同销售机构之间实施变更所持基金份额销售机构的操作，包括系统内转托管及跨系统转托管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57、系统内转托管：指基金份额持有人将持有的基金份额在注册登记系统内不</w:t>
      </w:r>
      <w:r>
        <w:rPr>
          <w:rFonts w:ascii="宋体" w:hAnsi="宋体"/>
          <w:sz w:val="24"/>
        </w:rPr>
        <w:lastRenderedPageBreak/>
        <w:t>同销售机构之间或证券登记结算系统内不同会员单位之间进行转登记的行为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58、跨系统转托管：指基金份额持有人将持有的A类基金份额在注册登记系统和证券登记结算系统间进行转登记的行为。除经基金管理人另行公告，B类基金份额、C类基金份额和D类基金份额不能进行跨系统转托管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巨额赎回：指本基金单个开放日，基金净赎回申请（赎回申请份额总数加上基金转换中转出申请份额总数后扣除申购申请份额总数及基金转换中转入申请份额总数后的余额）超过上一工作日基金总份额的10%的情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60、元：指人民币元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61、基金利润：指基金利息收入、投资收益、公允价值变动收益和其他收入扣除相关费用后的余额</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62、基金资产总值：指基金拥有的各类有价证券、银行存款本息、基金应收申购款及其他资产的价值总和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63、基金资产净值：指基金资产总值减去基金负债后的净资产值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64、基金份额净值：指计算日基金资产净值除以计算日基金份额总数的数值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65、基金资产估值：指计算评估基金资产和负债的价值，以确定基金资产净值和基金份额净值的过程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67、指定媒介：指中国证监会指定的用以进行信息披露的全国性报刊及指定互联网网站（包括基金管理人网站、基金托管人网站、中国证监会基金电子披露网站）等媒介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业务规则》：指《交银施罗德基金管理有限公司开放式基金业务规则》，是规范基金管理人所管理的开放式证券投资基金注册登记方面的业务规则，由基金管理人和基金投资者共同遵守；此外，投资者通过场内认购、申购、赎回本基金还须遵守上海证券交易所及中国证券登记结算有限责任公司场内业务有关规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w:t>
      </w:r>
      <w:r>
        <w:rPr>
          <w:rFonts w:ascii="宋体" w:hAnsi="宋体"/>
          <w:sz w:val="24"/>
        </w:rPr>
        <w:lastRenderedPageBreak/>
        <w:t>侧袋账户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71、不可抗力：指本基金合同当事人不能预见、不能避免且不能克服的客观事件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72、发起式基金：指符合中国证监会发布的《关于增设发起式基金审核通道有关问题的通知》中相关条件而募集、运作的证券投资基金</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73、发起资金：指来源于基金管理人的公司股东的资金、公司固有资金、公司高级管理人员或基金经理（指基金管理人员工中依法具有基金经理资格者，包括但可能不限于本基金的基金经理）等人员的资金</w:t>
      </w:r>
    </w:p>
    <w:p w:rsidR="00B439CC" w:rsidRDefault="009E4ED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04E1" w:rsidRDefault="009E4ED0">
      <w:pPr>
        <w:pStyle w:val="1"/>
        <w:snapToGrid w:val="0"/>
        <w:spacing w:beforeLines="0" w:before="240" w:after="240"/>
        <w:rPr>
          <w:rFonts w:ascii="宋体" w:hAnsi="宋体"/>
          <w:szCs w:val="30"/>
        </w:rPr>
      </w:pPr>
      <w:bookmarkStart w:id="6" w:name="_Toc231197011"/>
      <w:r>
        <w:rPr>
          <w:rFonts w:ascii="Times New Roman" w:hAnsi="Times New Roman"/>
          <w:sz w:val="30"/>
        </w:rPr>
        <w:lastRenderedPageBreak/>
        <w:t>三、基金管理人</w:t>
      </w:r>
      <w:bookmarkEnd w:id="6"/>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女士:基金经理。天津大学数量经济学硕士、经济学学士，20年证券投资行业从业经验。2004年至2006年任北方国际信托投资股份有限公司固定收益研究员，2006年至2010年任光大保德信基金管理有限公司交易员、基金经理助理、基金经理，2010年至2014年任银华基金管理有限公司基金经理，2014年至2016年任五矿证券有限公司固定收益事业部投资管理部总经理。于2007年11月9日至2010年8月30日任光大保德信货币市场基金基金经理，2008年10月29日至2010年8月30日任光大保德信增利收益债券型证券投资基金基金经理，2011年6月28日至2013年6月16日任银华永祥保本混合型证券投资基金基金经理，2011年8月2日至2014年4月24日任银华货币市场证券投资基金基金经理,2012年8月9日至2014年10月7日任银华纯债信用主题债券型证券投资基金（LOF）基金经理，2013年4月1日至2014年4月24日任银华交易型货币市场基金基金经理，2013年8月7日至2014年10月7日任银华信用四季红债券型证券投资基金基金经理，2013年9月18日至2014年10月7日任银华信用季季红债券型证券投资基金基金经理，2014年5月8日至2014年10月7日任银华信用债券型证券投资基金(LOF)基金经理。2016年加入交银施罗德基金管理有限公司，曾任固定收益（公募）投资总监、多元资产管理总监，现任混合资产投资总监、基金经理。曾任交银施罗德丰盈收益债券型证券投资基金(2016年12月29日至2020年08月21日)、交银施罗德增利增强债券型证券投资基金(2017年06月10日至2019年03月15日)、交银施罗德增强收益债券型证券投资基金(2017年06月10日至2019年03月15日)、交银施罗德增利债券证券投资基金(2017年06月10日至2020年08月21日)、交银施罗德荣鑫灵活配置混合型证券投资基金(2017年06月10日至2019年03月15日)、交银施罗德稳固收益债券型证券投资基金(2017年06月10日至2019年03月15日)、交银施罗德丰硕收益债券型证券投资基金(2017年06月10日至2018年07月19日)、交银施罗德定期支付月月丰债券型证券投资基金(2017年06月10日至2019年03月14日)、交银施罗德强化回报债券型证券投资基金(2017年06月10日至2019年03月14日)、交银施罗德裕如纯债债券型证券投资基金(2018年05月25日至2021年01月15日)、交银</w:t>
      </w:r>
      <w:r>
        <w:rPr>
          <w:rFonts w:ascii="宋体" w:hAnsi="宋体"/>
          <w:sz w:val="24"/>
        </w:rPr>
        <w:lastRenderedPageBreak/>
        <w:t>施罗德裕泰两年定期开放债券型证券投资基金(2019年12月10日至2024年04月12日)、交银施罗德鸿福六个月持有期混合型证券投资基金(2021年03月30日至2025年01月24日)、交银施罗德鸿泰一年持有期混合型证券投资基金(2021年11月24日至2025年12月16日)、交银施罗德裕如纯债债券型证券投资基金(2023年09月07日至2024年11月23日)的基金经理。现任交银施罗德纯债债券型发起式证券投资基金(2017年06月10日至今)、交银施罗德丰晟收益债券型证券投资基金(2018年05月23日至今)、交银施罗德裕坤纯债一年定期开放债券型发起式证券投资基金(2019年12月26日至今)、交银施罗德鸿光一年持有期混合型证券投资基金(2021年03月08日至今)、交银施罗德鸿信一年持有期混合型证券投资基金(2021年08月06日至今)、交银施罗德裕盈纯债债券型证券投资基金(2022年11月12日至今)、交银施罗德裕道纯债一年定期开放债券型发起式证券投资基金(2024年03月29日至今)、交银施罗德裕通纯债债券型证券投资基金(2024年12月17日至今)的基金经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胡军华女士(2012年12月19日至2014年03月30日)；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林洪钧先生(2014年03月31日至2015年05月31日)；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孙超先生(2015年05月09日至2017年06月21日)；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魏玉敏女士(2018年08月29日至2025年01月15日)。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3、对所管理的不同基金财产分别管理、分别记账，进行证券投资；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（5）依照法律法规有关规定，由中国证监会规定禁止的其他行为。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2、不利用职务之便为自己、受雇人或任何第三者谋取利益；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w:t>
      </w:r>
      <w:r>
        <w:rPr>
          <w:rFonts w:ascii="宋体" w:hAnsi="宋体"/>
          <w:sz w:val="24"/>
        </w:rPr>
        <w:lastRenderedPageBreak/>
        <w:t>价，监督检查公司财务状况，审计公司的财务报表，评估公司的财务表现，保证公司的财务运作符合法律的要求和通行的会计标准。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w:t>
      </w:r>
      <w:r>
        <w:rPr>
          <w:rFonts w:ascii="宋体" w:hAnsi="宋体"/>
          <w:sz w:val="24"/>
        </w:rPr>
        <w:lastRenderedPageBreak/>
        <w:t>务活动有恰当的组织和授权，确保监察活动独立，并得到高管人员的支持，同时置备操作手册，并定期更新。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9E4ED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04E1" w:rsidRDefault="009E4ED0">
      <w:pPr>
        <w:pStyle w:val="1"/>
        <w:snapToGrid w:val="0"/>
        <w:spacing w:beforeLines="0" w:before="240" w:after="240"/>
        <w:rPr>
          <w:rFonts w:ascii="宋体" w:hAnsi="宋体"/>
          <w:szCs w:val="30"/>
        </w:rPr>
      </w:pPr>
      <w:bookmarkStart w:id="7" w:name="_Toc231197012"/>
      <w:r>
        <w:rPr>
          <w:rFonts w:ascii="Times New Roman" w:hAnsi="Times New Roman"/>
          <w:sz w:val="30"/>
        </w:rPr>
        <w:lastRenderedPageBreak/>
        <w:t>四、基金托管人</w:t>
      </w:r>
      <w:bookmarkEnd w:id="7"/>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截止到2026年3月31日，中国农业银行托管的封闭式证券投资基金和开放式证券投资基金共1027只。</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9E4ED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04E1" w:rsidRDefault="009E4ED0">
      <w:pPr>
        <w:pStyle w:val="1"/>
        <w:snapToGrid w:val="0"/>
        <w:spacing w:beforeLines="0" w:before="240" w:after="240"/>
        <w:rPr>
          <w:rFonts w:ascii="宋体" w:hAnsi="宋体"/>
          <w:szCs w:val="30"/>
        </w:rPr>
      </w:pPr>
      <w:bookmarkStart w:id="8" w:name="_Toc231197013"/>
      <w:r>
        <w:rPr>
          <w:rFonts w:ascii="Times New Roman" w:hAnsi="Times New Roman"/>
          <w:sz w:val="30"/>
        </w:rPr>
        <w:lastRenderedPageBreak/>
        <w:t>五、相关服务机构</w:t>
      </w:r>
      <w:bookmarkEnd w:id="8"/>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2、场内代销机构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具有基金代销资格的上海证券交易所场内会员单位。（具体名单见基金份额发售公告）。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3、场外代销机构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客户服务电话：96005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（3）名称：杭州银行股份有限公司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住所：杭州市庆春路46号杭州银行大厦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办公地址：杭州市庆春路46号杭州银行大厦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法定代表人：陈震山</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电话：（0571）85108195、85120696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传真：（0571）86475527</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联系人：严峻、夏帆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网址：www.hzbank.com.cn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（4）名称：平安银行股份有限公司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（5）名称：中国民生银行股份有限公司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住所：北京市西城区复兴门内大街2号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（6）名称：中国农业银行股份有限公司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（7）名称：东莞农村商业银行股份有限公司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（8）名称：江苏常熟农村商业银行股份有限公司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住所：江苏省常熟市新世纪大道58号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办公地址：江苏省常熟市新世纪大道58号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法定代表人：宋建明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联系电话：（0512）52909128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传真：（0512）52909122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联系人：黄晓</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客户服务电话：962000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网址：www.csrcbank.com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（9）名称：中信银行股份有限公司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（10）名称：中国建设银行股份有限公司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（11）名称：交通银行股份有限公司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网址：www.bankcomm.com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（12）名称：招商银行股份有限公司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（13）名称：上海银行股份有限公司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（14）名称：中国邮政储蓄银行股份有限公司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（15）名称：宁波银行股份有限公司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电话：（021）63586210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（16）名称：兴业银行股份有限公司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（17）名称：江苏银行股份有限公司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（18）名称：东吴证券股份有限公司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住所：苏州工业园区星阳街5号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法定代表人：范力</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电话：0512-62938521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传真：0512-62938527</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联系人：陆晓</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网址：www.dwjq.com.cn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（19）名称：光大证券股份有限公司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（20）名称：中信证券股份有限公司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（21）名称：中国中金财富证券有限公司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（22）名称：方正证券股份有限公司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传真：（010）68546792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（23）名称：德邦证券股份有限公司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（24）名称：国投证券股份有限公司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（25）名称：东莞证券股份有限公司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（26）名称：中航证券有限公司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办公地址：南昌市红谷滩新区红谷中大道1619号国际金融大厦41楼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（27）名称：中信建投证券股份有限公司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（28）名称：国信证券股份有限公司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（29）名称：华泰证券股份有限公司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联系人：徐浩津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（30）名称：兴业证券股份有限公司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（31）名称：海通证券股份有限公司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（32）名称：华宝证券股份有限公司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（33）名称：大同证券有限责任公司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注册地址：山西省大同市城区迎宾街15号桐城中央21层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（34）名称：爱建证券有限责任公司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住所：上海市南京西路758号24楼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办公地址：上海市浦东新区世纪大道1600号32楼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法定代表人：张建华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电话：（021）32229888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传真：（021）68728703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客户服务电话：（021）63340678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网址：www.ajzq.com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（35）名称：招商证券股份有限公司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（36）名称：国泰海通证券股份有限公司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联系电话：021-38676666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（37）名称：中信证券华南股份有限公司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（38）名称：中国银河证券股份有限公司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（39）名称：申万宏源证券有限公司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（40）名称：国都证券股份有限公司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（41）名称：平安证券股份有限公司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（42）名称：中信证券（山东）有限责任公司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（43）名称：申万宏源西部证券有限公司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联系人：李巍</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（44）名称：中泰证券股份有限公司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（45）名称：江海证券有限公司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（46）名称：中国国际金融股份有限公司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（47）名称：瑞银证券有限责任公司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住所：北京市西城区金融大街7号英蓝国际金融中心12层、15层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办公地址：北京市西城区金融大街7号英蓝国际金融中心12层、15层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法定代表人：程宜荪</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电话：（010）58328112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传真：（010）58328740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（48）名称：长城证券有限责任公司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（49）名称：国金证券股份有限公司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（50）名称：渤海证券股份有限公司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联系人：蔡霆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（51）名称：信达证券股份有限公司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（52）名称：国新证券股份有限公司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（53）名称：粤开证券股份有限公司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客服电话：95564</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（54）名称：华西证券股份有限公司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法定代表人：杨炯洋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（55）名称：第一创业证券股份有限公司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（56）名称：西部证券股份有限公司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（57）名称：天风证券股份有限公司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注册地址：湖北省武汉市东湖新技术开发区关东园路2号高科大厦4楼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办公地址：武汉市武昌区中南路99号保利广场A座37楼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法定代表人：余磊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联系电话：027-87107535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传真：027-87618863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联系人：王雅薇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客户服务电话：95391 / 400-800-5000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网址：www.tfzq.com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（58）名称：联储证券有限责任公司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住所：深圳市福田区福田街道岗厦社区深南大道南侧金地中心大厦9楼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办公地址：北京市朝阳区安定路5号院3号楼中建财富国际中心27层联储证券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法定代表人：吕春卫</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传真：010-86499401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祝博文、张婉婷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 400-620-6868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www.lczq.com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（59）名称：广发证券股份有限公司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（60）名称：湘财证券股份有限公司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（61）名称：山西证券股份有限公司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办公地址：山西省太原市府西街69号山西国际贸易中心东塔楼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（62）名称：南京证券股份有限公司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（63）名称：东兴证券股份有限公司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住所：北京市西城区金融大街5号新盛大厦B座12-15层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法定代表人：徐勇力</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电话：（010）66555316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传真：（010）66555246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联系人：汤漫川</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400-8888-993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网址：www.dxzq.net</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（64）名称：东方财富证券股份有限公司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客户服务电话：95357</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（65）名称：金融街证券股份有限公司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（66）名称：国联民生证券股份有限公司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（67）名称：民生证券股份有限公司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（68）名称：北京广源达信基金销售有限公司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注册地址：北京市西城区新街口外大街28号C座六层605室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（69）名称：大连网金基金销售有限公司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（70）名称：阳光人寿保险股份有限公司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（71）名称：玄元保险代理有限公司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电话：（021）50701053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（72）名称：京东肯特瑞基金销售有限公司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（73）名称：上海大智慧基金销售有限公司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（74）名称：腾安基金销售（深圳）有限公司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客户服务电话：95017（拨通后转1转8）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（75）名称：上海华夏财富投资管理有限公司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（76）名称：北京度小满基金销售有限公司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（77）名称：南京苏宁基金销售有限公司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（78）名称：嘉实财富管理有限公司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住所：海南省三亚市天涯区三亚湾路国际客运港区国际养生度假中心酒店B座(2＃楼)27楼2714室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（79）名称：北京虹点基金销售有限公司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（80）名称：上海陆金所基金销售有限公司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（81）名称：上海挖财基金销售有限公司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电话：021-50810673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（82）名称：万家财富基金销售（天津）有限公司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（83）名称：格上富信投资顾问有限公司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（84）名称：深圳市金斧子基金销售有限公司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联系人：张烨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（85）名称：北京雪球基金销售有限公司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（86）名称：北京新浪仓石基金销售有限公司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（87）名称：中证金牛（北京）基金销售有限公司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 www.jnlc.com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（88）名称：上海证达通基金销售有限公司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（89）名称：北京创金启富基金销售有限公司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（90）名称：奕丰基金销售有限公司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（91）名称：和讯信息科技有限公司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住所：北京市朝阳区朝外大街22号泛利大厦10层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（92）名称：诺亚正行基金销售有限公司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（93）名称：上海长量基金销售有限公司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（94）名称：深圳众禄基金销售股份有限公司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电话：（0755）33227953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（95）名称：蚂蚁（杭州）基金销售有限公司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（96）名称：中信期货有限公司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（97）名称：天相投资顾问有限公司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传真：（010）66045518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（98）名称：浙江同花顺基金销售有限公司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（99）名称：宜信普泽（北京）基金销售有限公司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（100）名称：上海联泰基金销售有限公司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网址：www.66liantai.com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（101）名称：泛华普益基金销售有限公司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（102）名称：北京展恒基金销售股份有限公司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（103）名称：深圳市新兰德证券投资咨询有限公司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（104）名称：和耕传承基金销售有限公司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办公地址：河南自贸试验区郑州片区（郑东）东风南路东康宁街北6号楼5楼503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（105）名称：上海中欧财富基金销售有限公司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（106）名称：中国人寿保险股份有限公司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（107）名称：济安财富（北京）基金销售有限公司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客户服务电话：400-673-7010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（108）名称：博时财富基金销售有限公司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（109）名称：深圳前海微众银行股份有限公司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（110）名称：上海基煜基金销售有限公司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网址：www.fofund.com.cn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（111）名称：北京汇成基金销售有限公司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（112）名称：上海利得基金销售有限公司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（113）名称：上海天天基金销售有限公司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（114）名称：珠海盈米基金销售有限公司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办公地址：广州市海珠区琶洲大道东1号保利国际广场南塔12楼B1201-1203</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（115）名称：上海万得基金销售有限公司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（116）名称：上海好买基金销售有限公司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（117）名称：上海攀赢基金销售有限公司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客户服务电话：021-68889082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网址：www.weonefunds.com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名称：中国证券登记结算有限责任公司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联系人：黎明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经办律师：吕红、黎明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9E4ED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04E1" w:rsidRDefault="009E4ED0">
      <w:pPr>
        <w:pStyle w:val="1"/>
        <w:snapToGrid w:val="0"/>
        <w:spacing w:beforeLines="0" w:before="240" w:after="240"/>
        <w:rPr>
          <w:rFonts w:ascii="宋体" w:hAnsi="宋体"/>
          <w:szCs w:val="30"/>
        </w:rPr>
      </w:pPr>
      <w:bookmarkStart w:id="9" w:name="_Toc231197014"/>
      <w:r>
        <w:rPr>
          <w:rFonts w:ascii="Times New Roman" w:hAnsi="Times New Roman"/>
          <w:sz w:val="30"/>
        </w:rPr>
        <w:lastRenderedPageBreak/>
        <w:t>六、基金的历史沿革</w:t>
      </w:r>
      <w:bookmarkEnd w:id="9"/>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本基金由基金管理人依照《基金法》、《运作办法》、基金合同及其他有关规定，并经中国证监会证监许可[2012]1287号文核准募集发售。</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本基金为契约型开放式债券型发起式基金。基金存续期间为不定期。</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本基金募集期间基金份额净值为人民币1.00元，按面值发售。</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本基金自2012年11月26日至2012年12月14日进行发售。本基金设立募集期共募集2,116,634,959.21份基金份额，有效认购户数为7,477户。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交银施罗德纯债债券型发起式证券投资基金基金合同》的有关约定，本基金管理人运用固有资金作为发起资金认购本基金的净认购金额为10,000,000.00元人民币，认购基金份额（含募集期利息结转份额）10,003,472.22份。自本基金基金合同生效之日起，本基金管理人所认购的基金份额持有期限不低于三年。</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本基金管理人持有的上述发起份额已于2017年一季度全部赎回，相应份额的持有期限符合基金合同的约定。</w:t>
      </w:r>
    </w:p>
    <w:p w:rsidR="00B439CC" w:rsidRDefault="009E4ED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04E1" w:rsidRDefault="009E4ED0">
      <w:pPr>
        <w:pStyle w:val="1"/>
        <w:snapToGrid w:val="0"/>
        <w:spacing w:beforeLines="0" w:before="240" w:after="240"/>
        <w:rPr>
          <w:rFonts w:ascii="宋体" w:hAnsi="宋体"/>
          <w:szCs w:val="30"/>
        </w:rPr>
      </w:pPr>
      <w:bookmarkStart w:id="10" w:name="_Toc231197015"/>
      <w:r>
        <w:rPr>
          <w:rFonts w:ascii="Times New Roman" w:hAnsi="Times New Roman"/>
          <w:sz w:val="30"/>
        </w:rPr>
        <w:lastRenderedPageBreak/>
        <w:t>七</w:t>
      </w:r>
      <w:r>
        <w:rPr>
          <w:rFonts w:ascii="Times New Roman" w:hAnsi="Times New Roman"/>
          <w:sz w:val="30"/>
        </w:rPr>
        <w:t xml:space="preserve"> </w:t>
      </w:r>
      <w:r>
        <w:rPr>
          <w:rFonts w:ascii="Times New Roman" w:hAnsi="Times New Roman"/>
          <w:sz w:val="30"/>
        </w:rPr>
        <w:t>、基金合同的生效</w:t>
      </w:r>
      <w:bookmarkEnd w:id="10"/>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根据有关规定，本基金满足基金合同生效条件，基金合同已于2012年12月19日正式生效。自基金合同生效之日起，本基金管理人正式开始管理本基金。</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出现基金份额持有人数量不满200人或者基金资产净值低于5000万元情形的，基金管理人应当及时报告中国证监会；连续20个工作日出现前述情形的，基金管理人应当及时向中国证监会报告，说明出现上述情况的原因并提出解决方案。</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基金合同生效之日起满3年后的对应日（如该对应日为非工作日，则顺延至下一个工作日），若基金资产净值低于2亿元的，基金合同自动终止，且不得通过召开基金份额持有人大会延续基金合同期限。</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法律法规或监管机构另有规定时，从其规定。</w:t>
      </w:r>
    </w:p>
    <w:p w:rsidR="00B439CC" w:rsidRDefault="009E4ED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04E1" w:rsidRDefault="009E4ED0">
      <w:pPr>
        <w:pStyle w:val="1"/>
        <w:snapToGrid w:val="0"/>
        <w:spacing w:beforeLines="0" w:before="240" w:after="240"/>
        <w:rPr>
          <w:rFonts w:ascii="宋体" w:hAnsi="宋体"/>
          <w:szCs w:val="30"/>
        </w:rPr>
      </w:pPr>
      <w:bookmarkStart w:id="11" w:name="_Toc231197016"/>
      <w:r>
        <w:rPr>
          <w:rFonts w:ascii="Times New Roman" w:hAnsi="Times New Roman"/>
          <w:sz w:val="30"/>
        </w:rPr>
        <w:lastRenderedPageBreak/>
        <w:t>八、基金份额的申购与赎回</w:t>
      </w:r>
      <w:bookmarkEnd w:id="11"/>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本基金A类基金份额接受场内和场外申购与赎回，B类基金份额、C类基金份额和D类基金份额暂时仅接受场外申购和赎回。各类基金份额具体申赎方式详见本招募说明书或相关公告。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（一）申购和赎回的场所</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投资者可通过下述场所按照规定的方式进行申购或赎回：</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本基金直销机构为本公司以及本公司的网上直销交易平台。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A类基金份额、C类基金份额和D类基金份额的申购、赎回、转换及定期定额投资等业务，具体交易细则请参阅本公司网站。网上直销交易平台网址：www.fund001.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2、通过上海证券交易所交易系统办理相关业务的上海证券交易所会员单位，目前场内交易只支持A类基金份额的申购。具体名单详见上海证券交易所网站。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3、不通过上海证券交易所交易系统办理相关业务的场外代销机构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本基金场外代销机构参见本招募说明书“五、相关服务机构”章节或拨打本公司客户服务电话进行咨询。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投资者可通过上述销售机构办理基金销售业务的营业场所或按上述销售机构提供的其他方式进行申购或赎回。本基金管理人可根据情况变更或增减基金场外代销机构，并在管理人网站公示。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若基金管理人或其指定的代销机构开通电话、传真或网上等交易方式，投资者可以通过上述方式进行申购与赎回。</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（二）申购和赎回的开放日及时间</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在开放日办理基金份额的申购和赎回，具体办理时间为上海证券交易所、深圳证券交易所的正常交易日的交易时间，但基金管理人根据法律法规、中国证监会的要求或本基金合同的规定公告暂停申购、赎回时除外。</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若出现新的证券交易市场、证券交易所交易时间变更或其他特殊情况，基金管理人将视情况对前述开放日及开放时间进行相应的调整，但应在实施日前依照《信息披露办法》的有关规定在指定媒介上公告。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基金投资者在基金合同约定之外的日期和时间提出申购、赎回或转换申请的，其基金份额申购、赎回及转换价格为下次办理基金份额申购、赎回及转换时间所在开放日的价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本基金A类基金份额已于2013年3月19日起开放场外、场内申购业务。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本基金B类基金份额和C类基金份额已于2013年3月19日起开放场外申购业务。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本基金D类基金份额已于2024年9月12日起开放场外申购业务。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本基金A类基金份额已于2013年3月19日起开放场外、场内赎回业务。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本基金B类基金份额和C类基金份额已于2013年3月19日起开放场外赎回业务。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本基金D类基金份额已于2024年9月12日起开放场外赎回业务。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（三）申购和赎回的原则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1、“未知价”原则，即基金份额的申购与赎回价格以申请当日收市后计算的基金份额净值为基准进行计算；</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2、基金采用金额申购和份额赎回的原则，即申购以金额申请，赎回以份额申请；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赎回时，除指定赎回外，基金管理人按“先进先出”的原则，对该持有人账户在该销售机构托管的基金份额进行处理，即注册登记确认日期在先的基金份额先赎回，注册登记确认日期在后的基金份额后赎回，以确定被赎回基金份额的持有期限和所适用的赎回费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4、当日的申购与赎回申请一经注册登记机构正式受理不得撤销；</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5、基金管理人在不损害基金份额持有人权益的情况下可更改上述原则，但最迟应在新的原则实施前依照《信息披露办法》的有关规定在指定媒介上公告。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（四）申购和赎回的数额限定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场外申购时，场外代销机构每个账户单笔申购的最低金额为单笔1元，如果代销机构业务规则规定的最低单笔认购金额高于1元，以代销机构的规定为准。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每个账户首次申购的最低金额为单笔100万元，追加申购的最低金额为单笔10万元；已在直销机构有认购或申购过本基金管理人管理的任一基金（包括本基金）记录的投资者不受首次申购最低金额的限制。通过本公司网上直销交易平台办理基金申购业务的不受直销机构单笔申购最低金额的限制，申购最低金额为单笔1元。本基金直销机构单笔申购最低金额可由基金管理人酌情调整。</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场内申购时，每笔申购金额最低为100元人民币，同时每笔申购必须是100元的整数倍，并且单笔申购最高不超过99,999,900元。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外赎回的最低份额为1份基金份额，如果销售机构业务规则规定的最低单笔赎回份额高于1份，以该销售机构的规定为准。场内赎回时，赎回的最低份额为50份基金份额，同时赎回份额必须是整数份额，并且单笔赎回最多不超过99,999,999份基金份额。</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每个工作日投资者在单个交易账户保留的本基金份额余额少于1份时，若当日该账户同时有份额减少类业务（如赎回、转换出等）被确认，则基金管理人有权将投资者在该账户保留的本基金份额一次性全部赎回。</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5、基金管理人可以根据市场情况，在法律法规允许的情况下，调整上述规定的数量或比例限制。基金管理人必须在调整前依照《信息披露办法》的有关规定在指定媒介上公告。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（五）申购和赎回的程序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1、申购和赎回的申请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基金投资者必须根据销售机构规定的程序，在开放日的具体业务办理时间内提出申购或赎回的申请。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基金投资者在提交申购申请时须按销售机构规定的方式备足申购资金，基金投资者在提交赎回申请时须持有足够的基金份额余额，否则所提交的申购、赎回申请无效而不予成交。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2、申购和赎回申请的确认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 日规定时间受理的申请，正常情况下，注册登记机构在T+1 日内（包括该日）为投资者对该交易的有效性进行确认，基金投资者应在T+2日后（包括该日）及时到销售网点柜台或以销售机构规定的其他方式查询申请的确认情况。</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基金管理人可以在法律法规允许的范围内，依法对上述申购和赎回申请的确认时间进行调整，并必须在调整实施日前按照《信息披露办法》的有关规定在指定媒介上公告。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销售机构对申购、赎回申请的受理并不代表该申请一定成功，而仅代表销售机构确实接收到申购、赎回申请。申购、赎回申请的确认以注册登记机构的确认结果为准。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3、申购和赎回的款项支付</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申购采用全额缴款方式，若申购资金在规定时间内未全额到账则申购不成功。若申购不成功或无效，基金管理人或基金管理人指定的代销机构将基金投资者已缴付的申购款项本金退还给投资者。</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基金投资者赎回申请成功后，基金管理人将通过注册登记机构及其相关销售机构在T＋7日（包括该日）内将赎回款项划往基金份额持有人账户。在发生巨额赎回时，款项的支付办法参照基金合同有关条款处理。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（六）申购与赎回的注册登记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1、投资者T 日申购基金成功后，正常情况下，注册登记机构在T＋1 日为投资者增加权益并办理注册登记手续，投资者自T＋2 日（包括该日）起有权赎回该部分基金份额。投资者应及时查询有关申请的确认情况。</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2、投资者T 日赎回基金成功后，正常情况下，注册登记机构在T＋1 日为投资者扣除权益并办理相应的注册登记手续。</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3、基金管理人可在法律法规允许的范围内，对上述注册登记办理时间进行调</w:t>
      </w:r>
      <w:r>
        <w:rPr>
          <w:rFonts w:ascii="宋体" w:hAnsi="宋体"/>
          <w:sz w:val="24"/>
        </w:rPr>
        <w:lastRenderedPageBreak/>
        <w:t>整，并最迟于开始实施前按照《信息披露办法》的有关规定在指定媒介上公告。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（七）基金的申购费和赎回费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B类、C类和D类基金份额。投资者申购A类基金份额或D类基金份额支付申购费用，申购B类基金份额在赎回时才支付相应的申购费用，申购C类基金份额不支付申购费用，而是从该类别基金资产中计提销售服务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A类、B类、D类基金份额的申购费用由申购该类基金份额的投资人承担，不列入基金财产，主要用于本基金的市场推广、销售、登记结算等各项费用。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投资者可以多次申购本基金，申购费率按每笔申购申请单独计算。</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类基金份额前端申购费率</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万元（含）以上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本基金B类基金份额的申购费率如下：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r>
              <w:rPr>
                <w:rFonts w:ascii="Times New Roman" w:hAnsi="Times New Roman"/>
                <w:color w:val="000000"/>
                <w:kern w:val="0"/>
                <w:sz w:val="25"/>
                <w:szCs w:val="24"/>
              </w:rPr>
              <w:t>类基金份额后端申购费率</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年以内（含）</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—3</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r>
              <w:rPr>
                <w:rFonts w:ascii="Times New Roman" w:hAnsi="Times New Roman"/>
                <w:color w:val="000000"/>
                <w:kern w:val="0"/>
                <w:sz w:val="25"/>
                <w:szCs w:val="24"/>
              </w:rPr>
              <w:t>年</w:t>
            </w:r>
            <w:r>
              <w:rPr>
                <w:rFonts w:ascii="Times New Roman" w:hAnsi="Times New Roman"/>
                <w:color w:val="000000"/>
                <w:kern w:val="0"/>
                <w:sz w:val="25"/>
                <w:szCs w:val="24"/>
              </w:rPr>
              <w:t>—5</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本基金D类基金份额的申购费率如下：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r>
              <w:rPr>
                <w:rFonts w:ascii="Times New Roman" w:hAnsi="Times New Roman"/>
                <w:color w:val="000000"/>
                <w:kern w:val="0"/>
                <w:sz w:val="25"/>
                <w:szCs w:val="24"/>
              </w:rPr>
              <w:t>类基金份额前端申购费率</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0.9%</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0.7%</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万元（含）以上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1200</w:t>
            </w:r>
            <w:r>
              <w:rPr>
                <w:rFonts w:ascii="Times New Roman" w:hAnsi="Times New Roman"/>
                <w:color w:val="000000"/>
                <w:kern w:val="0"/>
                <w:sz w:val="25"/>
                <w:szCs w:val="24"/>
              </w:rPr>
              <w:t>元</w:t>
            </w:r>
          </w:p>
        </w:tc>
      </w:tr>
    </w:tbl>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持有A类、B类或D类基金份额的基金投资者因红利自动再投资而产生的A类、B类或D类基金份额，不收取相应的申购费用。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本基金对通过本公司直销柜台申购本基金A类基金份额或D类基金份额的养老金客户实施特定申购费率。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通过本公司直销柜台申购本基金A类基金份额的养老金客户特定申购费率如下表：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D704E1">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r>
              <w:rPr>
                <w:rFonts w:ascii="Times New Roman" w:hAnsi="Times New Roman"/>
                <w:color w:val="000000"/>
                <w:kern w:val="0"/>
                <w:sz w:val="25"/>
                <w:szCs w:val="24"/>
              </w:rPr>
              <w:t>A</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D704E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04E1" w:rsidRDefault="00D704E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D704E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04E1" w:rsidRDefault="00D704E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D704E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04E1" w:rsidRDefault="00D704E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D704E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04E1" w:rsidRDefault="00D704E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D704E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04E1" w:rsidRDefault="00D704E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通过基金管理人直销柜台申购本基金D类基金份额的养老金客户特定申购费率如下表：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D704E1">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r>
              <w:rPr>
                <w:rFonts w:ascii="Times New Roman" w:hAnsi="Times New Roman"/>
                <w:color w:val="000000"/>
                <w:kern w:val="0"/>
                <w:sz w:val="25"/>
                <w:szCs w:val="24"/>
              </w:rPr>
              <w:t>D</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r>
              <w:rPr>
                <w:rFonts w:ascii="Times New Roman" w:hAnsi="Times New Roman"/>
                <w:color w:val="000000"/>
                <w:kern w:val="0"/>
                <w:sz w:val="25"/>
                <w:szCs w:val="24"/>
              </w:rPr>
              <w:t>类基金份额特定申购费率</w:t>
            </w:r>
          </w:p>
        </w:tc>
      </w:tr>
      <w:tr w:rsidR="00D704E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04E1" w:rsidRDefault="00D704E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D704E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04E1" w:rsidRDefault="00D704E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0.21%</w:t>
            </w:r>
          </w:p>
        </w:tc>
      </w:tr>
      <w:tr w:rsidR="00D704E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04E1" w:rsidRDefault="00D704E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D704E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04E1" w:rsidRDefault="00D704E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0.08%</w:t>
            </w:r>
          </w:p>
        </w:tc>
      </w:tr>
      <w:tr w:rsidR="00D704E1">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D704E1" w:rsidRDefault="00D704E1">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1200</w:t>
            </w:r>
            <w:r>
              <w:rPr>
                <w:rFonts w:ascii="Times New Roman" w:hAnsi="Times New Roman"/>
                <w:color w:val="000000"/>
                <w:kern w:val="0"/>
                <w:sz w:val="25"/>
                <w:szCs w:val="24"/>
              </w:rPr>
              <w:t>元</w:t>
            </w:r>
          </w:p>
        </w:tc>
      </w:tr>
    </w:tbl>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者赎回基金份额收取赎回费用，该费用随基金份额的持有时间递减。本基金A类、B类、C类和D类基金份额的赎回费用由赎回该类基金份额的基金份额持有人承担，赎回费用的25%归基金财产，其余用于支付注册登记费和其他必要的手续费。其中，对持续持有期少于7日的基金份额持有人收取不低于1.5%的赎回费并全额计入基金财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本基金A/B类基金份额的赎回费率如下：</w:t>
      </w:r>
    </w:p>
    <w:tbl>
      <w:tblPr>
        <w:tblW w:w="5000" w:type="pct"/>
        <w:tblCellMar>
          <w:left w:w="0" w:type="dxa"/>
          <w:right w:w="0" w:type="dxa"/>
        </w:tblCellMar>
        <w:tblLook w:val="0000" w:firstRow="0" w:lastRow="0" w:firstColumn="0" w:lastColumn="0" w:noHBand="0" w:noVBand="0"/>
      </w:tblPr>
      <w:tblGrid>
        <w:gridCol w:w="2167"/>
        <w:gridCol w:w="6503"/>
      </w:tblGrid>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0.05%</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本基金C类基金份额和D类基金份额的赎回费率如下：</w:t>
      </w:r>
    </w:p>
    <w:tbl>
      <w:tblPr>
        <w:tblW w:w="5000" w:type="pct"/>
        <w:tblCellMar>
          <w:left w:w="0" w:type="dxa"/>
          <w:right w:w="0" w:type="dxa"/>
        </w:tblCellMar>
        <w:tblLook w:val="0000" w:firstRow="0" w:lastRow="0" w:firstColumn="0" w:lastColumn="0" w:noHBand="0" w:noVBand="0"/>
      </w:tblPr>
      <w:tblGrid>
        <w:gridCol w:w="2167"/>
        <w:gridCol w:w="6503"/>
      </w:tblGrid>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3、基金管理人可以在履行相关手续后，在基金合同约定的范围内调整申购、赎回费率或调整收费方式，基金管理人应于新的费率或收费方式实施日前依照有关规定在指定媒介上公告。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基金投资者定期和不定期地开展基金促销活动。在基金促销活动期间，基金管理人可以按中国证监会要求履行必要手续后，对基金投资者适当调整基金申购费率、赎回费率和转换费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（八）申购和赎回的数额和价格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份额余额的处理方式：申购的有效份额按实际确认的申购金额在扣除申购费用（如有）后，以当日该类基金份额的基金份额净值为基准计算，场外申购的有效份额按照四舍五入的原则保留到小数点后2位，由此误差产生的损失由基金财产承担，产生的收益归基金财产所有。场内申购的有效份额的计算截位保留到整数位，剩余部分折回金额返还投资者，折回金额的计算保留到小数点后两位，小数点两位以后的部分四舍五入，由此误差产生的损失由基金财产承担，产生的收益归基金财产所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赎回金额余额的处理方式：赎回金额为按实际确认的有效赎回份额乘以当日该类基金份额的基金份额净值并扣除赎回费用（如有），赎回金额计算结果按照四舍五入的原则保留到小数点后2位，由此误差产生的损失由基金财产承担，产生的收益归基金财产所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w:t>
      </w:r>
      <w:r w:rsidR="0036499D">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0.25pt;height:69.75pt">
            <v:imagedata r:id="rId15" o:title="1521256610242020828"/>
          </v:shape>
        </w:pic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场内申购的有效份额保留到整数位，剩余部分对应申购资金返还投资者。</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例一：某投资者投资100,000元申购本基金的A类基金份额，假设申购当日A/B类基金份额净值为1.0400元，申购费率为0.8%，如果该投资者是场外申购，则其可得到的申购份额为：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如果该投资者是场内申购，申购份额为95,390份，其余0.72份对应金额返回给投资者。</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（2）B类基金份额的申购</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申购份额＝</w:t>
      </w:r>
      <w:r w:rsidR="0036499D">
        <w:rPr>
          <w:rFonts w:ascii="宋体" w:hAnsi="宋体"/>
          <w:kern w:val="0"/>
          <w:sz w:val="24"/>
        </w:rPr>
        <w:pict>
          <v:shape id="_x0000_i1026" type="#_x0000_t75" style="width:290.25pt;height:69.75pt">
            <v:imagedata r:id="rId16" o:title="1521256610242020828"/>
          </v:shape>
        </w:pic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当投资者提出赎回时，后端申购费用的计算方法为：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后端申购费用＝赎回份额×T日A/B类基金份额净值×后端申购费率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例二：某投资者投资100,000元申购本基金的B类基金份额，假设申购当日A/B类基金份额净值为1.0400元，则其可得到的申购份额为：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即：投资者投资100,000元申购本基金的B类基金份额，假设申购当日A/B类基金份额净值为1.0400元，则可得到96,153.85份基金份额，但其在赎回时需根据其持有时间按对应的后端申购费率交纳后端申购费用。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（3）C类基金份额的申购</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（4）D类基金份额的申购</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如果投资者选择申购D类基金份额，则申购份额的计算方法如下：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申购份额=净申购金额/T日D类基金份额净值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例四：某投资者投资100,000.00元申购本基金的D类基金份额，假设申购当日D类基金份额净值为1.0400元，申购费率为0.9%，则其可得到的申购份额为：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净申购金额=100,000.00/（1+0.9%）=99,108.03元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申购费用=100,000.00-99,108.03=891.97元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申购份额=99,108.03/1.0400=95,296.18份</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即：投资者投资100,000.00元申购本基金D类基金份额，假设申购当日D类基金份额净值为1.0400元，则其可得到95,296.18份D类基金份额。</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赎回费用=赎回份额×T日A/B类基金份额净值×赎回费率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赎回金额=赎回份额×T日A/B类基金份额净值-赎回费用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例五：某投资者赎回100,000份A类基金份额，持有期限为100天，对应的赎回费率为0.1%，假设赎回当日A/B类基金份额净值是1.0160元，则其可得到的赎回金额为：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赎回费用=100,000×1.0160×0.1%＝101.60元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赎回金额=100,000×1.0160-101.60＝101,498.40元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即：投资者赎回100,000万份A类基金份额，持有期限为100天，对应的赎回费率为0.1%，假设赎回当日A/B类基金份额净值是1.0160元，则其可得到的赎回金额为101,498.40元。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（2）B类基金份额的赎回</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如果投资者赎回B类基金份额，则赎回金额的计算方法如下：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赎回总额＝赎回份额×T日A/B类基金份额净值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后端（认）申购费用＝赎回份额×（认）申购日基金份额净值×后端（认）申购费率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赎回费用＝赎回总额×赎回费率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赎回金额＝赎回总额－后端（认）申购费用－赎回费用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例六：某投资者赎回100,000份B类基金份额，持有期限为100天，对应的后端申购费率是1.0%，赎回费率为0.1%，假设赎回当日A/B类基金份额净值是1.0160</w:t>
      </w:r>
      <w:r>
        <w:rPr>
          <w:rFonts w:ascii="宋体" w:hAnsi="宋体"/>
          <w:sz w:val="24"/>
        </w:rPr>
        <w:lastRenderedPageBreak/>
        <w:t>元，申购时的A/B类基金份额净值为1.0100元，则其可得到的赎回金额为：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赎回总额=100,000×1.0160=101,600元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后端申购费用=100,000×1.0100×1.0%=1,010.00元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赎回费用=101,600×0.1%=101.60元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赎回金额=101,600-1,010.00-101.60=100,488.40元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B类基金份额，持有期限为100天，对应的赎回费率为0.1%，假设赎回当日A/B类基金份额净值是1.0160元，投资者对应的后端申购费率是1.0%，申购时的A/B类基金份额净值为1.0100元，则其可得到的赎回金额为100,488.40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（3）C类基金份额的赎回</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例七：某投资者赎回100,000份C类基金份额，持有期限为10天，对应的赎回费率为0，假设赎回当日C类基金份额净值是1.2500元，则其可得到的赎回金额为：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赎回费用=100,000×1.2500×0＝0元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赎回金额=100,000×1.2500-0=125,000 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即：投资者赎回100,000份C类基金份额，持有期限为10天，对应的赎回费率为0，假设赎回当日C类基金份额净值是1.2500元，则其可得到的赎回金额为125,000元。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（4）D类基金份额的赎回</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投资者赎回D类基金份额，赎回金额的计算方法如下：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赎回费用=赎回份额×T日D类基金份额净值×赎回费率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赎回金额=赎回份额×T日D类基金份额净值-赎回费用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例八：某投资者赎回100,000.00份D类基金份额，持有期限为10天，对应的赎回费率为0，假设赎回当日D类基金份额净值是1.0160元，则其可得到的赎回金额为：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赎回费用=100,000.00×1.0160×0＝0元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赎回金额=100,000.00×1.0160-0＝101,600.00元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即：投资者赎回100,000.00份D类基金份额，持有期限为10天，对应的赎回费</w:t>
      </w:r>
      <w:r>
        <w:rPr>
          <w:rFonts w:ascii="宋体" w:hAnsi="宋体"/>
          <w:sz w:val="24"/>
        </w:rPr>
        <w:lastRenderedPageBreak/>
        <w:t>率为0，假设赎回当日D类基金份额净值是1.0160元，则其可得到的赎回金额为101,600.00元。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A/B类基金份额净值＝A/B类基金份额的基金资产净值总额/发行在外的A/B类基金份额总数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D类基金份额净值＝D类基金份额的基金资产净值总额/发行在外的D类基金份额总数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本基金不同类别基金份额T日的基金份额净值在当日收市后分别计算，并在T＋1日分别公告。遇特殊情况，经中国证监会同意，可以适当延迟计算或公告。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（九）拒绝或暂停申购的情形及处理方式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发生下列情况时，基金管理人可拒绝或暂停接受基金投资者的申购申请：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1、因不可抗力导致基金无法正常运作或无法接受申购；</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2、证券交易所交易时间临时停市，导致基金管理人无法计算当日基金资产净值；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3、发生本基金合同规定的暂停基金资产估值情况；</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4、基金资产规模过大，使基金管理人无法找到合适的投资品种，或基金管理人认为会损害已有基金份额持有人利益的其他情形；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5、基金管理人认为会有损于现有基金份额持有人利益的某笔申购；</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7、基金管理人接受某笔或者某些申购申请有可能导致单一投资者持有基金份额的比例超过50%，或者变相规避50%集中度的情形。出现上述情形时，基金管理人有权将上述申购申请全部或部分确认失败。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8、法律法规规定或中国证监会认定的其他情形。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除第5、7项以外的暂停申购情形且基金管理人决定暂停接受基金投资者的申购申请时，基金管理人应当在规定期限内在指定媒介上刊登暂停申购公告。如果基金投资者的申购申请被拒绝，被拒绝的申购款项将退还给投资者。在暂停申</w:t>
      </w:r>
      <w:r>
        <w:rPr>
          <w:rFonts w:ascii="宋体" w:hAnsi="宋体"/>
          <w:sz w:val="24"/>
        </w:rPr>
        <w:lastRenderedPageBreak/>
        <w:t>购的情况消除时，基金管理人应及时恢复申购业务的办理。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（十）暂停赎回或者延缓支付赎回款项的情形及处理方式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发生下列情形时，基金管理人可暂停接受基金投资者的赎回申请或延缓支付赎回款项：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1、因不可抗力导致基金无法正常运作或基金管理人不能支付赎回款项；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2、证券交易所交易时间临时停市，导致基金管理人无法计算当日基金资产净值；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3、连续两个或两个以上开放日发生巨额赎回，导致本基金的现金支付出现困难；</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4、发生本基金合同规定的暂停基金资产估值情况；</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6、法律法规规定或中国证监会认定的其他情形。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且基金管理人决定暂停接受基金投资者的赎回申请或延缓支付赎回款项时，基金管理人应在规定期限内在指定媒介上刊登暂停公告，已确认成功的赎回申请，基金管理人应按时足额支付；如暂时不能足额支付，可支付部分按单个账户申请量占申请总量的比例分配给赎回申请人，未支付部分可延期确认，并以后续开放日的基金份额净值为依据计算赎回金额，若出现上述第3项所述情形，按基金合同的相关条款处理。投资者在申请赎回时可事先选择将当日可能未获受理部分予以撤销。暂停赎回或延缓支付款项的场内处理，按照上海证券交易所及中国证券登记结算有限责任公司的有关规定办理。在暂停赎回的情况消除时，基金管理人应及时恢复赎回业务的办理并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（十一）巨额赎回的情形及处理方式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工作日的基金总份额的10%，即认为是发生了巨额赎回。</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w:t>
      </w:r>
      <w:r>
        <w:rPr>
          <w:rFonts w:ascii="宋体" w:hAnsi="宋体"/>
          <w:sz w:val="24"/>
        </w:rPr>
        <w:lastRenderedPageBreak/>
        <w:t>额赎回或部分顺延赎回。</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（1）全额赎回：当基金管理人认为有能力支付基金投资者的赎回申请时，按正常赎回程序执行。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顺延赎回：当基金管理人认为支付基金投资者的赎回申请有困难或认为支付投资者的赎回申请而进行的财产变现可能会对基金资产净值造成较大波动时，基金管理人在当日接受赎回比例不低于上一工作日基金总份额的10%的前提下，对其余赎回申请延期办理。对于当日的赎回申请，应当按单个账户赎回申请量占赎回申请总量的比例，确定当日受理的赎回份额；基金投资者未能赎回部分，投资者在提交赎回申请时可以选择延期赎回或取消赎回。选择延期赎回的，将自动转入下一个开放日继续赎回，直到全部赎回为止；选择取消赎回的，当日未获赎回的部分申请将被撤销。延期的赎回申请与下一开放日赎回申请一并处理，无优先权并以该开放日的该类基金份额净值为基础计算赎回金额，并以此类推，直到全部赎回为止。如基金投资者在提交赎回申请时未作明确选择，投资者未能赎回部分作自动延期赎回处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顺延赎回”的约定方式与其他基金份额持有人的赎回申请一并办理。但是，如基金份额持有人在当日选择取消赎回，则其当日未获受理的部分赎回申请将被撤销。</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当发生巨额赎回并顺延赎回时，基金管理人应当通过邮寄、传真、刊登公告或者通知代销机构代为告知等方式在3个交易日内通知基金份额持有人，说明有关处理方法，并在2日内在指定媒介上刊登公告。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连续2日以上（含本数）发生巨额赎回，如基金管理人认为有必要，可暂停接受基金的赎回申请；已经确认成功的赎回申请可以延缓支付赎回款项，但不得超过20个工作日，并应当在指定媒介上进行公告。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（十二）暂停申购或赎回的公告和重新开放申购或赎回的公告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1、发生上述暂停申购或赎回情况的，基金管理人应在规定期限内在指定媒介上刊登暂停公告。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2、暂停结束，基金重新开放申购或赎回时，基金管理人应依照《信息披露管理办法》的有关规定，在指定媒介上刊登基金重新开放申购或赎回公告，并公告最近1个开放日各类基金份额的基金份额净值。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（十三）转托管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本基金的份额采用分系统登记的原则。场外认购或申购的基金份额登记在注册登记系统基金份额持有人开放式基金账户下；场内认购、申购的基金份额登记在证券登记结算系统基金份额持有人上海证券账户下。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1、系统内转托管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（1）系统内转托管是指基金份额持有人将持有的基金份额在注册登记系统内不同销售机构之间或证券登记结算系统内不同会员单位之间进行转登记的行为。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（2）基金份额登记在注册登记系统的基金份额持有人在变更办理基金赎回业务的销售机构（网点）时，销售机构（网点）之间不能通存通兑时的，可办理已持有基金份额的系统内转托管。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2、跨系统转托管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跨系统转托管是指基金份额持有人将所持有的A类基金份额在注册登记系统和证券登记结算系统之间进行转登记的行为。除经基金管理人另行公告，B类基金份额、C类基金份额、D类基金份额不能进行跨系统转托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（2）本基金跨系统转托管的具体业务按照中国证券登记结算有限责任公司的相关规定办理。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如果基金管理人、注册登记机构、办理转托管的销售机构出现技术系统性能限制或出于其它合理原因，可以暂停该业务或者拒绝基金份额持有人的转托管申请。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（十四）定期定额投资计划</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w:t>
      </w:r>
      <w:r>
        <w:rPr>
          <w:rFonts w:ascii="宋体" w:hAnsi="宋体"/>
          <w:sz w:val="24"/>
        </w:rPr>
        <w:lastRenderedPageBreak/>
        <w:t>额投资计划的同时，仍然可以进行日常申购、赎回业务。本基金2013年3月14日刊登公告自2013年3月19日起开通A/B类基金份额和C类基金份额的定期定额投资计划业务，本基金2024年9月11日刊登公告自2024年9月12日起增设D类基金份额并开通D类基金份额的定期定额投资计划业务，具体开通销售机构名单和业务规则参见相关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（十五）基金的非交易过户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指注册登记机构受理继承、捐赠、司法强制执行和经注册登记机构认可的其它情况而产生的非交易过户。无论在上述何种情况下，接受划转的主体必须是依法可以持有本基金基金份额的投资者。</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注册登记机构要求提供的相关资料，对于符合条件的非交易过户申请按注册登记机构的有关规定办理，并按注册登记机构规定的标准收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（十六）基金份额的冻结和解冻</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只受理国家有关机关依法要求的基金份额的冻结与解冻以及注册登记机构认可的其他情况的基金份额的冻结与解冻。基金份额被冻结的，被冻结基金份额所产生的权益按照法律法规、监管规章以及国家有权机关的要求来决定是否冻结。</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当基金份额处于冻结状态时，注册登记机构或其他相关机构有权拒绝该部分基金份额的赎回申请、转出申请、非交易过户以及基金的转托管申请。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（十七）实施侧袋机制期间本基金的申购与赎回</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B439CC" w:rsidRDefault="009E4ED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04E1" w:rsidRDefault="009E4ED0">
      <w:pPr>
        <w:pStyle w:val="1"/>
        <w:snapToGrid w:val="0"/>
        <w:spacing w:beforeLines="0" w:before="240" w:after="240"/>
        <w:rPr>
          <w:rFonts w:ascii="宋体" w:hAnsi="宋体"/>
          <w:szCs w:val="30"/>
        </w:rPr>
      </w:pPr>
      <w:bookmarkStart w:id="12" w:name="_Toc231197017"/>
      <w:r>
        <w:rPr>
          <w:rFonts w:ascii="Times New Roman" w:hAnsi="Times New Roman"/>
          <w:sz w:val="30"/>
        </w:rPr>
        <w:lastRenderedPageBreak/>
        <w:t>九、基金的转换</w:t>
      </w:r>
      <w:bookmarkEnd w:id="12"/>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基金转换是指开放式基金份额持有人将其持有某只基金的部分或全部份额转换为该基金其他份额（如有）或同一基金管理人管理的另一只开放式基金份额。基金转换只能在同一销售机构进行。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2013年3月28日刊登公告自2013年4月2日起开放A/B类基金份额和C类基金份额的日常转换业务，本基金2024年9月11日刊登公告自2024年9月12日起增设D类基金份额并开通D类基金份额的日常转换业务。本基金2025年10月23日刊登公告自2025年10月23日起开放开通同一基金不同类别基金份额转换业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（四）基金转换的数额限制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w:t>
      </w:r>
      <w:r>
        <w:rPr>
          <w:rFonts w:ascii="宋体" w:hAnsi="宋体"/>
          <w:sz w:val="24"/>
        </w:rPr>
        <w:lastRenderedPageBreak/>
        <w:t>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6、基金管理人可以根据法律法规及基金合同的规定对上述收费方式和费率进行调整，并应于调整后的收费方式和费率在实施前依照《信息披露办法》的有关规定在中国证监会规定媒介上公告。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转入基金确认份额的计算精确到小数点后两位，小数点后两位以后的部分四舍五入，误差部分归基金财产。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w:t>
      </w:r>
      <w:r>
        <w:rPr>
          <w:rFonts w:ascii="宋体" w:hAnsi="宋体"/>
          <w:sz w:val="24"/>
        </w:rPr>
        <w:lastRenderedPageBreak/>
        <w:t>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w:t>
      </w:r>
      <w:r>
        <w:rPr>
          <w:rFonts w:ascii="宋体" w:hAnsi="宋体"/>
          <w:sz w:val="24"/>
        </w:rPr>
        <w:lastRenderedPageBreak/>
        <w:t>理基金转换业务时，转出方的基金必须处于可赎回状态，转入方的基金必须处于可申购状态。</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货币市场基金、债券基金C类基金份额与其他基金之间的转换不受上述收费模式的限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9E4ED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04E1" w:rsidRDefault="009E4ED0">
      <w:pPr>
        <w:pStyle w:val="1"/>
        <w:snapToGrid w:val="0"/>
        <w:spacing w:beforeLines="0" w:before="240" w:after="240"/>
        <w:rPr>
          <w:rFonts w:ascii="宋体" w:hAnsi="宋体"/>
          <w:szCs w:val="30"/>
        </w:rPr>
      </w:pPr>
      <w:bookmarkStart w:id="13" w:name="_Toc231197018"/>
      <w:r>
        <w:rPr>
          <w:rFonts w:ascii="Times New Roman" w:hAnsi="Times New Roman"/>
          <w:sz w:val="30"/>
        </w:rPr>
        <w:lastRenderedPageBreak/>
        <w:t>十、基金的投资</w:t>
      </w:r>
      <w:bookmarkEnd w:id="13"/>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本基金为纯债基金，在严格控制投资风险的基础上，追求稳定的当期收益和基金资产的稳健增值。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债、央行票据、地方政府债、金融债、企业债、短期融资券、中期票据、公司债、分离交易可转债、资产支持证券、债券逆回购、银行存款等固定收益类资产以及法律法规或中国证监会允许基金投资的其他金融工具，但须符合中国证监会相关规定。本基金不直接在二级市场买入股票、权证等权益类资产，也不参与一级市场新股申购和新股增发。因投资于分离交易可转债而产生的权证，在其可交易之日起的30个交易日内卖出。同时本基金不参与可转换债券投资。如法律法规或监管机构以后允许基金投资其他品种，基金管理人履行适当程序后，可以将其纳入投资范围，其投资比例遵循届时有效法律法规或相关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本基金的投资组合比例范围为：固定收益类资产的比例不低于基金资产的80%；现金或到期日在一年以内的政府债券的比例合计不低于基金资产净值的5%，其中现金不包括结算备付金、存出保证金和应收申购款等。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将规范化的基本面研究、严谨的信用分析与积极主动的投资风格相结合，在分析和判断宏观经济运行状况和金融市场运行趋势的基础上，动态调整大类金融资产比例，自上而下决定债券组合久期、期限结构、债券类别配置策略，在严谨深入的分析基础上，综合考量各类债券的流动性、供求关系和收益率水平等，自下而上地精选个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分析和判断国内外宏观经济形势的基础上，通过“自上而下”的定性分析和定量分析相结合，形成对大类资产的预测和判断，在基金合同约定的范围内确定债券类资产和现金类资产的配置比例，并随着各类证券风险收益特征的相对变化，动态调整大类资产的投资比例，以规避市场风险，提高基金收益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2、债券投资策略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（1）久期管理策略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作为债券基金最基本的投资策略，久期管理策略本质上是一种自上而下，通过灵活的久期策略对管理利率风险的策略。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密切关注货币信贷、利率、汇率、采购经理人指数等宏观经济运行关键指标，运用数量化工具对宏观经济运行及货币财政政策变化跟踪与分析，对未来市场利率趋势进行分析预测，据此确定合理的债券组合目标久期。</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基金管理人通过以下方面的分析来确定债券组合的目标久期：</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宏观经济环境分析。通过跟踪分析货币信贷、采购经理人指数等宏观经济先行性经济指标，拉动经济增长的三大引擎进出口、消费以及投资等指标，判断当前经济运行在经济周期中所处的阶段，预期中央政府的货币与财政政策取向。</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2）利率变动趋势分析。在宏观经济环境分析的基础上，密切关注月度CPI、PPI等物价指数，货币信贷、汇率等金融运行数据，预测未来利率的变动趋势。</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目标久期分析。根据宏观经济环境分析与市场利率变动趋势分析，结合当期债券收益率估值水平，确定投资组合的目标久期。原则上，在利率上行通道中，通过缩短目标久期规避利率风险；在利率下行通道中，通过延长目标久期分享债券价格上涨的收益。在利率持平阶段，采用骑乘策略与持有策略，获得稳定的当前回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4）动态调整目标久期。通过对国内外宏观经济数据、金融市场运行、货币政策以及国内债券市场运行跟踪分析，评估未来利率水平变化趋势，结合债券市场收益率变动与基金投资目标，动态调整组合目标久期。</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（2）期限结构配置策略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（3）债券的类别配置策略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不同类别债券的信用风险、税赋水平、市场流动性、市场风险等因素进行分析，综合评估相同期限的国债、金融债、企业债、交易所和银行间市场投资品种的利差和变化趋势，通过不同类别资产的风险调整后收益比较，确定组合的类别资产</w:t>
      </w:r>
      <w:r>
        <w:rPr>
          <w:rFonts w:ascii="宋体" w:hAnsi="宋体"/>
          <w:sz w:val="24"/>
        </w:rPr>
        <w:lastRenderedPageBreak/>
        <w:t>配置。</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（4）骑乘策略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骑乘策略，通过对债券收益曲线形状变动的预期为依据来建立和调整组合。当债券收益率曲线比较陡峭时，买入位于收益率曲线陡峭处的债券，持有一段时间后，伴随债券剩余期限的缩短与收益率水平的下降，获得一定的资本利得收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（5）杠杆放大策略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（6）信用债券投资策略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本基金信用债券的投资遵循以下流程：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1）信用债券研究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2）信用债券投资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基金经理从信用债券池中精选债券构建信用债券投资组合。</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本基金构建和管理信用债券投资组合时主要考虑以下因素：</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①信用债券信用评级的变化。</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②不同信用等级的信用债券，以及同一信用等级不同标的债券之间的信用利差变化。</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原则上，购买信用（拟）增级的信用债券，减持信用（拟）降级的信用债券；购买信用利差扩大后存在收窄趋势的信用债券，减持信用利差缩小后存在放宽趋势的信用债券。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（7）资产支持证券（含资产收益计划）投资策略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w:t>
      </w:r>
      <w:r>
        <w:rPr>
          <w:rFonts w:ascii="宋体" w:hAnsi="宋体"/>
          <w:sz w:val="24"/>
        </w:rPr>
        <w:lastRenderedPageBreak/>
        <w:t>积极策略，在严格控制风险的情况下，通过信用研究和流动性管理，选择风险调整后的收益高的品种进行投资，以期获得长期稳定收益。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（四）业绩比较基准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全价指数由中央国债登记结算有限责任公司编制并发布，其指数样本涵盖国债、政策性银行债、商业银行债、地方企业债、中期票据以及证券公司短期融资券等14类券种，能够综合反映我国债券市场的整体投资收益情况，适合作为本基金的业绩比较基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（五）投资决策依据和投资流程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为了保证整个投资组合计划的顺利贯彻与实施，本基金遵循以下投资决策依据以及具体的投资流程：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1、投资决策依据</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（1）国家有关法律法规和基金合同的有关规定；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（2）宏观经济发展态势、证券市场运行环境和走势；</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（3）投资对象的风险和预期收益的匹配关系，本基金将在承担适度风险的前提下，选择风险和预期收益配比最佳的品种进行投资。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2、投资决策流程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本基金实行投资决策委员会领导下的基金经理负责制，投资总监是投资决策委员会的执行代表。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投资决策委员会和投资总监的主要职责是确定基金的资产配置政策，审批重大单项投资决定等。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基金经理的主要职责是在投资决策委员会确定的资产配置范围内，构建和调整投资组合，并向中央交易室下达投资指令。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中央交易室负责交易执行和一线监控。通过严格的交易制度和实时的一线监控功能，保证基金经理的投资指令在合法、合规的前提下得到高效的执行。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投资决策委员会是本基金的最高决策机构，投资决策委员会定期就投资管理业务的重大问题进行讨论。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基金经理、分析师、交易员在投资管理过程中既密切合作，又责任明确，在各自职责内按照业务程序独立工作并合理地相互制衡。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具体的投资管理流程如下：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1、投资决策委员会每月召开投资决策会议，决定基金的资产配置比例和债券的投资重点等；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2、研究部策略分析师、债券分析师、数量分析师各自独立完成相应的研究报告，为投资决策提供依据；</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3、固定收益部总经理每周召集固定收益业务投资例会，根据投资决策委员会的决定，结合市场和公司基本面的变化，决定具体的投资策略；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经理依据策略分析师的宏观经济分析和策略建议、债券分析师的债券市场研究和券种选择和数量分析师的定量投资策略研究，结合本基金产品定位及风险控制的要求，在权限范围内制定具体的投资组合方案；</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5、基金经理根据基金投资组合方案，向中央交易室下达交易指令；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6、中央交易室执行基金经理的交易指令，对交易情况及时反馈；</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7、数量分析师负责完成有关投资风险监控报告及内部基金业绩评估报告。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投资决策委员会有权根据市场变化和实际情况的需要，对上述投资管理程序做出调整。</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（六）投资限制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本基金的投资组合将遵循以下限制：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1、本基金与由本基金管理人管理的其他基金持有一家公司发行的证券，不超过该证券的10%；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2、进入全国银行间同业市场进行债券回购的资金余额不得超过基金资产净值的40%。债券回购最长期限为1年，债券回购到期后不得展期；</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3、保持不低于基金资产净值5%的现金或者到期日在一年以内的政府债券，其中现金不包括结算备付金、存出保证金和应收申购款等；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4、本基金持有的全部权证的市值不超过基金资产净值的 3%，本基金管理人管理的全部基金持有同一权证的比例不超过该权证的10%。投资于其他权证的投资比例，遵从法律法规或监管部门的相关规定；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5、本基金应投资于信用级别评级为BBB以上(含BBB)的资产支持证券。基金持有资产支持证券期间，如果其信用等级下降、不再符合投资标准，应在评级报告发</w:t>
      </w:r>
      <w:r>
        <w:rPr>
          <w:rFonts w:ascii="宋体" w:hAnsi="宋体"/>
          <w:sz w:val="24"/>
        </w:rPr>
        <w:lastRenderedPageBreak/>
        <w:t>布之日起3个月内予以全部卖出；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同一（指同一信用级别）资产支持证券的比例，不得超过该资产支持证券规模的10%；本基金投资于同一原始权益人的各类资产支持证券的比例，不得超过基金资产净值的10%；基金管理人管理的全部证券投资基金投资于同一原始权益人的各类资产支持证券，不得超过其各类资产支持证券合计规模的10%；本基金持有的全部资产支持证券，其市值不得超过基金资产净值的20%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8、本基金与私募类证券资管产品及中国证监会认定的其他主体为交易对手开展逆回购交易的，可接受质押品的资质要求应当与本基金合同约定的投资范围保持一致；</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9、本基金不得违反基金合同中有关投资范围、投资策略、投资比例的规定；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10、法律法规或监管部门对上述比例限制另有规定的，从其规定。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六个月内使基金的投资组合比例符合基金合同的约定。基金托管人对基金投资的监督与检查自本基金合同生效之日起开始。在符合相关法律法规规定的前提下，除上述第3、5、7、8项外，因证券市场波动、上市公司合并、基金规模变动等非本基金管理人的因素致使基金的投资组合不符合上述规定的投资比例的，基金管理人应当在10个交易日内进行调整。法律法规或监管部门另有规定的，从其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法规或监管部门对上述约定的投资组合比例限制规定进行变更，在履行适当程序后，以变更后的规定为准；当法律法规或监管部门取消上述限制，履行适当程序后，本基金投资可不受上述规定限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（七）禁止行为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为维护基金份额持有人的合法权益，本基金禁止从事下列行为：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2、向他人贷款或者提供担保；</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4、买卖其他基金份额，但是法律法规或国务院另有规定的除外；</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5、向基金管理人、基金托管人出资或者买卖基金管理人、基金托管人发行的债券；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6、买卖与基金管理人、基金托管人有控股关系的股东或者与基金管理人、基金托管人有其他重大利害关系的公司发行的证券或者承销期内承销的证券；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7、从事内幕交易、操纵证券交易价格及其他不正当的证券交易活动；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8、依照法律法规有关规定，由中国证监会规定禁止的其他活动。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若法律法规或监管部门取消上述禁止性规定，履行适当程序后，本基金投资可不受上述相关规定限制。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（八）风险收益特征</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属于证券投资基金中中等风险的品种，其长期平均的预期收益和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（九）基金管理人代表基金行使债权人权利的处理原则及方法</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1、基金管理人按照国家有关规定代表基金独立行使债权人权利，保护基金份额持有人的利益；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（十）基金的融资、融券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本基金可以按照有关法律法规和政策的规定进行融资、融券。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（十一）侧袋机制的实施和投资运作安排</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侧袋账户的实施条件、实施程序、运作安排、投资安排、特定资产的处置变现和支付等对投资者权益有重大影响的事项详见本招募说明书“侧袋机制”部分的规定。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（十二）基金投资组合报告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本基金托管人中国农业银行根据本基金合同规定,于2026年04月20日复核了本报告中的财务指标、净值表现和投资组合报告等内容,保证复核内容不存在虚假记载、误导性陈述或者重大遗漏。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本报告期为2026年01月01日至03月31日。本报告财务资料未经审计师审计。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2,927,889,102.07</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99.54</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2,927,889,102.07</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99.54</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1,668,322.24</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11,986,133.59</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0.41</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2,941,543,557.90</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3.1 报告期末按公允价值占基金资产净值比例大小排序的前十名股票投资明细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29,051,361.88</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1.22</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433,833,967.13</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18.20</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300,653,597.27</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12.61</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178,935,015.25</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7.51</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2,286,068,757.81</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95.91</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2,927,889,102.07</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122.84</w:t>
            </w:r>
          </w:p>
        </w:tc>
      </w:tr>
    </w:tbl>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250215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w:t>
            </w: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1,500,000</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148,631,095.89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6.24</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2520045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贵州银行绿色债</w:t>
            </w:r>
            <w:r>
              <w:rPr>
                <w:rFonts w:ascii="Times New Roman" w:hAnsi="Times New Roman"/>
                <w:color w:val="000000"/>
                <w:kern w:val="0"/>
                <w:sz w:val="25"/>
                <w:szCs w:val="24"/>
              </w:rPr>
              <w:t>02</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1,300,000</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133,180,369.86</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5.59</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102300552</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太原国投</w:t>
            </w:r>
            <w:r>
              <w:rPr>
                <w:rFonts w:ascii="Times New Roman" w:hAnsi="Times New Roman"/>
                <w:color w:val="000000"/>
                <w:kern w:val="0"/>
                <w:sz w:val="25"/>
                <w:szCs w:val="24"/>
              </w:rPr>
              <w:t>MTN003</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102,183,479.45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4.29</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250411</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农发</w:t>
            </w: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101,691,835.62</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4.27</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102480355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福清国资</w:t>
            </w:r>
            <w:r>
              <w:rPr>
                <w:rFonts w:ascii="Times New Roman" w:hAnsi="Times New Roman"/>
                <w:color w:val="000000"/>
                <w:kern w:val="0"/>
                <w:sz w:val="25"/>
                <w:szCs w:val="24"/>
              </w:rPr>
              <w:t>MTN001</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700,000</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72,901,613.15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3.06</w:t>
            </w:r>
          </w:p>
        </w:tc>
      </w:tr>
    </w:tbl>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9、报告期末本基金投资的国债期货交易情况说明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2025年09月30日,央行公示银罚决字[2025]66号行政处罚决定书,给予国家开发银行123万元人民币的行政处罚。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2025年09月08日,央行贵州省分行公示贵银罚决字[2025]18号行政处罚决定书,给予贵州银行股份有限公司20万元人民币的行政处罚。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2025年08月01日,国家金融监督管理总局公示行政处罚决定书,给予中国农业发展银行1020万元人民币的行政处罚。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2025年07月25日,国家外汇管理局北京市分局公示京汇罚[2025]30号行政处罚决定书,给予国家开发银行罚没共计1394.42万元人民币的行政处罚。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2025年07月16日,国家金融监督管理总局贵州监管局公示贵金罚决字[2025]53号行政处罚决定书,给予贵州银行股份有限公司30万元人民币的行政处罚。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9,279.15</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10,475,154.79</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1,501,699.65</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right"/>
              <w:rPr>
                <w:rFonts w:ascii="宋体" w:hAnsi="宋体"/>
                <w:color w:val="000000"/>
                <w:kern w:val="0"/>
                <w:sz w:val="25"/>
                <w:szCs w:val="24"/>
              </w:rPr>
            </w:pPr>
            <w:r>
              <w:rPr>
                <w:rFonts w:ascii="Times New Roman" w:hAnsi="Times New Roman"/>
                <w:color w:val="000000"/>
                <w:kern w:val="0"/>
                <w:sz w:val="25"/>
                <w:szCs w:val="24"/>
              </w:rPr>
              <w:t>11,986,133.59</w:t>
            </w:r>
          </w:p>
        </w:tc>
      </w:tr>
    </w:tbl>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9E4ED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04E1" w:rsidRDefault="009E4ED0">
      <w:pPr>
        <w:pStyle w:val="1"/>
        <w:snapToGrid w:val="0"/>
        <w:spacing w:beforeLines="0" w:before="240" w:after="240"/>
        <w:rPr>
          <w:rFonts w:ascii="宋体" w:hAnsi="宋体"/>
          <w:szCs w:val="30"/>
        </w:rPr>
      </w:pPr>
      <w:bookmarkStart w:id="14" w:name="_Toc231197019"/>
      <w:r>
        <w:rPr>
          <w:rFonts w:ascii="Times New Roman" w:hAnsi="Times New Roman"/>
          <w:sz w:val="30"/>
        </w:rPr>
        <w:lastRenderedPageBreak/>
        <w:t>十一、基金的业绩</w:t>
      </w:r>
      <w:bookmarkEnd w:id="14"/>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（1）交银纯债债券发起A/B</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1.26%</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2.85%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4.02%</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-0.96%</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5.21%</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3.15%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0.98%</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5.25%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3.15%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2.83%</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2.90%</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4.74%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3.43%</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9.27%</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4.48%</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-3.39%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3.09%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-2.73%</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-1.63%</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-1.10%</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10.86%</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4.18%</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6.68%</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10.10%</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6.54%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3.56%</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-3.75%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3.24%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（2）交银纯债债券发起C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阶段</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0.85%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2.44%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3.58%</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4.98%</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-1.40%</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2.06%</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2.73%</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4.83%</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2.73%</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2.46%</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2.53%</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4.38%</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1.31%</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3.07%</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8.84%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4.05%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-3.39%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2.69%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-3.20%</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-1.63%</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-1.57%</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10.28%</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4.18%</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6.10%</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9.44%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0.14%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6.54%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2.90%</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-1.11%</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-3.75%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（3）交银纯债债券发起D</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1.25%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-1.59%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2.84%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D704E1">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1.53%</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-0.45%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bl>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注：本基金的业绩比较基准为中债综合全价指数。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D704E1" w:rsidRDefault="009E4ED0">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lastRenderedPageBreak/>
        <w:t>交银施罗德纯债债券型发起式证券投资基金</w:t>
      </w:r>
    </w:p>
    <w:p w:rsidR="00D704E1" w:rsidRDefault="009E4ED0">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D704E1" w:rsidRDefault="009E4ED0">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（2012年12月19日至2026年03月31日）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（1）交银纯债债券发起A/B</w:t>
      </w:r>
    </w:p>
    <w:p w:rsidR="00D704E1" w:rsidRDefault="0036499D">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7" type="#_x0000_t75" style="width:439.5pt;height:268.5pt">
            <v:imagedata r:id="rId17" o:title="1521256610242020828"/>
          </v:shape>
        </w:pic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（2）交银纯债债券发起C</w:t>
      </w:r>
    </w:p>
    <w:p w:rsidR="00D704E1" w:rsidRDefault="0036499D">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8" type="#_x0000_t75" style="width:439.5pt;height:268.5pt">
            <v:imagedata r:id="rId18" o:title="1521256610242020828"/>
          </v:shape>
        </w:pic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（3）交银纯债债券发起D</w:t>
      </w:r>
    </w:p>
    <w:p w:rsidR="00D704E1" w:rsidRDefault="0036499D">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9" type="#_x0000_t75" style="width:439.5pt;height:268.5pt">
            <v:imagedata r:id="rId19" o:title="1521256610242020828"/>
          </v:shape>
        </w:pic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2、本基金自2024年9月12日起，开始销售D类份额，投资者提交的申购申请于2024年9月13日被确认并将有效份额登记在册。</w:t>
      </w:r>
    </w:p>
    <w:p w:rsidR="00B439CC" w:rsidRDefault="009E4ED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04E1" w:rsidRDefault="009E4ED0">
      <w:pPr>
        <w:pStyle w:val="1"/>
        <w:snapToGrid w:val="0"/>
        <w:spacing w:beforeLines="0" w:before="240" w:after="240"/>
        <w:rPr>
          <w:rFonts w:ascii="宋体" w:hAnsi="宋体"/>
          <w:szCs w:val="30"/>
        </w:rPr>
      </w:pPr>
      <w:bookmarkStart w:id="15" w:name="_Toc231197020"/>
      <w:r>
        <w:rPr>
          <w:rFonts w:ascii="Times New Roman" w:hAnsi="Times New Roman"/>
          <w:sz w:val="30"/>
        </w:rPr>
        <w:lastRenderedPageBreak/>
        <w:t>十二、基金的财产</w:t>
      </w:r>
      <w:bookmarkEnd w:id="15"/>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基金资产总值是指基金拥有的各类有价证券、银行存款本息、基金应收申购款以及其他资产的价值总和。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基金资产净值是指基金资产总值减去基金负债后的净资产值。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以本基金名义开立银行存款账户，以基金托管人的名义开立证券交易清算资金的结算备付金账户，以基金托管人和本基金联名的方式开立基金证券账户，以本基金的名义开立银行间债券托管账户。开立的基金专用账户与基金管理人、基金托管人、基金销售机构和注册登记机构自有的财产账户以及其他基金财产账户相独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（四）基金财产的处分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独立于基金管理人、基金托管人和代销机构的固有财产，并由基金托管人保管。基金管理人、基金托管人因基金财产的管理、运用或者其他情形而取得的财产和收益归入基金财产。基金管理人、基金托管人可以按基金合同的约定收取管理费、托管费以及基金合同约定的其他费用。基金管理人、基金托管人以其自有财产承担法律责任，其债权人不得对基金财产行使请求冻结、扣押和其他权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基金财产的债权，不得与基金管理人、基金托管人固有财产的债务相抵销；不同基金财产的债权债务，不得相互抵销。</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除依据《基金法》、基金合同及其他有关规定处分外，基金财产不得被处分。非因基金财产本身承担的债务，不得对基金财产强制执行。</w:t>
      </w:r>
    </w:p>
    <w:p w:rsidR="00B439CC" w:rsidRDefault="009E4ED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04E1" w:rsidRDefault="009E4ED0">
      <w:pPr>
        <w:pStyle w:val="1"/>
        <w:snapToGrid w:val="0"/>
        <w:spacing w:beforeLines="0" w:before="240" w:after="240"/>
        <w:rPr>
          <w:rFonts w:ascii="宋体" w:hAnsi="宋体"/>
          <w:szCs w:val="30"/>
        </w:rPr>
      </w:pPr>
      <w:bookmarkStart w:id="16" w:name="_Toc231197021"/>
      <w:r>
        <w:rPr>
          <w:rFonts w:ascii="Times New Roman" w:hAnsi="Times New Roman"/>
          <w:sz w:val="30"/>
        </w:rPr>
        <w:lastRenderedPageBreak/>
        <w:t>十三、基金资产的估值</w:t>
      </w:r>
      <w:bookmarkEnd w:id="16"/>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（一）估值目的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基金资产的估值目的是客观、准确地反映基金资产是否保值、增值，并为基金份额提供计价依据。</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本基金的估值日为相关的证券交易场所的正常交易日，以及国家法律法规规定需要对外披露基金净值的非交易日。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（三）估值对象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基金依法拥有的债券、权证及其他基金资产和负债。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（四）估值程序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日常估值由基金管理人进行。基金管理人每个工作日分别计算本基金A/B类基金份额、C类基金份额和D类基金份额的基金资产净值及基金份额净值。各类基金份额净值由基金管理人完成估值后，将估值结果以书面形式或双方约定的其他形式报给基金托管人，基金托管人按基金合同规定的估值方法、时间、程序进行复核，基金托管人复核无误后签章返回给基金管理人，由基金管理人依据本基金合同和有关法律法规的规定予以公布。月末、年中和年末估值复核与基金会计账目的核对同时进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（五）估值方法</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1、债券估值方法：</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证券交易所市场挂牌交易且实行净价交易的债券按估值日收盘价估值；估值日没有交易的，且最近交易日后经济环境未发生重大变化，按最近交易日的收盘价估值；如果估值日无交易，且最近交易日后经济环境发生了重大变化的，将参考类似投资品种的现行市价及重大变化因素，调整最近交易日收盘价，确定公允价值进行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证券交易所市场挂牌交易且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估值；如果估值日无交易，且最近交易日后经济环境发生了重大变化的，将参考类似投资品种的现行市价及重大变化因素，调整最</w:t>
      </w:r>
      <w:r>
        <w:rPr>
          <w:rFonts w:ascii="宋体" w:hAnsi="宋体"/>
          <w:sz w:val="24"/>
        </w:rPr>
        <w:lastRenderedPageBreak/>
        <w:t>近交易日收盘价，确定公允价值进行估值。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（3）首次发行未上市债券采用估值技术确定的公允价值进行估值，在估值技术难以可靠计量公允价值的情况下，按成本估值。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（4）交易所以大宗交易方式转让的资产支持证券，采用估值技术确定公允价值，在估值技术难以可靠计量公允价值的情况下，按成本进行后续计量。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（5）在全国银行间债券市场交易的债券、资产支持证券等固定收益品种，采用估值技术确定公允价值。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（6）同一债券同时在两个或两个以上市场交易的，按债券所处的市场分别估值。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任何情况下，基金管理人如采用本项第（1）－（6）小项规定的方法对基金资产进行估值，均应被认为采用了适当的估值方法。但是，如果基金管理人认为按本项第（1）－（6）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（8）国家有最新规定的，按其规定进行估值。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2、权证估值方法：</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持有的权证，从持有确认日起到卖出日或行权日止，上市交易的权证按估值日在证券交易所挂牌的该权证的收盘价估值；估值日没有交易的，且最近交易日后经济环境未发生重大变化，按最近交易日的收盘价估值；如最近交易日后经济环境发生了重大变化的，可参考类似投资品种的现行市价及重大变化因素，调整最近交易市价，确定公允价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（2）首次发行未上市的权证，采用估值技术确定公允价值，在估值技术难以可靠计量公允价值的情况下，按成本估值。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（3）停止交易、但未行权的权证，采用估值技术确定公允价值进行估值。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任何情况下，基金管理人如采用本项第（1）－（3）项规定的方法对基金资产进行估值，均应被认为采用了适当的估值方法。但是，如果基金管理人认为按本项第（1）－（3）项规定的方法对基金资产进行估值不能客观反映其公允价值的，基金管理人可根据具体情况，并与基金托管人商定后，按最能反映公允价值的价格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（5）国家有最新规定的，按其规定进行估值。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3、其他有价证券等资产按国家有关规定进行估值。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以约定的方法、程序和相关法律法规的规定进行估值，以维护基金份额持有人的利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本基金的基金会计责任方由基金管理人担任。因此，就与本基金有关的会计问题，如经相关各方在平等基础上充分讨论后，仍无法达成一致的意见，基金管理人有权按照其对基金资产净值的计算结果对外予以公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（六）估值错误的处理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本基金合同的当事人应按照以下约定处理：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注册登记机构或代销机构或投资者自身的过错造成估值错误，导致其他当事人遭受损失的，估值错误的责任人应当对由于该估值错误遭受损失的当事人（“受损方”）按下述“估值错误处理原则”给予赔偿，承担赔偿责任。</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对于因技术原因引起的估值错误，若系同行业现有技术水平不能预见、不能避免、不能克服，则属不可抗力，按照下述规定执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者的交易资料灭失或被错误处理或造成其他估值错误，因不可抗力原因出现估值错误的当事人不对其他当事人承担赔偿责任，但因该估值错误取得不当得利的当事人仍应负有返还不当得利的义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承担；若估值错误责任方已经积极协调，并且有协助义务的当事人有足够</w:t>
      </w:r>
      <w:r>
        <w:rPr>
          <w:rFonts w:ascii="宋体" w:hAnsi="宋体"/>
          <w:sz w:val="24"/>
        </w:rPr>
        <w:lastRenderedPageBreak/>
        <w:t>的时间进行更正而未更正，则其应当承担相应赔偿责任。估值错误责任方应对更正的情况向有关当事人进行确认，确保估值错误已得到更正；</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（2）估值错误的责任方对可能导致有关当事人的直接损失负责，不对间接损失负责，并且仅对估值错误的有关直接当事人负责，不对第三方负责；</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错误责任方拒绝进行赔偿时，如果因基金管理人的行为造成基金财产损失时，基金托管人应为基金的利益向基金管理人追偿，如果因基金托管人的行为造成基金财产损失时，基金管理人应为基金的利益向基金托管人追偿。基金管理人和托管人之外的第三方造成基金财产的损失，并拒绝进行赔偿时，由基金管理人负责向估值错误方追偿，追偿过程中产生的有关费用，由责任方承担；</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果出现估值错误的当事人未按规定对受损方进行赔偿，并且依据法律法规、基金合同或其他规定，基金管理人自行或依据法院判决、仲裁裁决对受损方承担了赔偿责任，则基金管理人有权向有责任的当事人进行追索，并有权要求其赔偿或补偿由此发生的费用和遭受的损失；</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（7）按法律法规规定的其他原则处理估值错误。</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（4）根据估值错误处理的方法，需要修改注册登记机构交易数据的，由注册登记机构进行更正，并就估值错误的更正向有关当事人进行确认。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4、基金份额净值错误处理的原则和方法</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4位以内（含第4位）发生估值错误时，视为基金份额净值错误；基金份额净值出现错误时，基金管理人应当立即予以纠正，通报基金托管人，并采取合理的措施防止损失进一步扩大；当错误达到或超过基金资产净值的0.25%时，基金管理人应当及时通知基金托管人并报中国证监会；错误偏差达到基金份额净值的0.5%时，基金管理人应当公告、通报基金托管人并报中国证监会备案；当发生基金份额净值错误时，由基金管理人负责处理，由此给基金份额持有人和基金造成损失的，应由基金管理人先行赔付，基金管理人按估值错误情形，有权向其他当事人追偿。</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（2）当基金份额净值错误给基金和基金份额持有人造成损失需要进行赔偿时，基金管理人和基金托管人应根据实际情况界定双方承担的责任，经确认后按以下条款进行赔偿：</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 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 若基金管理人计算的基金份额净值已由基金托管人复核确认后公告，当发生基金份额净值错误而且基金托管人未对计算过程提出疑义或要求基金管理人书面说明，基金份额净值错误且造成基金份额持有人损失的，应根据法律法规的规定对基金份额持有人或基金支付赔偿金，就实际向基金份额持有人或基金支付的赔偿金额，其中基金管理人承担50%，基金托管人承担50%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 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 由于基金管理人提供的信息错误（包括但不限于基金申购或赎回金额等），基金托管人在履行正常的复核程序后仍不能发现该错误，进而导致基金份额净值错误而引起的基金份额持有人和基金财产的损失，由基金管理人负责赔付。</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（3）基金管理人和基金托管人由于各自技术系统设置而产生的净值计算尾</w:t>
      </w:r>
      <w:r>
        <w:rPr>
          <w:rFonts w:ascii="宋体" w:hAnsi="宋体"/>
          <w:sz w:val="24"/>
        </w:rPr>
        <w:lastRenderedPageBreak/>
        <w:t>差，以基金管理人计算结果为准。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（4）前述内容如法律法规或者监管部门另有规定的，从其规定。如果行业有通行做法，双方当事人应本着平等和保护基金份额持有人利益的原则进行协商。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（七）暂停估值的情形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1、基金投资所涉及的证券投资市场遇法定节假日或因其他原因暂停交易时；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2、因不可抗力或其他情形致使基金管理人、基金托管人无法准确评估基金资产价值时；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5、中国证监会和基金合同认定的其他情形。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（八）基金净值的确认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工作日交易结束后将当日的净值计算结果发送给基金托管人。基金托管人对净值计算结果复核确认后发送给基金管理人，由基金管理人依据本基金合同和有关法律法规的规定对基金净值予以公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各类基金份额净值的计算精确到0.0001元，小数点后第五位四舍五入，由此产生的误差计入基金财产。国家另有规定的，从其规定。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（九）特殊情形的处理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1、基金管理人或基金托管人按债券估值方法的第（7）项、权证估值方法的第（4）项进行估值时，所造成的误差不作为基金资产估值错误处理。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证券交易所或登记结算公司发送的数据错误，有关会计制度变化或由于其他不可抗力原因，基金管理人和基金托管人虽然已经采取必要、适当、合理的措施进行检查，但是未能发现该错误而造成的基金份额净值错误，基金管理人、基金托管人免除赔偿责任。但基金管理人、基金托管人应积极采取必要的措施消除由此造成的影响。</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（十）实施侧袋机制期间的基金资产估值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9E4ED0"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D704E1" w:rsidRDefault="009E4ED0">
      <w:pPr>
        <w:pStyle w:val="1"/>
        <w:snapToGrid w:val="0"/>
        <w:spacing w:beforeLines="0" w:before="240" w:after="240"/>
        <w:rPr>
          <w:rFonts w:ascii="宋体" w:hAnsi="宋体"/>
          <w:szCs w:val="30"/>
        </w:rPr>
      </w:pPr>
      <w:bookmarkStart w:id="17" w:name="_Toc231197022"/>
      <w:r>
        <w:rPr>
          <w:rFonts w:ascii="Times New Roman" w:hAnsi="Times New Roman"/>
          <w:sz w:val="30"/>
        </w:rPr>
        <w:lastRenderedPageBreak/>
        <w:t>十四、基金的收益与分配</w:t>
      </w:r>
      <w:bookmarkEnd w:id="17"/>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本基金收益分配应遵循下列原则：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1、由于本基金A类、B类和D类基金份额不收取销售服务费，C类基金份额收取销售服务费，各基金份额类别对应的可供分配利润将有所不同，本基金同一基金份额类别的每份基金份额享有同等分配权；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2、收益分配时所发生的银行转账或其他手续费用由基金投资者自行承担；</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3、每季度末最后一个工作日为收益分配基准日，在符合有关基金分红条件的前提下，当收益分配基准日每份基金份额可供分配利润大于0.01 元时，本基金进行收益分配，本基金每年收益分配次数最多为12次，每份基金份额每次分配比例不得低于收益分配基准日每份基金份额可供分配利润的50%；若基金合同生效不满3个月，可不进行收益分配；</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4、基金收益分配基准日的任一类基金份额净值减去该类每单位基金份额收益分配金额后不能低于面值；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收益分配方式分为两种：现金分红与红利再投资，基金投资者可选择现金红利或将现金红利自动转为相应类别的基金份额进行再投资；若投资者不选择，本基金默认的收益分配方式是现金分红；基金份额持有人可对A类、B类、C类以及D类基金份额分别选择不同的收益分配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6、法律法规或监管机构另有规定的从其规定。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在不影响基金份额持有人利益的情况下，基金管理人可在法律法规允许的前提下酌情调整以上基金收益分配原则，并于变更实施日前在指定媒介上公告。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基金收益分配方案中应载明基金收益分配基准日可供分配利润、基金收益分配</w:t>
      </w:r>
      <w:r>
        <w:rPr>
          <w:rFonts w:ascii="宋体" w:hAnsi="宋体"/>
          <w:sz w:val="24"/>
        </w:rPr>
        <w:lastRenderedPageBreak/>
        <w:t>对象、分配时间、分配数额及比例、分配方式等内容。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1、本基金收益分配方案由基金管理人拟定、由基金托管人复核，依照《信息披露办法》的有关规定在指定媒介公告。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的发放日距离收益分配基准日的时间不超过15个工作日。在分配方案公布后（依据具体方案的规定），基金管理人就支付的现金红利向基金托管人发送划款指令，基金托管人按照基金管理人的指令及时进行分红资金的划付。</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3、法律法规或监管机关另有规定的，从其规定。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（六）收益分配中发生的费用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收益分配时所发生的银行转账或其他手续费用由投资者自行承担。当投资者的现金红利小于一定金额，不足于支付银行转账或其他手续费用时，注册登记机构可将基金份额持有人的现金红利自动转为相应类别的基金份额。红利再投资的计算方法，依照《业务规则》执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投资者可至销售机构办理收益分配方式的修改，投资者对不同的交易账户可设置不同的收益分配方式。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投资者同一日多次申报分红方式变更的，按照《业务规则》执行，最终确认的分红方式以注册登记机构记录为准。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9E4ED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04E1" w:rsidRDefault="009E4ED0">
      <w:pPr>
        <w:pStyle w:val="1"/>
        <w:snapToGrid w:val="0"/>
        <w:spacing w:beforeLines="0" w:before="240" w:after="240"/>
        <w:rPr>
          <w:rFonts w:ascii="宋体" w:hAnsi="宋体"/>
          <w:szCs w:val="30"/>
        </w:rPr>
      </w:pPr>
      <w:bookmarkStart w:id="18" w:name="_Toc231197023"/>
      <w:r>
        <w:rPr>
          <w:rFonts w:ascii="Times New Roman" w:hAnsi="Times New Roman"/>
          <w:sz w:val="30"/>
        </w:rPr>
        <w:lastRenderedPageBreak/>
        <w:t>十五、基金的费用与税收</w:t>
      </w:r>
      <w:bookmarkEnd w:id="18"/>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3、基金合同生效后的信息披露费用；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4、基金份额持有人大会费用；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5、基金合同生效后与基金有关的会计师费和律师费；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7、基金财产拨划支付的银行费用；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8、证券账户开户费用和银行账户维护费；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9、本基金从C类基金份额的基金财产中计提销售服务费；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10、按照国家有关规定可以在基金财产中列支的其他费用。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在通常情况下，基金管理费按前一日基金资产净值的0.3%年费率计提。计算方法如下：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财产中一次性支付给基金管理人，若遇法定节假日、休息日或不可抗力致使无法按时支付的，顺延至最近可支付日支付。</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在通常情况下，基金托管费按前一日基金资产净值的0.1%年费率计提。计算方法如下：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E为前一日基金资产净值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财产中一次性支付给基金托管人，若遇法定节假日、休息日或不可抗力致使无法按时支付的，顺延至最近可支付日支付。</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（3）上述（一）中3到8、10项费用由基金托管人根据其他有关法律法规及相应协议的规定，按费用支出金额支付，列入或摊入当期基金费用。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（1）A类和B类基金份额的申购费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本基金A类和B类基金份额申购费的费率水平、计算公式和收取方式详见“基金份额的申购与赎回”一章。</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（2）A类和B类基金份额的赎回费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本基金A类和B类基金份额赎回费的费率水平、计算公式和收取方式详见“基金份额的申购与赎回”一章。</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本基金A类、B类和D类基金份额不收取销售服务费，C类基金份额的销售服务费按前一日C类基金资产净值的0.4%年费率计提。计算方法如下：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H＝E×年销售服务费率÷当年天数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提，按月支付。由基金管理人向基金托管人发送销售服务费划付指令，经基金托管人复核后于次月首日起3个工作日内从基金财产中一次性支付给基金管理人，若遇法定节假日、休息日或不可抗力致使无法按时支付的，顺延至最近可支付日支付。</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基金管理人和基金托管人因未履行或未完全履行义务导致的费用支出或基金财</w:t>
      </w:r>
      <w:r>
        <w:rPr>
          <w:rFonts w:ascii="宋体" w:hAnsi="宋体"/>
          <w:sz w:val="24"/>
        </w:rPr>
        <w:lastRenderedPageBreak/>
        <w:t>产的损失，以及处理与基金运作无关的事项发生的费用等不列入基金费用。基金募集期间的信息披露费、律师费和会计师费以及其他费用不得从基金财产中列支。</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（四）基金管理费和基金托管费的调整</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可根据基金发展情况调整基金管理费率、基金托管费率和C类基金份额销售服务费。降低基金管理费率、基金托管费率和C类基金份额销售服务费，无须召开基金份额持有人大会。基金管理人必须依照有关规定最迟于新的费率实施日前在指定媒介和基金管理人网站上刊登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（五）实施侧袋机制期间的基金费用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基金和基金份额持有人根据国家法律法规的规定，履行纳税义务。</w:t>
      </w:r>
    </w:p>
    <w:p w:rsidR="00B439CC" w:rsidRDefault="009E4ED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04E1" w:rsidRDefault="009E4ED0">
      <w:pPr>
        <w:pStyle w:val="1"/>
        <w:snapToGrid w:val="0"/>
        <w:spacing w:beforeLines="0" w:before="240" w:after="240"/>
        <w:rPr>
          <w:rFonts w:ascii="宋体" w:hAnsi="宋体"/>
          <w:szCs w:val="30"/>
        </w:rPr>
      </w:pPr>
      <w:bookmarkStart w:id="19" w:name="_Toc231197024"/>
      <w:r>
        <w:rPr>
          <w:rFonts w:ascii="Times New Roman" w:hAnsi="Times New Roman"/>
          <w:sz w:val="30"/>
        </w:rPr>
        <w:lastRenderedPageBreak/>
        <w:t>十六、基金的会计与审计</w:t>
      </w:r>
      <w:bookmarkEnd w:id="19"/>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（一）基金的会计政策</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1、基金管理人为本基金的会计责任方；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2、本基金的会计年度为公历每年的1月1日至12月31日；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3、本基金的会计核算以人民币为记账本位币，以人民币元为记账单位；</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4、会计制度执行国家有关的会计制度；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6、基金管理人及基金托管人分别保留完整的会计账目、凭证并进行日常的会计核算，按照有关规定编制基金会计报表；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7、基金托管人定期与基金管理人就基金的会计核算、报表编制等进行核对并书面确认。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（二）基金的审计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1、基金管理人聘请具有从事证券、期货相关业务资格的会计师事务所及其注册会计师对本基金年度财务报表及其他规定事项进行审计。会计师事务所及其注册会计师与基金管理人、基金托管人相互独立。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2、会计师事务所更换经办注册会计师时，应事先征得基金管理人同意。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9E4ED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04E1" w:rsidRDefault="009E4ED0">
      <w:pPr>
        <w:pStyle w:val="1"/>
        <w:snapToGrid w:val="0"/>
        <w:spacing w:beforeLines="0" w:before="240" w:after="240"/>
        <w:rPr>
          <w:rFonts w:ascii="宋体" w:hAnsi="宋体"/>
          <w:szCs w:val="30"/>
        </w:rPr>
      </w:pPr>
      <w:bookmarkStart w:id="20" w:name="_Toc231197025"/>
      <w:r>
        <w:rPr>
          <w:rFonts w:ascii="Times New Roman" w:hAnsi="Times New Roman"/>
          <w:sz w:val="30"/>
        </w:rPr>
        <w:lastRenderedPageBreak/>
        <w:t>十七、基金的信息披露</w:t>
      </w:r>
      <w:bookmarkEnd w:id="20"/>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（一）本基金的信息披露应符合《基金法》、《运作办法》、《信息披露办法》、《流动性规定》、基金合同及其他有关规定。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（三）本基金信息披露义务人在承诺公开披露的基金信息时，不得有下列行为：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1、招募说明书、基金合同、托管协议、基金产品资料概要</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基金经中国证监会准予变更注册后，基金管理人根据《信息披露办法》的规定将招募说明书、基金合同摘要登载在指定媒介上；基金管理人、基金托管人应当将基金合同、托管协议登载在网站上。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2、发售公告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基金管理人应当就基金份额发售的具体事宜编制发售公告，并在披露招募说明书的当日登载于指定媒介上。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基金管理人应当在本基金合同生效的次日在指定报刊和基金管理人网站上登载基金合同生效公告。基金合同生效公告中将说明基金募集情况。</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4、基金开始申购、赎回公告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基金管理人应于申购开始日、赎回开始日前在指定媒介上公告。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w:t>
      </w:r>
      <w:r>
        <w:rPr>
          <w:rFonts w:ascii="宋体" w:hAnsi="宋体"/>
          <w:sz w:val="24"/>
        </w:rPr>
        <w:lastRenderedPageBreak/>
        <w:t>申购、赎回价格的计算方式及有关申购、赎回费率，并保证投资者能够在基金销售机构网站或营业网点查阅或者复制前述信息资料。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6、基金净值信息</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《基金合同》生效后，在开始办理基金份额申购或者赎回前，基金管理人应当至少每周在指定网站披露一次A/B类基金份额和C类基金份额所对应的基金份额净值和基金份额累计净值。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指定网站、基金销售机构网站或者营业网点分别披露开放日的A/B类基金份额、C类基金份额和D类基金份额所对应的基金份额净值和基金份额累计净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基金管理人应当在不晚于半年度和年度最后一日的次日，在指定网站分别披露半年度和年度最后一日的A/B类基金份额、C类基金份额和D类基金份额所对应的基金份额净值和基金份额累计净值。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7、基金定期报告，包括基金年度报告、基金中期报告和基金季度报告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8、临时报告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w:t>
      </w:r>
      <w:r>
        <w:rPr>
          <w:rFonts w:ascii="宋体" w:hAnsi="宋体"/>
          <w:sz w:val="24"/>
        </w:rPr>
        <w:lastRenderedPageBreak/>
        <w:t>登载在指定报刊和指定网站上。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（17）本基金开始办理申购、赎回；</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（21）基金推出新业务或服务；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（22）发生涉及基金申购、赎回事项调整或潜在影响投资者赎回等重大事项时；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（23）基金信息披露义务人认为可能对基金份额持有人权益或者基金份额的价格产生重大影响的其他事项或中国证监会规定的其他事项。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9、澄清公告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10、基金份额持有人大会决议</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管理人应当在基金合同生效公告、基金季度报告、中期报告、年度报告等定期报告中分别披露基金管理人、基金管理人的公司高级管理人员、基金经理等投资管理人员以及基金管理人的股东持有本基金的份额、期限及期间的变动情况.</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12、实施侧袋机制期间的信息披露</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13、中国证监会规定的其他信息。</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w:t>
      </w:r>
      <w:r>
        <w:rPr>
          <w:rFonts w:ascii="宋体" w:hAnsi="宋体"/>
          <w:sz w:val="24"/>
        </w:rPr>
        <w:lastRenderedPageBreak/>
        <w:t>露内容与格式准则等法律法规规定。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（八）本基金信息披露事项以法律法规规定及本章节约定的内容为准。</w:t>
      </w:r>
    </w:p>
    <w:p w:rsidR="00B439CC" w:rsidRDefault="009E4ED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04E1" w:rsidRDefault="009E4ED0">
      <w:pPr>
        <w:pStyle w:val="1"/>
        <w:snapToGrid w:val="0"/>
        <w:spacing w:beforeLines="0" w:before="240" w:after="240"/>
        <w:rPr>
          <w:rFonts w:ascii="宋体" w:hAnsi="宋体"/>
          <w:szCs w:val="30"/>
        </w:rPr>
      </w:pPr>
      <w:bookmarkStart w:id="21" w:name="_Toc231197026"/>
      <w:r>
        <w:rPr>
          <w:rFonts w:ascii="Times New Roman" w:hAnsi="Times New Roman"/>
          <w:sz w:val="30"/>
        </w:rPr>
        <w:lastRenderedPageBreak/>
        <w:t>十八、侧袋机制</w:t>
      </w:r>
      <w:bookmarkEnd w:id="21"/>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9E4ED0"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D704E1" w:rsidRDefault="009E4ED0">
      <w:pPr>
        <w:pStyle w:val="1"/>
        <w:snapToGrid w:val="0"/>
        <w:spacing w:beforeLines="0" w:before="240" w:after="240"/>
        <w:rPr>
          <w:rFonts w:ascii="宋体" w:hAnsi="宋体"/>
          <w:szCs w:val="30"/>
        </w:rPr>
      </w:pPr>
      <w:bookmarkStart w:id="22" w:name="_Toc231197027"/>
      <w:r>
        <w:rPr>
          <w:rFonts w:ascii="Times New Roman" w:hAnsi="Times New Roman"/>
          <w:sz w:val="30"/>
        </w:rPr>
        <w:lastRenderedPageBreak/>
        <w:t>十九、风险揭示</w:t>
      </w:r>
      <w:bookmarkEnd w:id="22"/>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者购买基金，既可能按其持有份额分享基金投资所产生的收益，也可能承担基金投资所带来的损失。</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上一开放日基金总份额的百分之十时，投资者将可能无法及时赎回持有的全部基金份额。</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基金分为股票基金、混合基金、债券基金、货币市场基金等不同类型，投资者投资不同类型的基金将获得不同的收益预期，也将承担不同程度的风险。一般来说，基金的收益预期越高，投资者承担的风险也越大。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认真阅读《基金合同》、《招募说明书》、基金产品资料概要等基金法律文件，了解基金的风险收益特征，并根据自身的投资目的、投资期限、投资经验、资产状况等判断基金是否和投资者的风险承受能力相适应。</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充分了解基金定期定额投资和零存整取等储蓄方式的区别。定期定额投资是引导投资者进行长期投资、平均投资成本的一种简单易行的投资方式。但是定期定额投资并不能规避基金投资所固有的风险，不能保证投资者获得收益，也不是替代储蓄的等效理财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者基金投资的“买者自负”原则，在</w:t>
      </w:r>
      <w:r>
        <w:rPr>
          <w:rFonts w:ascii="宋体" w:hAnsi="宋体"/>
          <w:sz w:val="24"/>
        </w:rPr>
        <w:lastRenderedPageBreak/>
        <w:t>作出投资决策后，基金运营状况与基金净值变化引致的投资风险，由投资者自行负担。</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（一）市场风险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市场风险是指证券市场价格因受到经济因素、政治因素、投资心理和交易制度等各种因素的影响而引起的波动，对基金收益水平产生的潜在风险，主要包括：</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2、经济周期风险。证券市场受宏观经济运行的影响，而经济运行具有周期性的特点，而宏观经济运行状况将对证券市场的收益水平产生影响，从而对基金收益造成影响。</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本基金投资于债券和债券回购，其收益水平会受到利率变化和货币市场供求状况的影响。例如当市场利率上升时，基金所持有的债券价格将下降，若基金组合久期较长，则基金资产面临损失。</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w:t>
      </w:r>
      <w:r>
        <w:rPr>
          <w:rFonts w:ascii="宋体" w:hAnsi="宋体"/>
          <w:sz w:val="24"/>
        </w:rPr>
        <w:lastRenderedPageBreak/>
        <w:t>营收入越稳定，经营风险就越小。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（二）管理风险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（三）流动性风险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开放式基金。按照基金合同的约定，基金管理人有义务接受投资者的申购和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收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当基金出现巨额赎回时，基金管理人可以根据基金当时的资产组合状况决定全额赎回或部分顺延赎回。</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（1）全额赎回：当基金管理人认为有能力支付基金投资者的赎回申请时，按正常赎回程序执行。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部分顺延赎回：当基金管理人认为支付基金投资者的赎回申请有困难或认为支付投资者的赎回申请而进行的财产变现可能会对基金资产净值造成较大波动时，基金管理人在当日接受赎回比例不低于上一工作日基金总份额的10%的前提下，对其余赎回申请延期办理。对于当日的赎回申请，应当按单个账户赎回申请量占赎回申请总量的比例，确定当日受理的赎回份额；基金投资者未能赎回部分，投资者在提交赎回申请时可以选择延期赎回或取消赎回。选择延期赎回的，将自动转入下一个开放日继续赎回，直到全部赎回为止；选择取消赎回的，当日未获赎回的部分申请将被撤销。延期的赎回申请与下一开放日赎回申请一并处理，无优先权并以该开放日的该类基金份额净值为基础计算赎回金额，并以此类推，直到全部赎回为止。如基金投资者在提交赎回申请时未作明确选择，投资者未能赎回部分作自动延期赎回处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顺延赎回”的约定方式与其他基金份额持有人的赎回申请一并办理。但是，如基金份额持有人在当日选择取消赎回，则其当日未获受理的部分赎回申请将被撤销。</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确认成功的赎回申请可以延缓支付赎回款项，但不得超过20个工作日，并应当在指定媒介上进行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巨额赎回业务的场内处理，按照上海证券交易所及中国证券登记结算有限责任公司的有关规定办理。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w:t>
      </w:r>
      <w:r>
        <w:rPr>
          <w:rFonts w:ascii="宋体" w:hAnsi="宋体"/>
          <w:sz w:val="24"/>
        </w:rPr>
        <w:lastRenderedPageBreak/>
        <w:t>时限支付赎回款项。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（四）交易对手违约风险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（五）投资本基金特有的风险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1、本基金为债券型基金，固定收益类资产的比例不低于基金资产的80%，因投资固定收益类资产而面临的固定收益类资产市场的系统性风险和个券风险；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为发起式基金，基金管理人运用固有资金认购本基金1000万元，持有期限并不低于三年。但基金管理人对本基金的发起认购，并不代表对本基金的风险或收益的任何判断、预测、推荐和保证，基金管理人认购的发起资金也并不用于对投资者投资亏损的补偿，投资者及基金管理人均自行承担投资风险。基金管理人</w:t>
      </w:r>
      <w:r>
        <w:rPr>
          <w:rFonts w:ascii="宋体" w:hAnsi="宋体"/>
          <w:sz w:val="24"/>
        </w:rPr>
        <w:lastRenderedPageBreak/>
        <w:t>认购的发起份额持有期限满三年后，基金管理人将根据自身情况决定是否继续持有，届时，基金管理人有可能赎回认购的本基金份额。基金合同生效之日起满3年后的对应日（如该对应日为非工作日，则顺延至下一个工作日），若本基金的资产净值低于2亿元，基金合同将自动终止，且无法通过召开持有人大会延续基金合同期限，因此投资者将面临基金合同可能终止的不确定性风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（六）本基金法律文件风险收益特征表述与销售机构基金风险评价可能不一致的风险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（七）其他风险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9E4ED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04E1" w:rsidRDefault="009E4ED0">
      <w:pPr>
        <w:pStyle w:val="1"/>
        <w:snapToGrid w:val="0"/>
        <w:spacing w:beforeLines="0" w:before="240" w:after="240"/>
        <w:rPr>
          <w:rFonts w:ascii="宋体" w:hAnsi="宋体"/>
          <w:szCs w:val="30"/>
        </w:rPr>
      </w:pPr>
      <w:bookmarkStart w:id="23" w:name="_Toc231197028"/>
      <w:r>
        <w:rPr>
          <w:rFonts w:ascii="Times New Roman" w:hAnsi="Times New Roman"/>
          <w:sz w:val="30"/>
        </w:rPr>
        <w:lastRenderedPageBreak/>
        <w:t>二十、基金合同的终止与基金财产的清算</w:t>
      </w:r>
      <w:bookmarkEnd w:id="23"/>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（一）基金合同的终止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有下列情形之一的，基金合同经中国证监会核准后将终止：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2、基金管理人职责终止，而在6个月内没有新的基金管理人承接的；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3、基金托管人职责终止，而在6个月内没有新的基金托管人承接的；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4、基金合同生效之日起满3年后的对应日（如该对应日为非工作日，则顺延至下一个工作日），基金资产净值低于2亿元的；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（二）基金财产的清算</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（1）自出现基金合同终止事由之日起30个工作日内成立基金财产清算小组，基金管理人组织基金财产清算小组并在中国证监会的监督下进行基金清算。</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（2）基金财产清算小组成员由基金管理人、基金托管人、具有从事证券相关业务资格的注册会计师、律师以及中国证监会指定的人员组成。基金财产清算小组可以聘用必要的工作人员。</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（3）基金财产清算小组负责基金财产的保管、清理、估价、变现和分配。基金财产清算小组可以依法进行必要的民事活动。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2、基金财产清算程序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（1）基金合同终止时，由基金财产清算小组统一接管基金财产；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（2）对基金财产进行清理和确认；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（3）对基金财产进行估价和变现；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（5）聘请会计师事务所对清算报告进行审计；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（6）聘请律师事务所对清算报告出具法律意见书；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（7）将基金清算结果报告中国证监会；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（8）公布基金清算报告；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（9）对基金剩余财产进行分配。</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3、基金财产清算的期限为6个月（若遇基金持有的上市证券出现长期休市、停</w:t>
      </w:r>
      <w:r>
        <w:rPr>
          <w:rFonts w:ascii="宋体" w:hAnsi="宋体"/>
          <w:sz w:val="24"/>
        </w:rPr>
        <w:lastRenderedPageBreak/>
        <w:t>牌或其他流通受限的情形除外）。</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5、基金财产按下列顺序清偿：</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清算过程中的有关重大事项须及时公告；基金财产清算报告经会计师事务所审计，律师事务所出具法律意见书后，由基金财产清算小组报中国证监会备案后5个工作日内由基金财产清算小组公告。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9E4ED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04E1" w:rsidRDefault="009E4ED0">
      <w:pPr>
        <w:pStyle w:val="1"/>
        <w:snapToGrid w:val="0"/>
        <w:spacing w:beforeLines="0" w:before="240" w:after="240"/>
        <w:rPr>
          <w:rFonts w:ascii="宋体" w:hAnsi="宋体"/>
          <w:szCs w:val="30"/>
        </w:rPr>
      </w:pPr>
      <w:bookmarkStart w:id="24" w:name="_Toc231197029"/>
      <w:r>
        <w:rPr>
          <w:rFonts w:ascii="Times New Roman" w:hAnsi="Times New Roman"/>
          <w:sz w:val="30"/>
        </w:rPr>
        <w:lastRenderedPageBreak/>
        <w:t>二十一、基金合同内容摘要</w:t>
      </w:r>
      <w:bookmarkEnd w:id="24"/>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（一）基金合同当事人的权利与义务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1、基金管理人的权利与义务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（2）自本基金合同生效之日起，依照有关法律法规和本基金合同的规定独立运用并管理基金财产；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（3）依照本基金合同获得基金管理费以及法律法规规定或中国证监会批准的其他收入；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（5）依照法律法规为基金的利益行使因基金财产投资于证券所产生的权利；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（6）在符合有关法律法规和本基金合同的前提下，制订和调整有关基金认购、申购、赎回、转换、转托管等业务的规则，决定基金的除调高托管费和管理费、销售服务费之外的费率结构和收费方式；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根据本基金合同及有关规定监督基金托管人，对于基金托管人违反了本基金合同或有关法律法规规定的行为，对基金财产、其他基金当事人的利益造成重大损失的情形，应及时呈报中国证监会和其他监管部门，并采取必要措施保护基金及相关基金当事人的利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（8）在基金合同约定的范围内，拒绝或暂停受理申购、赎回和转换等申请；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（9）自行担任注册登记机构或选择、更换注册登记机构，获取基金份额持有人名册，并对注册登记机构的代理行为进行必要的监督和检查；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（10）选择、更换代销机构，并依据销售代理协议和有关法律法规，对其行为进行必要的监督和检查；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（11）依据基金合同及有关法律规定决定基金收益的分配方案；</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（12）在基金托管人更换时，提名新的基金托管人；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（13）依法召集基金份额持有人大会；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（14）选择、更换律师事务所、会计师事务所、证券经纪商或其他为基金提供服务的外部机构；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（15）根据国家有关规定，在法律法规允许的前提下，以基金的名义依法为基金融资、融券；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（16）以基金管理人的名义，代表基金份额持有人的利益行使诉讼权利或者实施其他法律行为；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（17）法律法规和基金合同规定的其他权利。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（1）依法募集基金，办理或者委托经由中国证监会认定的其他机构代为办理基金份额的发售、申购、赎回和注册登记事宜；</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（3）自基金合同生效之日起，以诚实信用、勤勉尽责的原则管理和运用基金财产；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（5）建立健全内部风险控制、监察与稽核、财务管理及人事管理等制度，保证所管理的基金财产和基金管理人的财产相互独立，对所管理的不同基金财产分别管理，分别记账，进行证券投资；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（6）除依据《基金法》、基金合同及其他有关规定外，不得为自己及任何第三人谋取利益，不得委托第三人运作基金财产；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（8）计算并公告基金净值信息，确定基金份额申购、赎回价格；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（9）采取适当合理的措施使计算基金份额认购、申购、赎回和注销价格的方法符合基金合同等法律文件的规定；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（10）按规定受理基金份额的申购和赎回申请，及时、足额支付赎回款项；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（11）进行基金会计核算并编制基金财务会计报告；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（12）编制季度报告、中期报告和年度报告；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（13）严格按照《基金法》、基金合同及其他有关规定，履行信息披露及报告义务；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（14）保守基金商业秘密，不得泄露基金投资计划、投资意向等。除《基金法》、基金合同及其他有关规定另有规定外，在基金信息公开披露前应予保密，不</w:t>
      </w:r>
      <w:r>
        <w:rPr>
          <w:rFonts w:ascii="宋体" w:hAnsi="宋体"/>
          <w:sz w:val="24"/>
        </w:rPr>
        <w:lastRenderedPageBreak/>
        <w:t>得向他人泄露；</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（15）按照基金合同的约定确定基金收益分配方案，及时向基金份额持有人分配收益；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（16）依据《基金法》、基金合同及其他有关规定召集基金份额持有人大会或配合基金托管人、基金份额持有人依法召集基金份额持有人大会；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（18）保存基金财产管理业务活动的记录、账册、报表和其他相关资料；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（19）以基金管理人名义，代表基金份额持有人利益行使诉讼权利或者实施其他法律行为；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（20）组织并参加基金财产清算小组，参与基金财产的保管、清理、估价、变现和分配；</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（21）因违反基金合同导致基金财产的损失或损害基金份额持有人合法权益，应当承担赔偿责任，其赔偿责任不因其退任而免除；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（22）监督基金托管人按法律法规和基金合同规定履行自己的义务，基金托管人违反基金合同造成基金财产损失时，基金管理人应为基金份额持有人利益向基金托管人追偿；</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（23）当基金管理人将其义务委托第三方处理时，应当对第三方处理有关基金事务的行为承担责任；</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（24）按规定向基金托管人提供基金份额持有人名册资料；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（25）建立并保存基金份额持有人名册；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（26）面临解散、依法被撤销或者被依法宣告破产时，及时报告中国证监会并通知基金托管人；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（27）基金管理人在募集期间未能达到基金的备案条件，基金合同不能生效，基金管理人承担全部募集费用，将已募集资金并加计银行同期存款利息在基金募集期结束后30日内退还投资者；</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（28）执行生效的基金份额持有人大会的决议；</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（29）不从事任何有损基金及其他基金合同当事人合法权益的活动；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（30）法律法规、基金合同规定的以及中国证监会要求的其他义务。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2、基金托管人的权利与义务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（1）依基金合同约定获得基金托管费以及法律法规规定或监管部门批准的其他收入；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（2）监督基金管理人对本基金的投资运作；</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（3）自本基金合同生效之日起，依法律法规和基金合同的规定安全保管基金财产；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（4）在基金管理人更换时，提名新任基金管理人；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根据本基金合同及有关规定监督基金管理人，如发现基金管理人有违反本基金合同或有关法律法规规定的行为，对基金财产、其他基金合同当事人的利益造成重大损失的情形，应及时呈报中国证监会，并采取必要措施保护基金及相关基金合同当事人的利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（6）提议召开或依法召集基金份额持有人大会；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（7）根据相关市场规则，为本基金开设证券账户、为本基金办理证券交易资金清算；</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（8）按规定取得基金份额持有人名册；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（9）法律法规和基金合同规定的其他权利。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（2）设立专门的基金托管部，具有符合要求的营业场所，配备足够的、合格的熟悉基金托管业务的专职人员，负责基金财产托管事宜；</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基金财产分别设置账户，独立核算，分账管理，保证不同基金之间在名册登记、账户设置、资金划拨、账册记录等方面相互独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（6）按规定开设基金财产的资金账户和证券账户；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（7）保守基金商业秘密，除《基金法》、基金合同及其他有关规定另有规定外，在基金信息公开披露前应予以保密，不得向他人泄露；</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（9）保存基金托管业务活动的记录、账册、报表和其他相关资料不少于15年；</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（10）按照基金合同的约定，根据基金管理人的投资指令，及时办理清算、交割事宜；</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（11）办理与基金托管业务活动有关的信息披露事项；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（12）复核、审查基金管理人计算的基金资产净值、基金份额净值和基金份额申购、赎回价格；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（13）按照法律法规和基金合同的规定监督基金管理人的投资运作；</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（14）按规定制作相关账册并与基金管理人核对；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（15）依据基金管理人的指令或有关规定向基金份额持有人支付基金收益和赎回款项；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（16）按照规定召集基金份额持有人大会或配合基金管理人、基金份额持有人依法召集基金份额持有人大会；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（17）因违反基金合同导致基金财产损失或损害基金份额持有人合法权益，应承担赔偿责任，其赔偿责任不因其退任而免除；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（18）按规定监督基金管理人按照法律法规规定和基金合同履行其义务，基金管理人因违反基金合同造成基金财产损失时，应为基金份额持有人利益向基金管理人追偿；</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（19）根据本基金合同和托管协议规定建立并保存基金份额持有人名册；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（20）参加基金财产清算组，参与基金财产的保管、清理、估价、变现和分配；</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（21）面临解散、依法被撤销、破产或者由接管人接管其资产时，及时报告中国证监会和中国银监会，并通知基金管理人；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（22）执行生效的基金份额持有人大会的决议；</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（23）法律法规、基金合同规定的以及中国证监会要求的其他义务。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3、基金份额持有人的权利与义务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自依招募说明书、基金合同取得基金份额即成为基金份额持有人和基金合同当事人，直至其不再持有本基金的基金份额，其持有基金份额的行为本身即表明其对基金合同的完全承认和接受。基金份额持有人作为基金合同当事人并不以在基金合同上书面签章或签字为必要条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同一基金份额类别的每份基金份额具有同等的合法权益。根据《基金法》、《运作办法》及其他有关法律法规的规定，基金份额持有人的权利包括但不限于：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（3）依法申请赎回其持有的基金份额；</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（8）对基金管理人、基金托管人、基金销售机构损害其合法权益的行为依法提起诉讼或仲裁；</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（9）法律法规和基金合同规定的其他权利。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根据《基金法》、《运作办法》及其他有关法律法规的规定，基金份额持有人的义务包括但不限于：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（1）认真阅读基金合同，遵守法律法规、基金合同及其他有关规定；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（2）了解所投资基金产品，了解自身风险承受能力，自行承担投资风险；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（4）缴纳基金认购、申购款项及法律法规、基金合同和招募说明书规定的费用；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（7）执行生效的基金份额持有人大会决议；</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（8）遵守基金管理人、基金托管人及销售机构和注册登记机构的相关交易及业务规则；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（9）返还在基金交易过程中因任何原因获得的不当得利；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（10）使用发起资金认购的投资人持有认购的基金份额不少于3年；</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（11）法律法规、基金合同规定的以及中国证监会要求的其他义务。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4、本基金合同当事人各方的权利义务以本基金合同为依据，不因基金账户名称而有所改变。</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由基金份额持有人组成，基金份额持有人的合法授权代表有权代表基金份额持有人出席会议并表决。基金份额持有人持有的每一基金份额（包括发起资金认购的基金份额）拥有平等的投票权。但基金管理人不能作为基金份额持有人向基金份额持有人大会提出议案，对涉及基金管理人利益的表决事项应当回避。</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2、召开事由</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经基金管理人、基金托管人或持有基金份额10%以上（“以上”含本数，下同）的基金份额持有人（以基金管理人收到提议当日的基金份额计算，下同）提议时，应当召开基金份额持有人大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1）终止基金合同，属于基金合同约定的自动终止情形除外，即基金合同生效之日起满3年后的对应日（如该对应日为非工作日，则顺延至下一个工作日），若基金资产净值低于2亿元的，基金合同自动终止；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2）转换基金运作方式；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3）变更基金类别；</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4）变更基金投资目标、投资范围或投资策略（法律法规和中国证监会另有规定的除外）；</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5）变更基金份额持有人大会议事程序；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6）更换基金管理人、基金托管人；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7）提高基金管理人、基金托管人的报酬标准和提高销售服务费；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8）本基金与其他基金的合并；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9）对基金合同当事人权利、义务产生重大影响，需召开基金份额持有人大会的变更基金合同等其他事项；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10）法律法规、基金合同或中国证监会规定的其他情形。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（2）出现以下情形之一的，可由基金管理人和基金托管人协商后修改，不需召开基金份额持有人大会：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1）调低基金管理费、基金托管费、销售服务费和其他应由基金或基金份额持有人承担的费用；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3）在法律法规和本基金合同规定的范围内调整基金的申购费率、调低赎回费率；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4）因相应的法律法规、证券交易所或者注册登记机构的相关业务规则发生变动必须对基金合同进行修改；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5）基金合同的修改不涉及本基金合同当事人权利义务关系发生重大变化；</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6）基金合同的修改对基金份额持有人利益无实质性不利影响；</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7）按照法律法规或本基金合同规定不需召开基金份额持有人大会的其他情形。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3、召集人及召集方式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（1）除法律法规或本基金合同另有约定外，基金份额持有人大会由基金管理人召集。基金管理人未按规定召集或者不能召集时，由基金托管人召集。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（4）代表基金份额10%以上的基金份额持有人就同一事项要求召开基金份额持</w:t>
      </w:r>
      <w:r>
        <w:rPr>
          <w:rFonts w:ascii="宋体" w:hAnsi="宋体"/>
          <w:sz w:val="24"/>
        </w:rPr>
        <w:lastRenderedPageBreak/>
        <w:t>有人大会，而基金管理人、基金托管人都不召集的，代表基金份额10%以上的基金份额持有人有权自行召集基金份额持有人大会，但应当至少提前30日向中国证监会备案。</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（5）基金份额持有人依法自行召集基金份额持有人大会的，基金管理人、基金托管人应当配合，不得阻碍、干扰。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4、召开基金份额持有人大会的通知时间、通知内容、通知方式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集人（以下简称“召集人”）负责选择确定开会时间、地点、方式和权益登记日。召开基金份额持有人大会，召集人必须于会议召开日前40日在指定媒介公告。基金份额持有人大会通知须至少载明以下内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1）会议召开的时间、地点和出席方式；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2）会议拟审议的主要事项；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3）会议形式；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4）议事程序；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5）有权出席基金份额持有人大会的基金份额持有人的权益登记日；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6）授权委托证明的内容要求（包括但不限于代理人身份、代理权限和代理有效期限等）、送达时间和地点；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7）表决方式；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8）会务常设联系人姓名、电话；</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9）出席会议者必须准备的文件和必须履行的手续；</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10）召集人需要通知的其他事项。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用通讯方式开会并进行表决的情况下，由召集人决定通讯方式和书面表决方式，并在会议通知中说明本次基金份额持有人大会所采取的具体通讯方式、委托的公证机关及其联系方式和联系人、书面表决意见的寄交的截止时间和收取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不影响计票和表决结果。</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5、基金份额持有人出席会议的方式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1）基金份额持有人大会的召开方式包括现场开会、通讯方式开会或法律法规和监管机关允许的其他方式。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2）现场开会由基金份额持有人本人出席或通过授权委托证明委派其代理人出席，现场开会时基金管理人和基金托管人的授权代表应当出席，基金管理人或基金托管人拒不派代表出席的，不影响表决效力。</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3）通讯方式开会指按照本基金合同的相关规定以通讯的书面方式进行表决。</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（2）召开基金份额持有人大会的条件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在同时符合以下条件时，现场会议方可举行：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①经核对、汇总，到会者出示的在权益登记日持有基金份额的凭证显示，全部有效凭证所对应的基金份额应占权益登记日基金总份额的50%以上（含50%，下同）；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亲自出席会议者持有基金份额持有人凭证和受托出席会议者出具的委托人持有基金份额的凭证及授权委托证明等文件符合有关法律法规和基金合同及会议通知的规定，并且持有基金份额的凭证与基金管理人持有的登记资料相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未能满足上述条件的情况下，则召集人可另行确定并公告重新开会的时间（至少应在25个工作日后）和地点，但确定有权出席会议的基金份额持有人资格的权益登记日不变。</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在同时符合以下条件时，通讯会议方可举行：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①召集人按本基金合同规定公布会议通知后，在2个工作日内连续公布相关提示性公告；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召集人在基金托管人（如果基金托管人为召集人，则为基金管理人；以下称为“监督人”）和公证机关的监督下按照会议通知规定的方式收取和统计基金份额持有人的书面表决意见，监督人经通知拒不参加收取和统计书面表决意见的，不影响表决效力；</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③本人直接出具书面意见或授权他人代表出具书面意见的基金份额持有人所代表的基金份额应占权益登记日基金总份额的50%以上；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④直接出具书面意见的基金份额持有人或受托代表他人出具书面意见的代表，同时提交的持有基金份额的凭证和受托出席会议者出具的委托人持有基金份额的凭证和授权委托证明等文件符合法律法规、基金合同和会议通知的规定，并与注册登记机构记录相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如果开会条件达不到上述的条件，则召集人可另行确定并公告重新表决的时间（至少应在25个工作日后），且确定有权出席会议的基金份额持有人资格的权益登记日不变。</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3）在法律法规或监管机构允许的情况下，经会议通知载明，基金份额持有人也可以采用网络、电话或其他方式进行表决，或者采用网络、电话或其他方式授权他人代为出席会议并表决。</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6、议事内容与程序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1）议事内容为本基金合同规定的召开基金份额持有人大会事由所涉及的内容以及会议召集人认为需提交基金份额持有人大会讨论的其他事项。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单独或合并持有权益登记日本基金总份额10%以上的基金份额持有人可以在大会召集人发出会议通知前就召开事由向大会召集人提交需由基金份额持有人大会审议表决的提案；也可以在会议通知发出后向大会召集人提交临时提案，临时提案应当在大会召开日前35日提交召集人。召集人对于临时提案应当在大会召开日前30日公告。否则，会议的召开日期应当顺延并保证至少与临时提案公告日期有30日的间隔期。</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3）对于基金份额持有人提交的提案（包括临时提案），大会召集人应当按照以下原则对提案进行审核：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关联性。大会召集人对于基金份额持有人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程序性。大会召集人可以对基金份额持有人的提案涉及的程序性问题作出决定。如将其提案进行分拆或合并表决，需征得原提案人同意；原提案人不同意变更的，大会主持人可以就程序性问题提请基金份额持有人大会作出决定，并按照基金</w:t>
      </w:r>
      <w:r>
        <w:rPr>
          <w:rFonts w:ascii="宋体" w:hAnsi="宋体"/>
          <w:sz w:val="24"/>
        </w:rPr>
        <w:lastRenderedPageBreak/>
        <w:t>份额持有人大会决定的程序进行审议。</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单独或合并持有权益登记日基金总份额10%以上的基金份额持有人提交基金份额持有人大会审议表决的提案、基金管理人或基金托管人提交基金份额持有人大会审议表决的提案，未获基金份额持有人大会审议通过，就同一提案再次提请基金份额持有人大会审议，其时间间隔不少于6个月。法律法规另有规定的除外。</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的召集人发出召开会议的通知后，如果需要对原有提案进行修改，应当最迟在基金份额持有人大会召开日前30日公告。否则，会议的召开日期应当顺延并保证至少与公告日期有30日的间隔期。</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在现场开会的方式下，首先由大会主持人按照规定程序宣布会议议事程序及注意事项，确定和公布监票人，然后由大会主持人宣读提案，经讨论后进行表决，经合法执业的律师见证后形成大会决议。</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大会由基金管理人授权代表主持。在基金管理人授权代表未能主持大会的情况下，由基金托管人授权代表主持；如果基金管理人和基金托管人授权代表均未能主持大会，则由出席大会的基金份额持有人和代理人以所代表的基金份额50%以上多数选举产生一名代表作为该次基金份额持有人大会的主持人。基金管理人和基金托管人不出席或主持基金份额持有人大会，不影响基金份额持有人大会作出的决议的效力。</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召集人应当制作出席会议人员的签名册。签名册载明参加会议人员姓名（或单位名称）、身份证号码、持有或代表有表决权的基金份额、委托人姓名（或单位名称）等事项。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表决开会的方式下，首先由召集人提前30日公布提案，在所通知的表决截止日期第2日在公证机构监督下由召集人统计全部有效表决并形成决议。如监督人经通知但拒绝到场监督，则在公正机关监督下形成的决议有效。</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（3）基金份额持有人大会不得对未事先公告的议事内容进行表决。</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7、决议形成的条件、表决方式、程序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（1）基金份额持有人所持每一基金份额享有平等的表决权。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（2）基金份额持有人大会决议分为一般决议和特别决议：</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1）一般决议</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一般决议须经出席会议的基金份额持有人及其代理人所持表决权的50%以上通过方为有效，除下列2）所规定的须以特别决议通过事项以外的其他事项均以一般决议的方式通过。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特别决议须经出席会议的基金份额持有人及代理人所持表决权的三分之二以上通过方为有效；更换基金管理人、更换基金托管人、转换基金运作方式、终止基金合同必须以特别决议通过方为有效。</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3）基金份额持有人大会决定的事项，应当依法报中国证监会核准，或者备案，并予以公告。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采取通讯方式进行表决时，除非在计票时有充分的相反证据证明，否则表面符合法律法规和会议通知规定的书面表决意见即视为有效的表决，表决意见模糊不清或相互矛盾的视为弃权表决，但应当计入出具书面意见的基金份额持有人所代表的基金份额总数。</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5）基金份额持有人大会采取记名方式进行投票表决。</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6）基金份额持有人大会的各项提案或同一项提案内并列的各项议题应当分开审议、逐项表决。</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基金份额持有人大会由基金管理人或基金托管人召集，则基金份额持有人大会的主持人应当在会议开始后宣布在出席会议的基金份额持有人和代理人中推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推举3名基金份额持有人担任监票人。基金管理人或基金托管人不出席大会的，不影响计票的效力及表决结果。</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2）监票人应当在基金份额持有人表决后立即进行清点，由大会主持人当场公布计票结果。</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3）如会议主持人对于提交的表决结果有怀疑，可以对投票数进行重新清点；如会议主持人未进行重新清点，而出席会议的基金份额持有人或代理人对会议主持</w:t>
      </w:r>
      <w:r>
        <w:rPr>
          <w:rFonts w:ascii="宋体" w:hAnsi="宋体"/>
          <w:sz w:val="24"/>
        </w:rPr>
        <w:lastRenderedPageBreak/>
        <w:t>人宣布的表决结果有异议，其有权在宣布表决结果后立即要求重新清点，会议主持人应当立即重新清点并公布重新清点结果。重新清点仅限一次。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方式开会的情况下，计票方式为：由大会召集人授权的两名监督员在监督人的监督下进行计票，并由公证机关对其计票过程予以公证。基金管理人或基金托管人不派代表监督计票的，不影响计票效力及表决结果。但基金管理人或基金托管人应当至少提前两个工作日通知召集人，由召集人邀请无直接利害关系的第三方担任监督计票人员。</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9、基金份额持有人大会决议报中国证监会核准或备案后的公告时间、方式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通过的一般决议和特别决议，召集人应当自通过之日起5日内报中国证监会核准或者备案。基金份额持有人大会决定的事项自中国证监会依法核准或者出具无异议意见之日起生效，并在生效后方可执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（2）生效的基金份额持有人大会决议对全体基金份额持有人、基金管理人、基金托管人均有约束力。基金管理人、基金托管人和基金份额持有人应当执行生效的基金份额持有人大会的决定。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（3）基金份额持有人大会决议应自生效之日起2日内在指定媒介上公告。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（4）如果采用通讯方式进行表决，在公告基金份额持有人大会决议时，必须将公证书全文、公证机关、公证员姓名等一同公告。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10、实施侧袋机制期间基金份额持有人大会的特殊约定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w:t>
      </w:r>
      <w:r>
        <w:rPr>
          <w:rFonts w:ascii="宋体" w:hAnsi="宋体"/>
          <w:sz w:val="24"/>
        </w:rPr>
        <w:lastRenderedPageBreak/>
        <w:t>一）；</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（三）基金合同的变更与终止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按照法律法规或本基金合同的规定，对基金合同的变更应当召开基金份额持有人大会的，基金合同变更的内容应经基金份额持有人大会决议通过，并依法报中国证监会核准或备案，自中国证监会核准或出具无异议意见之日起生效。</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（2）但出现下列情况时，可不经基金份额持有人大会决议，由基金管理人和基金托管人同意变更后公布经修订的基金合同，并报中国证监会备案：</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1）调低基金管理费、基金托管费、销售服务费和其他应由基金或基金份额持有人承担的费用；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3）在法律法规和本基金合同规定的范围内调整基金的申购费率、调低赎回费率、变更或增加收费方式；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4）因相应的法律法规、证券交易所或者注册登记机构的相关业务规则发生变动必须对基金合同进行修改；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5）基金合同的修改不涉及本基金合同当事人权利义务关系发生重大变化；</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6）基金合同的修改对基金份额持有人利益无实质性不利影响；</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7）按照法律法规或本基金合同规定不需召开基金份额持有人大会的其他情形。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有下列情形之一的，本基金合同经中国证监会核准后将终止：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（2）基金管理人职责终止，而在6个月内没有新的基金管理人承接的；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（3）基金托管人职责终止，而在6个月内没有新的基金托管人承接的；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（4）基金合同生效之日起满3年后的对应日（如该对应日为非工作日，则顺延至下一个工作日），基金资产净值低于2亿元的；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（四）争议的处理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本基金合同产生或与本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当事人均有约束力。</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本基金合同适用中华人民共和国法律并从其解释。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（五）基金合同存放及投资者取得基金合同的方式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1、本基金合同正本一式六份，除上报相关监管部门两份外，基金管理人和基金托管人各持有两份。每份均具有同等的法律效力。</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2、本基金合同可印制成册，供基金投资者在基金管理人和基金托管人办公场所查阅。基金合同条款及内容应以基金合同正本为准。</w:t>
      </w:r>
    </w:p>
    <w:p w:rsidR="00B439CC" w:rsidRDefault="009E4ED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04E1" w:rsidRDefault="009E4ED0">
      <w:pPr>
        <w:pStyle w:val="1"/>
        <w:snapToGrid w:val="0"/>
        <w:spacing w:beforeLines="0" w:before="240" w:after="240"/>
        <w:rPr>
          <w:rFonts w:ascii="宋体" w:hAnsi="宋体"/>
          <w:szCs w:val="30"/>
        </w:rPr>
      </w:pPr>
      <w:bookmarkStart w:id="25" w:name="_Toc231197030"/>
      <w:r>
        <w:rPr>
          <w:rFonts w:ascii="Times New Roman" w:hAnsi="Times New Roman"/>
          <w:sz w:val="30"/>
        </w:rPr>
        <w:lastRenderedPageBreak/>
        <w:t>二十二、托管协议的内容摘要</w:t>
      </w:r>
      <w:bookmarkEnd w:id="25"/>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注册资本：贰亿元人民币</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办公地址：北京市西城区复兴门内大街28号凯晨世贸中心东座九层</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提供保管箱服务；代理资金清算；各类汇兑业务；代理政策性银行、外国政府和国际金融机构贷款业务；贷款承</w:t>
      </w:r>
      <w:r>
        <w:rPr>
          <w:rFonts w:ascii="宋体" w:hAnsi="宋体"/>
          <w:sz w:val="24"/>
        </w:rPr>
        <w:lastRenderedPageBreak/>
        <w:t>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保险兼业代理业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和交易对手库，以便基金托管人运用相关技术系统，对基金实际投资是否符合基金合同关于证券选择标准的约定进行监督，对存在疑义的事项进行核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债、央行票据、地方政府债、金融债、企业债、短期融资券、中期票据、公司债、分离交易可转债、资产支持证券、债券逆回购、银行存款等固定收益类资产以及法律法规或中国证监会允许基金投资的其他金融工具，但须符合中国证监会相关规定。本基金不直接在二级市场买入股票、权证等权益类资产，也不参与一级市场新股申购和新股增发。因投资于分离交易可转债而产生的权证，在其可交易之日起30个交易日内卖出。同时本基金不参与可转换债券投资。如法律法规或监管机构以后允许基金投资其他品种，基金管理人履行适当程序后，可以将其纳入投资范围，其投资比例遵循届时有效法律法规或相关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本基金的投资组合比例范围为：固定收益类资产的比例不低于基金资产的80%；现金或到期日在一年以内的政府债券的比例合计不低于基金资产净值的5%，其中现金不包括结算备付金、存出保证金和应收申购款等。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2、基金托管人根据有关法律法规的规定及基金合同的约定，对基金投资、融资、融券比例进行监督。基金托管人按下述比例和调整期限进行监督：</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（1）本基金与本基金管理人管理的其他基金持有一家公司发行的证券，其市值不超过该证券的10%；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（2）进入全国银行间同业市场进行债券回购的资金余额不超过基金资产净值的40%。债券回购最长期限为1年，债券回购到期后不得展期；</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的全部权证，其市值不得超过基金资产净值的3%；本基金与本基金管理人管理的其他基金持有的同一权证，不得超过该权证的10%。投资于其他权证的投资比例，遵从法律法规或监管部门的相关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（4）本基金应投资于信用级别评级为BBB 以上(含BBB)的资产支持证券。基金持有资产支持证券期间，如果其信用等级下降、不再符合投资标准，应在评级报告发布之日起3个月内予以全部卖出；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同一（指同一信用级别）资产支持证券的比例，不得超过该资产支持证券规模的10%；本基金投资于同一原始权益人的各类资产支持证券的比例，不得超过基金资产净值的10%；本基金管理人管理的全部证券投资基金投资于同一原始权益人的各类资产支持证券，不得超过其各类资产支持证券合计规模的10%；本基金持有的全部资产支持证券，其市值不得超过基金资产净值的20%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（6）保持不低于基金资产净值5%的现金或者到期日在一年以内的政府债券，其中现金不包括结算备付金、存出保证金和应收申购款等；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（8）本基金与私募类证券资管产品及中国证监会认定的其他主体为交易对手开展逆回购交易的，可接受质押品的资质要求应当与基金合同约定的投资范围保持一致；</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（9）本基金不得违反基金合同中有关投资范围、投资策略、投资比例的规定；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（10）法律法规或监管部门对上述比例限制另有规定的，从其规定。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符合相关法律法规规定的前提下，除上述第（4）、（6）、（7）、（8）项外，因证券市场波动、上市公司合并、基金规模变动等基金管理人之外的因素致使基金投资比例不符合上述规定的投资比例的，基金管理人应当在10个交易日内进行调整。法律法规或监管部门另有规定的，从其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w:t>
      </w:r>
      <w:r>
        <w:rPr>
          <w:rFonts w:ascii="宋体" w:hAnsi="宋体"/>
          <w:sz w:val="24"/>
        </w:rPr>
        <w:lastRenderedPageBreak/>
        <w:t>法规或监管部门对上述约定的投资组合比例限制规定进行变更，在履行适当程序后，以变更后的规定为准；当法律法规或监管部门取消上述限制，在履行适当程序后，本基金投资可不受上述规定限制。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基金托管人对基金投资的监督和检查自基金合同生效之日起开始。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协议第十五条第九项基金投资禁止行为进行监督。基金托管人通过事后监督方式对基金管理人基金投资禁止行为和关联交易进行监督。根据法律法规有关基金禁止从事关联交易的规定，基金管理人和基金托管人相互提供与本机构有控股关系的股东、与本机构有其他重大利害关系的公司名单及有关关联方交易证券名单。基金管理人和基金托管人有责任确保关联交易名单的真实性、准确性、完整性，并负责及时将更新后的名单发送给对方。</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托管人发现基金管理人与关联交易名单中列示的关联方进行法律法规禁止基金从事的关联交易时，基金托管人应及时提醒并协助基金管理人采取必要措施阻止该关联交易的发生，如基金托管人采取必要措施后仍无法阻止关联交易发生时，基金托管人有权向中国证监会报告。对于基金管理人已成交的关联交易，如基金托管人事前已严格遵循了监督流程仍无法阻止该关联交易的发生，而只能按相关法律法规和交易所规则进行事后结算，则基金托管人不承担由此造成的损失，并应向中国证监会报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经慎重选择的、本基金适用的银行间债券市场交易对手名单。基金托管人监督基金管理人是否按事前提供的银行间债券市场交易对手名单进行交易。基金管理人可以每半年对银行间债券市场交易对手名单进行更新，如基金管理人根据市场情况需要临时调整银行间债券市场交易对手名单，应向基金托管人说明理由，在与交易对手发生交易前1个工作日内与基金托管人协商解决。基金管理人与基金托管人完成确认后，被确认调整的名单开始生效，新名单生效前已与本次剔除的交易对手所进行但尚未结算的交易，仍应按照协议进行结算。基金管理人负责对交易对手的资信控制，按银行间债券市场的交易规则进行交易，基金托管人则根据银行间债券市场成交单对合同履行情况进行监督，但不承担交易对手不履行合同造成的损失。如基金托管人事后发现基金管理人没有按照事先约定的交易对手进行交易时，基金托管人</w:t>
      </w:r>
      <w:r>
        <w:rPr>
          <w:rFonts w:ascii="宋体" w:hAnsi="宋体"/>
          <w:sz w:val="24"/>
        </w:rPr>
        <w:lastRenderedPageBreak/>
        <w:t>应及时提醒基金管理人，基金托管人不承担由此造成的任何损失和责任。</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5、基金托管人根据有关法律法规的规定及基金合同的约定，对基金管理人选择存款银行进行监督。</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（3）基金管理人与基金托管人在开展基金存款业务时，应严格遵守《基金法》、《运作办法》等有关法律法规，以及国家有关账户管理、利率管理、支付结算等的各项规定。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选择存款银行时有违反有关法律法规的规定及基金合同的约定的行为，应及时以书面形式通知基金管理人在10个工作日内纠正。基金管理人对基金托管人通知的违规事项未能在10个工作日内纠正的，基金托管人应报告中国证监会。基金托管人发现基金管理人有重大违规行为，应立即报告中国证监会，同时通知基金管理人在10个工作日内纠正或拒绝结算。</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如果基金管理人未经基金托管人的审核擅自将不实的业绩表现数据印制在宣传推介材料上，则基金托管人对此不承担任何责任，并将在发现后立即报告中国证监会。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7、基金托管人根据有关法律法规的规定及基金合同的约定，对基金投资流通受限证券进行监督。</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（1）基金投资流通受限证券，应遵守《关于规范基金投资非公开发行证券行为的紧急通知》、《关于基金投资非公开发行股票等流通受限证券有关问题的通知》</w:t>
      </w:r>
      <w:r>
        <w:rPr>
          <w:rFonts w:ascii="宋体" w:hAnsi="宋体"/>
          <w:sz w:val="24"/>
        </w:rPr>
        <w:lastRenderedPageBreak/>
        <w:t>等有关法律法规规定。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首次投资流通受限证券之前，基金管理人应当制定相关投资决策流程、风险控制制度、流动性风险控制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基金托管人据此监督基金管理人的流通受限证券投资行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（4）在投资流通受限证券之前，基金管理人应至少提前一个交易日向基金托管人提供有关非公开定向增发流通受限证券的相关信息，具体应当包括但不限于如下文件（如有）：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拟发行数量、定价依据、监管机构的批准证明文件复印件、基金管理人与承销商签订的销售协议复印件、缴款通知书、基金拟认购的数量、价格、总成本、划款账号、划款金额、划款时间文件等。基金管理人应保证上述信息的真实、完整。</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监督基金管理人投资流通受限证券的过程中，如认为因市场出现剧烈变化导致基金管理人的具体投资行为可能对基金财产造成较大风险，基金托管人有权要求基金管理人对该风险的消除或防范措施进行补充和整改，并做出书面说明。否则，基金托管人经事先书面告知基金管理人，有权拒绝执行其有关指令。因拒绝执行该指令造成基金财产损失的，基金托管人不承担任何责任，并有权报告中国证监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保证基金投资的受限证券登记存管在本基金名下，并保证基金托管人能够正常查询。因基金管理人原因产生的受限证券登记存管问题，造成基金财产的损失或基金托管人无法安全保管基金财产的责任与损失，由基金管理人承担。</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（7）如果基金管理人未按照本协议的约定向基金托管人报送相关数据或者报送了虚假的数据，导致基金托管人不能履行托管人职责的，基金管理人应依法承担</w:t>
      </w:r>
      <w:r>
        <w:rPr>
          <w:rFonts w:ascii="宋体" w:hAnsi="宋体"/>
          <w:sz w:val="24"/>
        </w:rPr>
        <w:lastRenderedPageBreak/>
        <w:t>相应法律后果。除基金托管人未能依据法律法规、基金合同及本协议履行职责外，因投资流通受限证券产生的损失，基金托管人按照本协议履行监督职责后不承担上述损失。</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的上述事项及投资指令或实际投资运作中违反法律法规和基金合同的规定，应及时以书面形式通知基金管理人限期纠正。基金管理人应积极配合和协助基金托管人的监督和核查。基金管理人收到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 督促基金管理人改正。基金管理人对基金托管人通知的违规事项未能在限期内纠正的，基金托管人应报告中国证监会。基金托管人发现基金管理人依据交易程序已经生效的投资指令违反法律、行政法规和其他有关规定，或者违反基金合同约定的，应当立即通知基金管理人，并报告中国证监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规要求需向中国证监会报送基金监督报告的事项，基金管理人应积极配合提供相关数据资料和制度等。</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协议规定行使监督权，或采取拖延、欺诈等手段妨碍对方进行有效监督，情节严重或经基金托管人提出警告仍不改正的，基金托管人应报告中国证监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复核基金管理人计算的基金资产净值和基金份额净值、根据基金管理人指令办理清算交收、相关信息披露和监督基金投资运作等行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w:t>
      </w:r>
      <w:r>
        <w:rPr>
          <w:rFonts w:ascii="宋体" w:hAnsi="宋体"/>
          <w:sz w:val="24"/>
        </w:rPr>
        <w:lastRenderedPageBreak/>
        <w:t>《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 督促基金托管人改正。基金托管人应积极配合基金管理人的核查行为，包括但不限于：提交相关资料以供基金管理人核查托管财产的完整性和真实性，在规定时间内答复基金管理人并改正。</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（2）基金托管人应安全保管基金财产。未经基金管理人依据合法程序作出的合法合规指令，基金托管人不得自行运用、处分、分配基金的任何财产。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申购、投资产生的应收资产，应由基金管理人负责与有关当事人确定到账日期并通知基金托管人，到账日基金财产没有到达基金账户的，基金托管人应及时通知基金管理人采取措施进行催收。由此给基金财产造成损失的，基金托管人对此不承担任何责任。</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（1）基金募集期间的认购款项应存于专用账户。该账户由基金管理人委托的</w:t>
      </w:r>
      <w:r>
        <w:rPr>
          <w:rFonts w:ascii="宋体" w:hAnsi="宋体"/>
          <w:sz w:val="24"/>
        </w:rPr>
        <w:lastRenderedPageBreak/>
        <w:t>注册登记机构开立并管理。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募集到的全部资金划入基金托管人开立的基金托管资金账户，同时在规定时间内，聘请具有从事证券相关业务资格的会计师事务所进行验资，出具验资报告。出具的验资报告由参加验资的2名或2名以上中国注册会计师签字方为有效。</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（3）若基金募集期限届满，未能达到基金合同生效的条件，由基金管理人按规定办理退款等事宜，基金托管人应提供充分协助。</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3、基金托管资金账户的开立和管理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（1）基金托管人应负责本基金的资金账户的开设和管理。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可以本基金的名义在其营业机构开设本基金的资金账户，并根据基金管理人合法合规的指令办理资金收付。本基金的银行预留印鉴由基金托管人保管和使用。本基金的一切货币收支活动，包括但不限于投资、支付赎回金额、支付基金收益、收取申购款，均需通过本基金的资金账户进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（3）基金托管资金账户的开立和使用，限于满足开展本基金业务的需要。基金托管人和基金管理人不得假借本基金的名义开立任何其他银行账户；亦不得使用基金的任何账户进行本基金业务以外的活动。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（4）基金托管资金账户的开立和管理应符合相关法律法规的有关规定。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（5）在符合法律法规规定的条件下，基金托管人可以通过基金托管人专用账户办理基金资产的支付。</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（2）基金证券账户的开立和使用，限于满足开展本基金业务的需要。基金托管人和基金管理人不得出借或未经对方同意擅自转让基金的任何证券账户，亦不得使用基金的任何账户进行本基金业务以外的活动。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基金托管人以自身法人名义在中国证券登记结算有限责任公司开立结算备付金账户，并代表所托管的基金完成与中国证券登记结算有限责任公司的一级法人清算工作，基金管理人应予以积极协助。结算备付金的收取按照中国证券登记结算有限责任公司的规定执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（4）基金证券账户的开立和证券账户卡的保管由基金托管人负责，账户资产的管理和运用由基金管理人负责。</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本托管协议生效日之后，本基金被允许从事其他投资品种的投资业务，涉及相关账户的开设、使用的，按有关规定开设、使用并管理；若无相关规定，则基金托管人应当比照并遵守上述关于账户开设、使用的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的有关规定，以基金的名义在中央国债登记结算有限责任公司开立债券托管与结算账户，并代表基金进行银行间市场债券的结算。基金管理人和基金托管人同时代表基金签订全国银行间债券市场债券回购主协议。</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（1）因业务发展需要而开立的其他账户，可以根据法律法规和基金合同的规定，在基金管理人和基金托管人商议后由基金托管人负责开立。新账户按有关规则使用并管理。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（2）法律法规等有关规定对相关账户的开立和管理另有规定的，从其规定办理。7、基金财产投资的有关有价凭证等的保管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定期存款存单等有价凭证由基金托管人负责妥善保管，保管凭证由基金托管人持有。实物证券的购买和转让，由基金托管人根据基金管理人的指令办理。属于基金托管人实际有效控制下的实物证券在基金托管人保管期间的损坏、灭失，由此产生的责任应由基金托管人承担。基金托管人对基金托管人以外机构实际有效控制的证券不承担保管责任。</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管理人、基金托管人保管。除协议另有规定外，基金管理人在代表基金签署与基金有关的重大合同时应保证基金一方持有两份以上的正本，以便基金管理人和基金托管人至少各持有一份正本的原件。重大合同的保管期限为基金合同终止后15年。</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（五）基金资产净值计算和会计核算</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1、基金资产净值的计算及复核程序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基金资产净值是指基金资产总值减去基金负债后的净资产值。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各类基金份额的基金份额净值是指计算日该类基金份额的基金资产净值除以计算日该类基金份额总数的数值。各类基金份额净值的计算，精确到0.0001元，小数点后第五位四舍五入，由此产生的误差计入基金财产。国家另有规定的，从其规定。</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基金管理人每个工作日分别计算本基金A/B类基金份额、C类基金份额和D类基金份额的基金资产净值及基金份额净值，经基金托管人复核，按规定公告。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工作日对基金资产进行估值后，将本基金A/B类基金份额、C类基金份额和D类基金份额的基金份额净值结果发送基金托管人，经基金托管人复核无误后，由基金管理人依据基金合同和相关法律法规的规定对外公布。月末、年中和年末估值复核与基金会计账目的核对同时进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2、基金资产估值方法和特殊情形的处理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基金依法拥有的债券、权证及其他基金资产和负债。</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1）债券估值方法：</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证券交易所市场挂牌交易且实行净价交易的债券按估值日收盘价估值；估值日没有交易的，且最近交易日后经济环境未发生重大变化，按最近交易日的收盘价估值；如果估值日无交易，且最近交易日后经济环境发生了重大变化的，将参考类似投资品种的现行市价及重大变化因素，调整最近交易日收盘价，确定公允价值进行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证券交易所市场挂牌交易且未实行净价交易的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估值；如果估值日无交易，且最近交易日后经济环境发生了重大变化的，将参考类似投资品种的现行市价及重大变化因素，调整最近交易日收盘价，确定公允价值进行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首次发行未上市债券采用估值技术确定的公允价值进行估值，在估值技术难以可靠计量公允价值的情况下，按成本估值。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交易所以大宗交易方式转让的资产支持证券，采用估值技术确定公允价值，在</w:t>
      </w:r>
      <w:r>
        <w:rPr>
          <w:rFonts w:ascii="宋体" w:hAnsi="宋体"/>
          <w:sz w:val="24"/>
        </w:rPr>
        <w:lastRenderedPageBreak/>
        <w:t>估值技术难以可靠计量公允价值的情况下，按成本进行后续计量。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在全国银行间债券市场交易的债券、资产支持证券等固定收益品种，采用估值技术确定公允价值。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同一债券同时在两个或两个以上市场交易的，按债券所处的市场分别估值。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任何情况下，基金管理人如采用本项第01-06小项规定的方法对基金资产进行估值，均应被认为采用了适当的估值方法。但是，如果基金管理人认为按本项第01-06小项规定的方法对基金资产进行估值不能客观反映其公允价值的，基金管理人在综合考虑市场成交价、市场报价、流动性、收益率曲线等多种因素基础上形成的债券估值，基金管理人可根据具体情况与基金托管人商定后，按最能反映公允价值的价格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国家有最新规定的，按其规定进行估值。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2）权证估值方法：</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持有的权证，从持有确认日起到卖出日或行权日止，上市交易的权证按估值日在证券交易所挂牌的该权证的收盘价估值；估值日没有交易的，且最近交易日后经济环境未发生重大变化，按最近交易日的收盘价估值；如最近交易日后经济环境发生了重大变化的，可参考类似投资品种的现行市价及重大变化因素，调整最近交易市价，确定公允价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首次发行未上市的权证，采用估值技术确定公允价值，在估值技术难以可靠计量公允价值的情况下，按成本估值。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停止交易、但未行权的权证，采用估值技术确定公允价值进行估值。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任何情况下，基金管理人如采用本项第1-3项规定的方法对基金资产进行估值，均应被认为采用了适当的估值方法。但是，如果基金管理人认为按本项第1-3项规定的方法对基金资产进行估值不能客观反映其公允价值的，基金管理人可根据具体情况，并与基金托管人商定后，按最能反映公允价值的价格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国家有最新规定的，按其规定进行估值。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3）其他有价证券等资产按国家有关规定进行估值。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以约定的方法、程序和相关法律法规的规定进行估值，以维护基金份额持有人的利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有关法律法规，本基金的基金会计责任方由基金管理人担任。因此，就与本基金有关的会计问题，如经相关各方在平等基础上充分讨论后，仍无法达成一致的意见，基金管理人有权按照其对基金资产净值的计算结果对外予以公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（3）特殊情形的处理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1）基金管理人、基金托管人按债券估值方法的第7项、权证估值方法的第4项进行估值时，所造成的误差不作为基金份额净值错误处理。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证券交易所或登记结算公司发送的数据错误，有关会计制度变化或由于其他不可抗力原因，基金管理人和基金托管人虽然已经采取必要、适当、合理的措施进行检查，但是未能发现该错误而造成的基金份额净值错误，基金管理人、基金托管人免除赔偿责任。但基金管理人、基金托管人应积极采取必要的措施消除由此造成的影响。</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3、基金份额净值错误的处理方式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基金份额净值小数点后4位以内（含第4位）发生估值错误时，视为基金份额净值错误；基金份额净值出现错误时，基金管理人应当立即予以纠正，通报基金托管人，并采取合理的措施防止损失进一步扩大；错误偏差达到或超过基金资产净值的0.25%时，基金管理人应当及时通知基金托管人并报中国证监会；错误偏差达到基金份额净值的0.50%时，基金管理人应当公告、通报基金托管人并报中国证监会备案；当发生基金份额净值错误时，由基金管理人负责处理，由此给基金份额持有人和基金造成损失的，应由基金管理人先行赔付，基金管理人按差错情形，有权向其他当事人追偿。</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（2）当基金份额净值错误给基金和基金份额持有人造成损失需要进行赔偿时，基金管理人和基金托管人应根据实际情况界定双方承担的责任，经确认后按以下条款进行赔偿：</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基金会计责任方由基金管理人担任。与本基金有关的会计问题，如经双方在平等基础上充分讨论后，尚不能达成一致时，按基金会计责任方的建议执行，由此给基金份额持有人和基金造成的损失，由基金管理人负责赔付。</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若基金管理人计算的基金份额净值已由基金托管人复核确认后公告，当发生基金份额净值错误而且基金托管人未对计算过程提出疑义或要求基金管理人书面说明，基金份额净值错误且造成基金份额持有人损失的，应根据法律法规的规定对基金份额持有人或基金支付赔偿金，就实际向基金份额持有人或基金支付的赔偿金</w:t>
      </w:r>
      <w:r>
        <w:rPr>
          <w:rFonts w:ascii="宋体" w:hAnsi="宋体"/>
          <w:sz w:val="24"/>
        </w:rPr>
        <w:lastRenderedPageBreak/>
        <w:t>额，其中基金管理人承担50%，基金托管人承担50%。</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基金管理人提供的信息错误（包括但不限于基金申购或赎回金额等），基金托管人在履行正常的复核程序后仍不能发现该错误，进而导致基金份额净值错误而引起的基金份额持有人和基金财产的损失，由基金管理人负责赔付。</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（3）基金管理人和基金托管人由于各自技术系统设置而产生的净值计算尾差，以基金管理人计算结果为准。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（4）前述内容如法律法规或监管机关另有规定的，从其规定处理。如果行业有通行做法，双方当事人应本着平等和保护基金份额持有人利益的原则进行协商。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4、暂停估值与公告基金份额净值的情形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（1）基金投资所涉及的证券投资市场遇法定节假日或因其他原因暂停交易时；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（2）因不可抗力或其他情形致使基金管理人、基金托管人无法准确评估基金资产价值时；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（4）当特定资产占前一估值日基金资产净值50%以上的，经与基金托管人协商确认后，基金管理人应当暂停估值；</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（5）中国证监会和基金合同认定的其他情形。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5、基金会计制度</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6、基金账册的建立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进行基金会计核算并编制基金财务会计报告。基金管理人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资产净值的计算和公告的，以基金管理人的账册为准。</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7、基金财务报表与报告的编制和复核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及时编制并对外提供真实、完整的基金财务会计报告。月度报表的编制，基金管理人应于每月终了后5个工作日内完成；季度报告应在季度结束之日起15个工作日内编制完毕并予以公告；中期报告在会计年度半年终了后两个月内编制完毕并予以公告；年度报告在会计年度结束后三个月内编制完毕并予以公告。基金合同生效不足2个月的，基金管理人可以不编制当期季度报告、中期报告或者年度报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基金管理人在报表或定期报告完成当日，对报表盖章后，以加密传真方式或双方书面商定的其他方式将有关报表提供基金托管人复核。</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表完成当日，将报表盖章后提供给基金托管人复核；基金托管人在收到后应在3日内进行复核，并将复核结果书面通知基金管理人。基金管理人在季度报告完成当日，将有关报告提供给基金托管人复核，基金托管人应在收到后7个工作日内完成复核，并将复核结果书面通知基金管理人。基金管理人在中期报告完成当日，将有关报告提供给基金托管人复核，基金托管人应在收到后30日内完成复核，并将复核结果书面通知基金管理人。基金管理人在年度报告完成当日，将有关报告提供基金托管人复核，基金托管人应在收到后45日内完成复核，并将复核结果书面通知基金管理人。基金管理人和基金托管人之间的上述文件往来均以加密传真的方式或双方商定的其他方式进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复核过程中，发现双方的报表存在不符时，基金管理人和基金托管人应共同查明原因，进行调整，调整以双方认可的账务处理方式为准；若双方无法达成一致，以基金管理人的账务处理为准。核对无误后，基金托管人在基金管理人提供的报告上加盖托管业务部门公章或者出具加盖托管业务专用章的复核意见书，双方各自留存一份。如果基金管理人与基金托管人不能于应当发布公告之日之前就相关报表达成一致，基金管理人有权按照其编制的报表对外发布公告，基金托管人有权就相关情况报中国证监会备案。</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（六）基金份额持有人名册的的登记与保管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本基金的基金管理人和基金托管人须分别妥善保管基金份额持有人名册，包括基金合同生效日、基金合同终止日、基金权益登记日、基金份额持有人大会权益登</w:t>
      </w:r>
      <w:r>
        <w:rPr>
          <w:rFonts w:ascii="宋体" w:hAnsi="宋体"/>
          <w:sz w:val="24"/>
        </w:rPr>
        <w:lastRenderedPageBreak/>
        <w:t>记日、每年6月30日、12月31日的基金份额持有人名册。基金份额持有人名册的内容至少应包括持有人的名称和持有的基金份额。</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由注册登记机构编制，由基金管理人审核并提交基金托管人保管。基金托管人有权要求基金管理人提供任意一个交易日或全部交易日的基金份额持有人名册，基金管理人应及时提供，不得拖延或拒绝提供。</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及时向基金托管人提交基金份额持有人名册。每年6月30日和12月31日的基金份额持有人名册应于下月前十个工作日内提交；基金合同生效日、基金合同终止日等涉及到基金重要事项日期的基金份额持有人名册应于发生日后十个工作日内提交。</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应妥善保管基金份额持有人名册，保存期限为15年。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本协议适用中华人民共和国法律并从其解释。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本协议双方当事人经协商一致，可以对协议进行修改。修改后的新协议，其内容不得与基金合同的规定有任何冲突。基金托管协议的变更报中国证监会核准或备案后生效。</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w:t>
      </w:r>
      <w:r>
        <w:rPr>
          <w:rFonts w:ascii="宋体" w:hAnsi="宋体"/>
          <w:sz w:val="24"/>
        </w:rPr>
        <w:lastRenderedPageBreak/>
        <w:t>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9E4ED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04E1" w:rsidRDefault="009E4ED0">
      <w:pPr>
        <w:pStyle w:val="1"/>
        <w:snapToGrid w:val="0"/>
        <w:spacing w:beforeLines="0" w:before="240" w:after="240"/>
        <w:rPr>
          <w:rFonts w:ascii="宋体" w:hAnsi="宋体"/>
          <w:szCs w:val="30"/>
        </w:rPr>
      </w:pPr>
      <w:bookmarkStart w:id="26" w:name="_Toc231197031"/>
      <w:r>
        <w:rPr>
          <w:rFonts w:ascii="Times New Roman" w:hAnsi="Times New Roman"/>
          <w:sz w:val="30"/>
        </w:rPr>
        <w:lastRenderedPageBreak/>
        <w:t>二十三、对基金份额持有人的服务</w:t>
      </w:r>
      <w:bookmarkEnd w:id="26"/>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w:t>
      </w:r>
      <w:r w:rsidRPr="00BB248E">
        <w:rPr>
          <w:rFonts w:ascii="宋体" w:hAnsi="宋体" w:hint="eastAsia"/>
          <w:b/>
          <w:kern w:val="0"/>
          <w:sz w:val="24"/>
        </w:rPr>
        <w:t>一）持有人交易资料的寄送服务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和转换等业务。本公司暂不开展网上直销本基金B类基金份额的认/申购业务，通过转托管转入网上直销账户的本基金B类基金份额只能办理赎回业务。通过网上直销交易平台办理本基金A类基金份额或D类基金份额的申购和定期定额投资业务的个人投资者将享受前端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在条件成熟的时候，本基金管理人将根据基金网上直销业务的发展状况，适时调整可用于网上直销交易平台的银行卡种类，敬请投资者留意相关公告。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如果想查询申购、赎回等交易情况、分红方式状态、基金账户余额、基金产品与服务等信息，请拨打本基金管理人客户服务电话（400-700-5000，021-61055000）或登录本基金管理人网站（www.fund001.com）进行咨询、查询。</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本基金管理人为投资者预设基金查询密码，预设的基金查询密码为投资者开户证件号码的后6位数字，不足6位数字的，前面加“0”补足。基金查询密码用于投</w:t>
      </w:r>
      <w:r>
        <w:rPr>
          <w:rFonts w:ascii="宋体" w:hAnsi="宋体"/>
          <w:sz w:val="24"/>
        </w:rPr>
        <w:lastRenderedPageBreak/>
        <w:t>资者通过客户服务电话查询基金账户下的账户和交易信息。投资者请在其知晓基金账号后，及时拨打本基金管理人客户服务电话修改基金查询密码。</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投资者可以拨打本基金管理人客户服务电话投诉直销机构的人员和服务。</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（四）基金红利再投资</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本基金收益分配时，基金投资者可以选择将当期分配所得的红利再投资于本基金，再投资红利按红利再投日（即除息日）除息后的基金份额净值自动转为相应类别的基金份额，并免收申购费用。</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基金管理人的互联网地址及电子信箱</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9E4ED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04E1" w:rsidRDefault="009E4ED0">
      <w:pPr>
        <w:pStyle w:val="1"/>
        <w:snapToGrid w:val="0"/>
        <w:spacing w:beforeLines="0" w:before="240" w:after="240"/>
        <w:rPr>
          <w:rFonts w:ascii="宋体" w:hAnsi="宋体"/>
          <w:szCs w:val="30"/>
        </w:rPr>
      </w:pPr>
      <w:bookmarkStart w:id="27" w:name="_Toc231197032"/>
      <w:r>
        <w:rPr>
          <w:rFonts w:ascii="Times New Roman" w:hAnsi="Times New Roman"/>
          <w:sz w:val="30"/>
        </w:rPr>
        <w:lastRenderedPageBreak/>
        <w:t>二十四、其他应披露事项</w:t>
      </w:r>
      <w:bookmarkEnd w:id="27"/>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交银施罗德基金管理有限公司关于交银施罗德纯债债券型发起式证券投资基金调整大额申购（转换转入、定期定额投资）业务限额的公告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2025-07-04</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交银施罗德基金管理有限公司关于交银施罗德纯债债券型发起式证券投资基金分红公告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2025-07-09</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交银施罗德基金管理有限公司关于增加平安银行股份有限公司为旗下基金的销售机构的公告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2025-07-15</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交银施罗德纯债债券型发起式证券投资基金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交银施罗德基金管理有限公司关于增加交通银行股份有限公司为旗下基金的销售机构的公告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2025-08-01</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交银施罗德纯债债券型发起式证券投资基金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交银施罗德基金管理有限公司关于交银施罗德纯债债券型发起式证券投资基金于</w:t>
            </w:r>
            <w:r>
              <w:rPr>
                <w:rFonts w:ascii="Times New Roman" w:hAnsi="Times New Roman"/>
                <w:color w:val="000000"/>
                <w:kern w:val="0"/>
                <w:sz w:val="25"/>
                <w:szCs w:val="24"/>
              </w:rPr>
              <w:t>2025</w:t>
            </w:r>
            <w:r>
              <w:rPr>
                <w:rFonts w:ascii="Times New Roman" w:hAnsi="Times New Roman"/>
                <w:color w:val="000000"/>
                <w:kern w:val="0"/>
                <w:sz w:val="25"/>
                <w:szCs w:val="24"/>
              </w:rPr>
              <w:t>年</w:t>
            </w:r>
            <w:r>
              <w:rPr>
                <w:rFonts w:ascii="Times New Roman" w:hAnsi="Times New Roman"/>
                <w:color w:val="000000"/>
                <w:kern w:val="0"/>
                <w:sz w:val="25"/>
                <w:szCs w:val="24"/>
              </w:rPr>
              <w:t>“</w:t>
            </w:r>
            <w:r>
              <w:rPr>
                <w:rFonts w:ascii="Times New Roman" w:hAnsi="Times New Roman"/>
                <w:color w:val="000000"/>
                <w:kern w:val="0"/>
                <w:sz w:val="25"/>
                <w:szCs w:val="24"/>
              </w:rPr>
              <w:t>国庆节</w:t>
            </w:r>
            <w:r>
              <w:rPr>
                <w:rFonts w:ascii="Times New Roman" w:hAnsi="Times New Roman"/>
                <w:color w:val="000000"/>
                <w:kern w:val="0"/>
                <w:sz w:val="25"/>
                <w:szCs w:val="24"/>
              </w:rPr>
              <w:t>”</w:t>
            </w:r>
            <w:r>
              <w:rPr>
                <w:rFonts w:ascii="Times New Roman" w:hAnsi="Times New Roman"/>
                <w:color w:val="000000"/>
                <w:kern w:val="0"/>
                <w:sz w:val="25"/>
                <w:szCs w:val="24"/>
              </w:rPr>
              <w:t>假期前调整大额申购（转换转入、定期定额投资）业务限额的公告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2025-09-27</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交银施罗德基金管理有限公司关于交银施罗德纯债债券型发起式证券投资基金调整大额申购（转换转入、定期定额投资）业务限额的公告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2025-10-14</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交银施罗德基金管理有限公司关于交银施罗德纯债债券型发起式证券投资基金分红公告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2025-10-17</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交银施罗德基金管理有限公司关于旗下部分基金开通同一基金不同类别基金份额转换业务并修改基金合同的公告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交银施罗德纯债债券型发起式证券投资基金基金合同</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交银施罗德纯债债券型发起式证券投资基金托管协议</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交银施罗德纯债债券型发起式证券投资基金招募说明书更新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2025-10-23</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交银施罗德纯债债券型发起式证券投资基金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交银施罗德纯债债券型发起式证券投资基金招募说明书更新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交银施罗德纯债债券型发起式证券投资基金（</w:t>
            </w:r>
            <w:r>
              <w:rPr>
                <w:rFonts w:ascii="Times New Roman" w:hAnsi="Times New Roman"/>
                <w:color w:val="000000"/>
                <w:kern w:val="0"/>
                <w:sz w:val="25"/>
                <w:szCs w:val="24"/>
              </w:rPr>
              <w:t>AB</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交银施罗德纯债债券型发起式证券投资基金（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交银施罗德纯债债券型发起式证券投资基金（</w:t>
            </w:r>
            <w:r>
              <w:rPr>
                <w:rFonts w:ascii="Times New Roman" w:hAnsi="Times New Roman"/>
                <w:color w:val="000000"/>
                <w:kern w:val="0"/>
                <w:sz w:val="25"/>
                <w:szCs w:val="24"/>
              </w:rPr>
              <w:t>D</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2025-12-26</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22</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交银施罗德基金管理有限公司关于交银施罗德纯债债券型发起式证券投资基金调整大额申购（转换转入、定期定额投资）业务限额的公告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2026-01-12</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交银施罗德基金管理有限公司关于交银施罗德纯债债券型发起式证券投资基金分红公告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2026-01-14</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交银施罗德纯债债券型发起式证券投资基金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交银施罗德基金管理有限公司关于交银施罗德纯债债券型发起式证券投资基金于</w:t>
            </w:r>
            <w:r>
              <w:rPr>
                <w:rFonts w:ascii="Times New Roman" w:hAnsi="Times New Roman"/>
                <w:color w:val="000000"/>
                <w:kern w:val="0"/>
                <w:sz w:val="25"/>
                <w:szCs w:val="24"/>
              </w:rPr>
              <w:t>2026</w:t>
            </w:r>
            <w:r>
              <w:rPr>
                <w:rFonts w:ascii="Times New Roman" w:hAnsi="Times New Roman"/>
                <w:color w:val="000000"/>
                <w:kern w:val="0"/>
                <w:sz w:val="25"/>
                <w:szCs w:val="24"/>
              </w:rPr>
              <w:t>年</w:t>
            </w:r>
            <w:r>
              <w:rPr>
                <w:rFonts w:ascii="Times New Roman" w:hAnsi="Times New Roman"/>
                <w:color w:val="000000"/>
                <w:kern w:val="0"/>
                <w:sz w:val="25"/>
                <w:szCs w:val="24"/>
              </w:rPr>
              <w:t>“</w:t>
            </w:r>
            <w:r>
              <w:rPr>
                <w:rFonts w:ascii="Times New Roman" w:hAnsi="Times New Roman"/>
                <w:color w:val="000000"/>
                <w:kern w:val="0"/>
                <w:sz w:val="25"/>
                <w:szCs w:val="24"/>
              </w:rPr>
              <w:t>春节</w:t>
            </w:r>
            <w:r>
              <w:rPr>
                <w:rFonts w:ascii="Times New Roman" w:hAnsi="Times New Roman"/>
                <w:color w:val="000000"/>
                <w:kern w:val="0"/>
                <w:sz w:val="25"/>
                <w:szCs w:val="24"/>
              </w:rPr>
              <w:t>”</w:t>
            </w:r>
            <w:r>
              <w:rPr>
                <w:rFonts w:ascii="Times New Roman" w:hAnsi="Times New Roman"/>
                <w:color w:val="000000"/>
                <w:kern w:val="0"/>
                <w:sz w:val="25"/>
                <w:szCs w:val="24"/>
              </w:rPr>
              <w:t>假期前调整大额申购（转换转入、定期定额投资）业务限额的公告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2026-02-10</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交银施罗德纯债债券型发起式证券投资基金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交银施罗德基金管理有限公司关于交银施罗德纯债债券型发起式证券投资基金调整大额申购（转换转入、定期定额投资）业务限额的公告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2026-04-09</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交银施罗德基金管理有限公司关于交银施罗德纯债债券型发起式证券投资基金分红公告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2026-04-13</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交银施罗德纯债债券型发起式证券投资基金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D704E1">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31</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交银施罗德基金管理有限公司关于交银施罗德纯债债券型发起式证券投资基金于</w:t>
            </w:r>
            <w:r>
              <w:rPr>
                <w:rFonts w:ascii="Times New Roman" w:hAnsi="Times New Roman"/>
                <w:color w:val="000000"/>
                <w:kern w:val="0"/>
                <w:sz w:val="25"/>
                <w:szCs w:val="24"/>
              </w:rPr>
              <w:t>2026</w:t>
            </w:r>
            <w:r>
              <w:rPr>
                <w:rFonts w:ascii="Times New Roman" w:hAnsi="Times New Roman"/>
                <w:color w:val="000000"/>
                <w:kern w:val="0"/>
                <w:sz w:val="25"/>
                <w:szCs w:val="24"/>
              </w:rPr>
              <w:t>年</w:t>
            </w:r>
            <w:r>
              <w:rPr>
                <w:rFonts w:ascii="Times New Roman" w:hAnsi="Times New Roman"/>
                <w:color w:val="000000"/>
                <w:kern w:val="0"/>
                <w:sz w:val="25"/>
                <w:szCs w:val="24"/>
              </w:rPr>
              <w:t>“</w:t>
            </w:r>
            <w:r>
              <w:rPr>
                <w:rFonts w:ascii="Times New Roman" w:hAnsi="Times New Roman"/>
                <w:color w:val="000000"/>
                <w:kern w:val="0"/>
                <w:sz w:val="25"/>
                <w:szCs w:val="24"/>
              </w:rPr>
              <w:t>劳动节</w:t>
            </w:r>
            <w:r>
              <w:rPr>
                <w:rFonts w:ascii="Times New Roman" w:hAnsi="Times New Roman"/>
                <w:color w:val="000000"/>
                <w:kern w:val="0"/>
                <w:sz w:val="25"/>
                <w:szCs w:val="24"/>
              </w:rPr>
              <w:t>”</w:t>
            </w:r>
            <w:r>
              <w:rPr>
                <w:rFonts w:ascii="Times New Roman" w:hAnsi="Times New Roman"/>
                <w:color w:val="000000"/>
                <w:kern w:val="0"/>
                <w:sz w:val="25"/>
                <w:szCs w:val="24"/>
              </w:rPr>
              <w:t>假期前调整大额申购（转换转入、定期定额投资）业务限额的公告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D704E1" w:rsidRDefault="009E4ED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2026-04-28</w:t>
            </w:r>
          </w:p>
        </w:tc>
      </w:tr>
    </w:tbl>
    <w:p w:rsidR="00B439CC" w:rsidRDefault="009E4ED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04E1" w:rsidRDefault="009E4ED0">
      <w:pPr>
        <w:pStyle w:val="1"/>
        <w:snapToGrid w:val="0"/>
        <w:spacing w:beforeLines="0" w:before="240" w:after="240"/>
        <w:rPr>
          <w:rFonts w:ascii="宋体" w:hAnsi="宋体"/>
          <w:szCs w:val="30"/>
        </w:rPr>
      </w:pPr>
      <w:bookmarkStart w:id="28" w:name="_Toc231197033"/>
      <w:r>
        <w:rPr>
          <w:rFonts w:ascii="Times New Roman" w:hAnsi="Times New Roman"/>
          <w:sz w:val="30"/>
        </w:rPr>
        <w:lastRenderedPageBreak/>
        <w:t>二十五、招募说明书的存放及查阅方式</w:t>
      </w:r>
      <w:bookmarkEnd w:id="28"/>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的办公场所，投资者可在办公时间查阅；投资者在支付工本费后，可在合理时间内取得上述文件复制件或复印件。对投资者按此种方式所获得的文件及其复印件，基金管理人和基金托管人保证文本的内容与所公告的内容完全一致。</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投资者还可以直接登录基金管理人的网站（www.fund001.com）查阅和下载招募说明书。</w:t>
      </w:r>
    </w:p>
    <w:p w:rsidR="00B439CC" w:rsidRDefault="009E4ED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D704E1" w:rsidRDefault="009E4ED0">
      <w:pPr>
        <w:pStyle w:val="1"/>
        <w:snapToGrid w:val="0"/>
        <w:spacing w:beforeLines="0" w:before="240" w:after="240"/>
        <w:rPr>
          <w:rFonts w:ascii="宋体" w:hAnsi="宋体"/>
          <w:szCs w:val="30"/>
        </w:rPr>
      </w:pPr>
      <w:bookmarkStart w:id="29" w:name="_Toc231197034"/>
      <w:r>
        <w:rPr>
          <w:rFonts w:ascii="Times New Roman" w:hAnsi="Times New Roman"/>
          <w:sz w:val="30"/>
        </w:rPr>
        <w:lastRenderedPageBreak/>
        <w:t>二十六、备查文件</w:t>
      </w:r>
      <w:bookmarkEnd w:id="29"/>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（一）中国证监会核准交银施罗德纯债债券型发起式证券投资基金募集的文件</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（二）《交银施罗德纯债债券型发起式证券投资基金基金合同》</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（三）《交银施罗德纯债债券型发起式证券投资基金托管协议》</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D704E1" w:rsidRDefault="009E4ED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（六）关于申请募集交银施罗德纯债债券型发起式证券投资基金之法律意见书</w:t>
      </w:r>
    </w:p>
    <w:sectPr w:rsidR="00D704E1">
      <w:footerReference w:type="default" r:id="rId20"/>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7160" w:rsidRDefault="009E4ED0">
      <w:r>
        <w:separator/>
      </w:r>
    </w:p>
  </w:endnote>
  <w:endnote w:type="continuationSeparator" w:id="0">
    <w:p w:rsidR="009B7160" w:rsidRDefault="009E4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04E1" w:rsidRDefault="00D704E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04E1" w:rsidRDefault="0036499D">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D704E1" w:rsidRDefault="009E4ED0">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36499D">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04E1" w:rsidRDefault="00D704E1">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04E1" w:rsidRDefault="0036499D">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D704E1" w:rsidRDefault="009E4ED0">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36499D">
                  <w:rPr>
                    <w:rFonts w:ascii="Times New Roman" w:hAnsi="Times New Roman"/>
                    <w:noProof/>
                    <w:kern w:val="0"/>
                    <w:sz w:val="18"/>
                    <w:szCs w:val="18"/>
                  </w:rPr>
                  <w:t>169</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7160" w:rsidRDefault="009E4ED0">
      <w:r>
        <w:separator/>
      </w:r>
    </w:p>
  </w:footnote>
  <w:footnote w:type="continuationSeparator" w:id="0">
    <w:p w:rsidR="009B7160" w:rsidRDefault="009E4E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04E1" w:rsidRDefault="00D704E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04E1" w:rsidRDefault="009E4ED0">
    <w:pPr>
      <w:pStyle w:val="a3"/>
      <w:jc w:val="right"/>
      <w:rPr>
        <w:rFonts w:ascii="宋体" w:hAnsi="宋体"/>
      </w:rPr>
    </w:pPr>
    <w:r>
      <w:rPr>
        <w:rFonts w:ascii="宋体" w:hAnsi="宋体" w:hint="eastAsia"/>
      </w:rPr>
      <w:t>交银施罗德纯债债券型发起式证券投资基金招募说明书更新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04E1" w:rsidRDefault="00D704E1">
    <w:pPr>
      <w:pStyle w:val="10"/>
      <w:jc w:val="right"/>
    </w:pPr>
  </w:p>
  <w:p w:rsidR="00D704E1" w:rsidRDefault="00D704E1">
    <w:pPr>
      <w:pStyle w:val="10"/>
      <w:jc w:val="right"/>
    </w:pPr>
  </w:p>
  <w:p w:rsidR="00D704E1" w:rsidRDefault="00D704E1">
    <w:pPr>
      <w:pStyle w:val="a3"/>
      <w:jc w:val="right"/>
    </w:pPr>
  </w:p>
  <w:p w:rsidR="00D704E1" w:rsidRDefault="009E4ED0">
    <w:pPr>
      <w:pStyle w:val="a3"/>
      <w:jc w:val="right"/>
      <w:rPr>
        <w:rFonts w:ascii="宋体" w:hAnsi="宋体"/>
      </w:rPr>
    </w:pPr>
    <w:r>
      <w:rPr>
        <w:rFonts w:ascii="宋体" w:hAnsi="宋体" w:hint="eastAsia"/>
      </w:rPr>
      <w:t>交银施罗德纯债债券型发起式证券投资基金招募说明书更新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04E1" w:rsidRDefault="00D704E1">
    <w:pPr>
      <w:pStyle w:val="a3"/>
      <w:jc w:val="right"/>
    </w:pPr>
  </w:p>
  <w:p w:rsidR="00D704E1" w:rsidRDefault="00D704E1">
    <w:pPr>
      <w:pStyle w:val="a3"/>
      <w:jc w:val="right"/>
    </w:pPr>
  </w:p>
  <w:p w:rsidR="00D704E1" w:rsidRDefault="00D704E1">
    <w:pPr>
      <w:pStyle w:val="a3"/>
      <w:jc w:val="right"/>
    </w:pPr>
  </w:p>
  <w:p w:rsidR="00D704E1" w:rsidRDefault="009E4ED0">
    <w:pPr>
      <w:pStyle w:val="a3"/>
      <w:jc w:val="right"/>
      <w:rPr>
        <w:rFonts w:ascii="宋体" w:hAnsi="宋体"/>
      </w:rPr>
    </w:pPr>
    <w:r>
      <w:rPr>
        <w:rFonts w:ascii="宋体" w:hAnsi="宋体" w:hint="eastAsia"/>
      </w:rPr>
      <w:t>交银施罗德纯债债券型发起式证券投资基金招募说明书更新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9"/>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99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B7160"/>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4ED0"/>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04E1"/>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9"/>
    <o:shapelayout v:ext="edit">
      <o:idmap v:ext="edit" data="3"/>
    </o:shapelayout>
  </w:shapeDefaults>
  <w:decimalSymbol w:val="."/>
  <w:listSeparator w:val=","/>
  <w15:docId w15:val="{55F8DD61-8C4D-4A2A-9D2D-301E52CB4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170</Pages>
  <Words>17607</Words>
  <Characters>100363</Characters>
  <Application>Microsoft Office Word</Application>
  <DocSecurity>0</DocSecurity>
  <Lines>836</Lines>
  <Paragraphs>235</Paragraphs>
  <ScaleCrop>false</ScaleCrop>
  <Company>Microsoft</Company>
  <LinksUpToDate>false</LinksUpToDate>
  <CharactersWithSpaces>117735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2026-06-01T01:03:00Z</dcterms:created>
  <dcterms:modified xsi:type="dcterms:W3CDTF">2026-06-01T01:03:00Z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