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75518A">
      <w:pPr>
        <w:rPr>
          <w:sz w:val="32"/>
        </w:rPr>
      </w:pPr>
    </w:p>
    <w:p w:rsidR="00C92FC0" w:rsidRPr="00EB07BC" w:rsidRDefault="0075518A">
      <w:pPr>
        <w:rPr>
          <w:sz w:val="32"/>
        </w:rPr>
      </w:pPr>
    </w:p>
    <w:p w:rsidR="00C92FC0" w:rsidRPr="00EB07BC" w:rsidRDefault="0075518A">
      <w:pPr>
        <w:rPr>
          <w:sz w:val="32"/>
        </w:rPr>
      </w:pPr>
    </w:p>
    <w:p w:rsidR="00D81429" w:rsidRDefault="00D8142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81429" w:rsidRDefault="00D8142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81429" w:rsidRDefault="00D8142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81429" w:rsidRDefault="00EC62CC">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交银施罗德慧选睿信一年持有期混合型基金中基金（</w:t>
      </w:r>
      <w:r>
        <w:rPr>
          <w:rFonts w:ascii="Times New Roman" w:hAnsi="Times New Roman"/>
          <w:b/>
          <w:spacing w:val="2"/>
          <w:w w:val="99"/>
          <w:kern w:val="0"/>
          <w:position w:val="-4"/>
          <w:sz w:val="44"/>
          <w:szCs w:val="44"/>
        </w:rPr>
        <w:t>FOF</w:t>
      </w:r>
      <w:r>
        <w:rPr>
          <w:rFonts w:ascii="Times New Roman" w:hAnsi="Times New Roman"/>
          <w:b/>
          <w:spacing w:val="2"/>
          <w:w w:val="99"/>
          <w:kern w:val="0"/>
          <w:position w:val="-4"/>
          <w:sz w:val="44"/>
          <w:szCs w:val="44"/>
        </w:rPr>
        <w:t>）</w:t>
      </w:r>
    </w:p>
    <w:p w:rsidR="00D81429" w:rsidRDefault="00EC62CC">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D81429" w:rsidRDefault="00D81429">
      <w:pPr>
        <w:snapToGrid w:val="0"/>
        <w:spacing w:line="360" w:lineRule="auto"/>
        <w:jc w:val="center"/>
        <w:rPr>
          <w:rFonts w:ascii="宋体" w:hAnsi="宋体"/>
          <w:b/>
          <w:sz w:val="30"/>
          <w:szCs w:val="30"/>
        </w:rPr>
      </w:pPr>
    </w:p>
    <w:p w:rsidR="00D81429" w:rsidRDefault="00D8142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1429" w:rsidRDefault="00D8142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1429" w:rsidRDefault="00D8142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1429" w:rsidRDefault="00D8142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1429" w:rsidRDefault="00D8142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1429" w:rsidRDefault="00D8142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1429" w:rsidRDefault="00EC62C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D81429" w:rsidRDefault="00EC62C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D81429" w:rsidRDefault="00D8142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1429" w:rsidRDefault="00D8142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81429" w:rsidRDefault="00EC62CC">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D81429" w:rsidRDefault="00D81429">
      <w:pPr>
        <w:autoSpaceDE w:val="0"/>
        <w:autoSpaceDN w:val="0"/>
        <w:adjustRightInd w:val="0"/>
        <w:snapToGrid w:val="0"/>
        <w:spacing w:line="360" w:lineRule="auto"/>
        <w:ind w:left="1347" w:rightChars="6" w:right="13"/>
        <w:rPr>
          <w:rFonts w:ascii="宋体" w:hAnsi="宋体"/>
          <w:kern w:val="0"/>
          <w:sz w:val="32"/>
          <w:szCs w:val="32"/>
        </w:rPr>
        <w:sectPr w:rsidR="00D81429">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D81429" w:rsidRDefault="00EC62CC">
      <w:pPr>
        <w:pStyle w:val="1"/>
        <w:snapToGrid w:val="0"/>
        <w:spacing w:beforeLines="0" w:before="240" w:after="240"/>
        <w:rPr>
          <w:rFonts w:ascii="宋体" w:hAnsi="宋体"/>
          <w:kern w:val="0"/>
        </w:rPr>
      </w:pPr>
      <w:bookmarkStart w:id="0" w:name="_Toc324920538"/>
      <w:bookmarkStart w:id="1" w:name="_Toc496884613"/>
      <w:bookmarkStart w:id="2" w:name="_Toc231305779"/>
      <w:r>
        <w:rPr>
          <w:rFonts w:ascii="Times New Roman" w:hAnsi="Times New Roman"/>
          <w:kern w:val="0"/>
        </w:rPr>
        <w:lastRenderedPageBreak/>
        <w:t>重要提示</w:t>
      </w:r>
      <w:bookmarkEnd w:id="0"/>
      <w:bookmarkEnd w:id="1"/>
      <w:bookmarkEnd w:id="2"/>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交银施罗德慧选睿信一年持有期混合型基金中基金（</w:t>
      </w:r>
      <w:r>
        <w:rPr>
          <w:rFonts w:ascii="Times New Roman" w:hAnsi="Times New Roman"/>
          <w:kern w:val="0"/>
          <w:sz w:val="24"/>
        </w:rPr>
        <w:t>FOF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29</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2022</w:t>
      </w:r>
      <w:r>
        <w:rPr>
          <w:rFonts w:ascii="Times New Roman" w:hAnsi="Times New Roman"/>
          <w:kern w:val="0"/>
          <w:sz w:val="24"/>
        </w:rPr>
        <w:t>】</w:t>
      </w:r>
      <w:r>
        <w:rPr>
          <w:rFonts w:ascii="Times New Roman" w:hAnsi="Times New Roman"/>
          <w:kern w:val="0"/>
          <w:sz w:val="24"/>
        </w:rPr>
        <w:t>275</w:t>
      </w:r>
      <w:r>
        <w:rPr>
          <w:rFonts w:ascii="Times New Roman" w:hAnsi="Times New Roman"/>
          <w:kern w:val="0"/>
          <w:sz w:val="24"/>
        </w:rPr>
        <w:t>号文准予募集注册。本基金基金合同于</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基金中基金的特有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投资本基金的其他风险等等。本基金为混合型基金中基金，其预期风险与预期收益理论上高于债券型基金、债券型基金中基金、货币市场基金和货币型基金中基金，低于股票型基金和股票型基金中基金。</w:t>
      </w:r>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w:t>
      </w:r>
      <w:r>
        <w:rPr>
          <w:rFonts w:ascii="Times New Roman" w:hAnsi="Times New Roman"/>
          <w:kern w:val="0"/>
          <w:sz w:val="24"/>
        </w:rPr>
        <w:lastRenderedPageBreak/>
        <w:t>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D81429" w:rsidRDefault="00EC62C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D81429" w:rsidRDefault="00D81429">
      <w:pPr>
        <w:autoSpaceDE w:val="0"/>
        <w:autoSpaceDN w:val="0"/>
        <w:adjustRightInd w:val="0"/>
        <w:snapToGrid w:val="0"/>
        <w:spacing w:before="51" w:line="360" w:lineRule="auto"/>
        <w:ind w:left="120" w:rightChars="6" w:right="13" w:firstLine="480"/>
        <w:rPr>
          <w:rFonts w:ascii="宋体" w:hAnsi="宋体"/>
          <w:kern w:val="0"/>
          <w:szCs w:val="24"/>
        </w:rPr>
        <w:sectPr w:rsidR="00D81429">
          <w:headerReference w:type="default" r:id="rId14"/>
          <w:pgSz w:w="11920" w:h="16840"/>
          <w:pgMar w:top="1440" w:right="1680" w:bottom="280" w:left="1680" w:header="0" w:footer="1073" w:gutter="0"/>
          <w:pgNumType w:start="1"/>
          <w:cols w:space="720"/>
        </w:sectPr>
      </w:pPr>
    </w:p>
    <w:p w:rsidR="0075518A" w:rsidRPr="0075518A" w:rsidRDefault="00EC62CC" w:rsidP="0075518A">
      <w:pPr>
        <w:pStyle w:val="ad"/>
        <w:snapToGrid w:val="0"/>
        <w:spacing w:after="240" w:line="360" w:lineRule="auto"/>
        <w:jc w:val="center"/>
        <w:rPr>
          <w:rFonts w:ascii="宋体" w:hAnsi="宋体"/>
          <w:noProof/>
          <w:sz w:val="24"/>
        </w:rPr>
      </w:pPr>
      <w:r w:rsidRPr="0075518A">
        <w:rPr>
          <w:rFonts w:ascii="宋体" w:hAnsi="宋体"/>
          <w:color w:val="000000"/>
          <w:position w:val="-4"/>
          <w:sz w:val="24"/>
          <w:szCs w:val="30"/>
        </w:rPr>
        <w:lastRenderedPageBreak/>
        <w:t>目</w:t>
      </w:r>
      <w:r w:rsidRPr="0075518A">
        <w:rPr>
          <w:rFonts w:ascii="宋体" w:hAnsi="宋体"/>
          <w:color w:val="000000"/>
          <w:position w:val="-4"/>
          <w:sz w:val="24"/>
          <w:szCs w:val="30"/>
        </w:rPr>
        <w:tab/>
        <w:t>录</w:t>
      </w:r>
      <w:r w:rsidR="0075518A" w:rsidRPr="0075518A">
        <w:rPr>
          <w:rFonts w:ascii="宋体" w:hAnsi="宋体"/>
          <w:color w:val="000000"/>
          <w:position w:val="-4"/>
          <w:sz w:val="24"/>
          <w:szCs w:val="30"/>
        </w:rPr>
        <w:fldChar w:fldCharType="begin"/>
      </w:r>
      <w:r w:rsidR="0075518A" w:rsidRPr="0075518A">
        <w:rPr>
          <w:rFonts w:ascii="宋体" w:hAnsi="宋体"/>
          <w:color w:val="000000"/>
          <w:position w:val="-4"/>
          <w:sz w:val="24"/>
          <w:szCs w:val="30"/>
        </w:rPr>
        <w:instrText xml:space="preserve"> TOC \o "1-3" \f - \h \t "-1" </w:instrText>
      </w:r>
      <w:r w:rsidR="0075518A" w:rsidRPr="0075518A">
        <w:rPr>
          <w:rFonts w:ascii="宋体" w:hAnsi="宋体"/>
          <w:color w:val="000000"/>
          <w:position w:val="-4"/>
          <w:sz w:val="24"/>
          <w:szCs w:val="30"/>
        </w:rPr>
        <w:fldChar w:fldCharType="separate"/>
      </w:r>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79" w:history="1">
        <w:r w:rsidRPr="0075518A">
          <w:rPr>
            <w:rStyle w:val="aa"/>
            <w:rFonts w:ascii="宋体" w:hAnsi="宋体" w:hint="eastAsia"/>
            <w:noProof/>
            <w:kern w:val="0"/>
            <w:sz w:val="24"/>
          </w:rPr>
          <w:t>重要提示</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_Toc231305779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1</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80" w:history="1">
        <w:r w:rsidRPr="0075518A">
          <w:rPr>
            <w:rStyle w:val="aa"/>
            <w:rFonts w:ascii="宋体" w:hAnsi="宋体" w:hint="eastAsia"/>
            <w:noProof/>
            <w:sz w:val="24"/>
          </w:rPr>
          <w:t>一、绪言</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_Toc231305780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5</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81" w:history="1">
        <w:r w:rsidRPr="0075518A">
          <w:rPr>
            <w:rStyle w:val="aa"/>
            <w:rFonts w:ascii="宋体" w:hAnsi="宋体" w:hint="eastAsia"/>
            <w:noProof/>
            <w:sz w:val="24"/>
          </w:rPr>
          <w:t>二、释义</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_Toc231305781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6</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82" w:history="1">
        <w:r w:rsidRPr="0075518A">
          <w:rPr>
            <w:rStyle w:val="aa"/>
            <w:rFonts w:ascii="宋体" w:hAnsi="宋体" w:hint="eastAsia"/>
            <w:noProof/>
            <w:sz w:val="24"/>
          </w:rPr>
          <w:t>三、基金管理人</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_Toc231305782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11</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83" w:history="1">
        <w:r w:rsidRPr="0075518A">
          <w:rPr>
            <w:rStyle w:val="aa"/>
            <w:rFonts w:ascii="宋体" w:hAnsi="宋体" w:hint="eastAsia"/>
            <w:noProof/>
            <w:sz w:val="24"/>
          </w:rPr>
          <w:t>四、基金托管人</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_Toc231305783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18</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84" w:history="1">
        <w:r w:rsidRPr="0075518A">
          <w:rPr>
            <w:rStyle w:val="aa"/>
            <w:rFonts w:ascii="宋体" w:hAnsi="宋体" w:hint="eastAsia"/>
            <w:noProof/>
            <w:sz w:val="24"/>
          </w:rPr>
          <w:t>五、相关服务机构</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_Toc231305784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22</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85" w:history="1">
        <w:r w:rsidRPr="0075518A">
          <w:rPr>
            <w:rStyle w:val="aa"/>
            <w:rFonts w:ascii="宋体" w:hAnsi="宋体" w:hint="eastAsia"/>
            <w:noProof/>
            <w:sz w:val="24"/>
          </w:rPr>
          <w:t>六、基金的募集</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_Toc231305785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46</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86" w:history="1">
        <w:r w:rsidRPr="0075518A">
          <w:rPr>
            <w:rStyle w:val="aa"/>
            <w:rFonts w:ascii="宋体" w:hAnsi="宋体" w:hint="eastAsia"/>
            <w:noProof/>
            <w:sz w:val="24"/>
          </w:rPr>
          <w:t>七、基金合同的生效</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_Toc231305786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47</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87" w:history="1">
        <w:r w:rsidRPr="0075518A">
          <w:rPr>
            <w:rStyle w:val="aa"/>
            <w:rFonts w:ascii="宋体" w:hAnsi="宋体" w:hint="eastAsia"/>
            <w:noProof/>
            <w:sz w:val="24"/>
          </w:rPr>
          <w:t>八、基金份额的申购与赎回</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_Toc231305787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48</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88" w:history="1">
        <w:r w:rsidRPr="0075518A">
          <w:rPr>
            <w:rStyle w:val="aa"/>
            <w:rFonts w:ascii="宋体" w:hAnsi="宋体" w:hint="eastAsia"/>
            <w:noProof/>
            <w:sz w:val="24"/>
          </w:rPr>
          <w:t>九、基金的投资</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_Toc231305788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61</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89" w:history="1">
        <w:r w:rsidRPr="0075518A">
          <w:rPr>
            <w:rStyle w:val="aa"/>
            <w:rFonts w:ascii="宋体" w:hAnsi="宋体" w:hint="eastAsia"/>
            <w:noProof/>
            <w:sz w:val="24"/>
          </w:rPr>
          <w:t>十、基金的业绩</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_Toc231305789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72</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90" w:history="1">
        <w:r w:rsidRPr="0075518A">
          <w:rPr>
            <w:rStyle w:val="aa"/>
            <w:rFonts w:ascii="宋体" w:hAnsi="宋体" w:hint="eastAsia"/>
            <w:noProof/>
            <w:sz w:val="24"/>
          </w:rPr>
          <w:t>十一、基金的财产</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_Toc231305790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75</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91" w:history="1">
        <w:r w:rsidRPr="0075518A">
          <w:rPr>
            <w:rStyle w:val="aa"/>
            <w:rFonts w:ascii="宋体" w:hAnsi="宋体" w:hint="eastAsia"/>
            <w:noProof/>
            <w:sz w:val="24"/>
          </w:rPr>
          <w:t>十二、基金资产的估值</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_Toc231305791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76</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92" w:history="1">
        <w:r w:rsidRPr="0075518A">
          <w:rPr>
            <w:rStyle w:val="aa"/>
            <w:rFonts w:ascii="宋体" w:hAnsi="宋体" w:hint="eastAsia"/>
            <w:noProof/>
            <w:sz w:val="24"/>
          </w:rPr>
          <w:t>十三、基金收益与分配</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_Toc231305792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83</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93" w:history="1">
        <w:r w:rsidRPr="0075518A">
          <w:rPr>
            <w:rStyle w:val="aa"/>
            <w:rFonts w:ascii="宋体" w:hAnsi="宋体" w:hint="eastAsia"/>
            <w:noProof/>
            <w:sz w:val="24"/>
          </w:rPr>
          <w:t>十四、基金的费用与税收</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_Toc231305793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85</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94" w:history="1">
        <w:r w:rsidRPr="0075518A">
          <w:rPr>
            <w:rStyle w:val="aa"/>
            <w:rFonts w:ascii="宋体" w:hAnsi="宋体" w:hint="eastAsia"/>
            <w:noProof/>
            <w:sz w:val="24"/>
          </w:rPr>
          <w:t>十五、基金的会计与审计</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_Toc231305794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88</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95" w:history="1">
        <w:r w:rsidRPr="0075518A">
          <w:rPr>
            <w:rStyle w:val="aa"/>
            <w:rFonts w:ascii="宋体" w:hAnsi="宋体" w:hint="eastAsia"/>
            <w:noProof/>
            <w:sz w:val="24"/>
          </w:rPr>
          <w:t>十六、基金的信息披露</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_Toc231305795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89</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96" w:history="1">
        <w:r w:rsidRPr="0075518A">
          <w:rPr>
            <w:rStyle w:val="aa"/>
            <w:rFonts w:ascii="宋体" w:hAnsi="宋体" w:hint="eastAsia"/>
            <w:noProof/>
            <w:sz w:val="24"/>
          </w:rPr>
          <w:t>十七、侧袋机制</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_Toc231305796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96</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97" w:history="1">
        <w:r w:rsidRPr="0075518A">
          <w:rPr>
            <w:rStyle w:val="aa"/>
            <w:rFonts w:ascii="宋体" w:hAnsi="宋体" w:hint="eastAsia"/>
            <w:noProof/>
            <w:sz w:val="24"/>
          </w:rPr>
          <w:t>十八、风险揭示</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_Toc231305797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99</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98" w:history="1">
        <w:r w:rsidRPr="0075518A">
          <w:rPr>
            <w:rStyle w:val="aa"/>
            <w:rFonts w:ascii="宋体" w:hAnsi="宋体" w:hint="eastAsia"/>
            <w:noProof/>
            <w:sz w:val="24"/>
          </w:rPr>
          <w:t>十九、基金合同的变更、终止与基金财产的清算</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_Toc231305798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110</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799" w:history="1">
        <w:r w:rsidRPr="0075518A">
          <w:rPr>
            <w:rStyle w:val="aa"/>
            <w:rFonts w:ascii="宋体" w:hAnsi="宋体" w:hint="eastAsia"/>
            <w:noProof/>
            <w:sz w:val="24"/>
          </w:rPr>
          <w:t>二十、基金合同内容摘要</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_Toc231305799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112</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800" w:history="1">
        <w:r w:rsidRPr="0075518A">
          <w:rPr>
            <w:rStyle w:val="aa"/>
            <w:rFonts w:ascii="宋体" w:hAnsi="宋体" w:hint="eastAsia"/>
            <w:noProof/>
            <w:sz w:val="24"/>
          </w:rPr>
          <w:t>二十一、托管协议的内容摘要</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_Toc231305800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129</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801" w:history="1">
        <w:r w:rsidRPr="0075518A">
          <w:rPr>
            <w:rStyle w:val="aa"/>
            <w:rFonts w:ascii="宋体" w:hAnsi="宋体" w:hint="eastAsia"/>
            <w:noProof/>
            <w:sz w:val="24"/>
          </w:rPr>
          <w:t>二十二、对基金份额持有人的服务</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_Toc231305801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150</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802" w:history="1">
        <w:r w:rsidRPr="0075518A">
          <w:rPr>
            <w:rStyle w:val="aa"/>
            <w:rFonts w:ascii="宋体" w:hAnsi="宋体" w:hint="eastAsia"/>
            <w:noProof/>
            <w:sz w:val="24"/>
          </w:rPr>
          <w:t>二十三、其他应披露事项</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_Toc231305802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152</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803" w:history="1">
        <w:r w:rsidRPr="0075518A">
          <w:rPr>
            <w:rStyle w:val="aa"/>
            <w:rFonts w:ascii="宋体" w:hAnsi="宋体" w:hint="eastAsia"/>
            <w:noProof/>
            <w:sz w:val="24"/>
          </w:rPr>
          <w:t>二十四、招募说明书的存放及查阅方式</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_Toc231305803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154</w:t>
        </w:r>
        <w:r w:rsidRPr="0075518A">
          <w:rPr>
            <w:rFonts w:ascii="宋体" w:hAnsi="宋体"/>
            <w:noProof/>
            <w:sz w:val="24"/>
          </w:rPr>
          <w:fldChar w:fldCharType="end"/>
        </w:r>
      </w:hyperlink>
    </w:p>
    <w:p w:rsidR="0075518A" w:rsidRPr="0075518A" w:rsidRDefault="0075518A" w:rsidP="0075518A">
      <w:pPr>
        <w:pStyle w:val="10"/>
        <w:tabs>
          <w:tab w:val="right" w:leader="dot" w:pos="8550"/>
        </w:tabs>
        <w:spacing w:line="360" w:lineRule="auto"/>
        <w:rPr>
          <w:rFonts w:ascii="宋体" w:hAnsi="宋体" w:cstheme="minorBidi"/>
          <w:noProof/>
          <w:sz w:val="24"/>
        </w:rPr>
      </w:pPr>
      <w:hyperlink w:anchor="_Toc231305804" w:history="1">
        <w:r w:rsidRPr="0075518A">
          <w:rPr>
            <w:rStyle w:val="aa"/>
            <w:rFonts w:ascii="宋体" w:hAnsi="宋体" w:hint="eastAsia"/>
            <w:noProof/>
            <w:sz w:val="24"/>
          </w:rPr>
          <w:t>二十五、备查文件</w:t>
        </w:r>
        <w:r w:rsidRPr="0075518A">
          <w:rPr>
            <w:rFonts w:ascii="宋体" w:hAnsi="宋体"/>
            <w:noProof/>
            <w:sz w:val="24"/>
          </w:rPr>
          <w:tab/>
        </w:r>
        <w:r w:rsidRPr="0075518A">
          <w:rPr>
            <w:rFonts w:ascii="宋体" w:hAnsi="宋体"/>
            <w:noProof/>
            <w:sz w:val="24"/>
          </w:rPr>
          <w:fldChar w:fldCharType="begin"/>
        </w:r>
        <w:r w:rsidRPr="0075518A">
          <w:rPr>
            <w:rFonts w:ascii="宋体" w:hAnsi="宋体"/>
            <w:noProof/>
            <w:sz w:val="24"/>
          </w:rPr>
          <w:instrText xml:space="preserve"> PAGEREF _Toc231305804 \h </w:instrText>
        </w:r>
        <w:r w:rsidRPr="0075518A">
          <w:rPr>
            <w:rFonts w:ascii="宋体" w:hAnsi="宋体"/>
            <w:noProof/>
            <w:sz w:val="24"/>
          </w:rPr>
        </w:r>
        <w:r w:rsidRPr="0075518A">
          <w:rPr>
            <w:rFonts w:ascii="宋体" w:hAnsi="宋体"/>
            <w:noProof/>
            <w:sz w:val="24"/>
          </w:rPr>
          <w:fldChar w:fldCharType="separate"/>
        </w:r>
        <w:r w:rsidRPr="0075518A">
          <w:rPr>
            <w:rFonts w:ascii="宋体" w:hAnsi="宋体"/>
            <w:noProof/>
            <w:sz w:val="24"/>
          </w:rPr>
          <w:t>155</w:t>
        </w:r>
        <w:r w:rsidRPr="0075518A">
          <w:rPr>
            <w:rFonts w:ascii="宋体" w:hAnsi="宋体"/>
            <w:noProof/>
            <w:sz w:val="24"/>
          </w:rPr>
          <w:fldChar w:fldCharType="end"/>
        </w:r>
      </w:hyperlink>
    </w:p>
    <w:p w:rsidR="00D81429" w:rsidRPr="0075518A" w:rsidRDefault="0075518A" w:rsidP="0075518A">
      <w:pPr>
        <w:pStyle w:val="ad"/>
        <w:snapToGrid w:val="0"/>
        <w:spacing w:after="240" w:line="360" w:lineRule="auto"/>
        <w:jc w:val="center"/>
        <w:rPr>
          <w:rFonts w:ascii="宋体" w:hAnsi="宋体"/>
          <w:color w:val="000000"/>
          <w:sz w:val="24"/>
        </w:rPr>
      </w:pPr>
      <w:r w:rsidRPr="0075518A">
        <w:rPr>
          <w:rFonts w:ascii="宋体" w:hAnsi="宋体"/>
          <w:color w:val="000000"/>
          <w:position w:val="-4"/>
          <w:sz w:val="24"/>
          <w:szCs w:val="30"/>
        </w:rPr>
        <w:fldChar w:fldCharType="end"/>
      </w:r>
      <w:bookmarkStart w:id="3" w:name="_GoBack"/>
      <w:bookmarkEnd w:id="3"/>
    </w:p>
    <w:p w:rsidR="00D81429" w:rsidRDefault="00D81429">
      <w:pPr>
        <w:autoSpaceDE w:val="0"/>
        <w:autoSpaceDN w:val="0"/>
        <w:adjustRightInd w:val="0"/>
        <w:snapToGrid w:val="0"/>
        <w:spacing w:line="360" w:lineRule="auto"/>
        <w:ind w:left="120" w:rightChars="6" w:right="13"/>
        <w:rPr>
          <w:rFonts w:ascii="宋体" w:hAnsi="宋体"/>
          <w:kern w:val="0"/>
          <w:szCs w:val="24"/>
        </w:rPr>
        <w:sectPr w:rsidR="00D81429">
          <w:pgSz w:w="11920" w:h="16840"/>
          <w:pgMar w:top="1480" w:right="1680" w:bottom="280" w:left="1680" w:header="0" w:footer="1073" w:gutter="0"/>
          <w:cols w:space="720"/>
        </w:sectPr>
      </w:pPr>
    </w:p>
    <w:p w:rsidR="00D81429" w:rsidRDefault="00EC62CC">
      <w:pPr>
        <w:pStyle w:val="1"/>
        <w:snapToGrid w:val="0"/>
        <w:spacing w:beforeLines="0" w:before="240" w:after="240"/>
        <w:rPr>
          <w:rFonts w:ascii="宋体" w:hAnsi="宋体"/>
          <w:szCs w:val="30"/>
        </w:rPr>
      </w:pPr>
      <w:bookmarkStart w:id="4" w:name="_Toc231305780"/>
      <w:r>
        <w:rPr>
          <w:rFonts w:ascii="Times New Roman" w:hAnsi="Times New Roman"/>
          <w:sz w:val="30"/>
        </w:rPr>
        <w:lastRenderedPageBreak/>
        <w:t>一、绪言</w:t>
      </w:r>
      <w:bookmarkEnd w:id="4"/>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慧选睿信一年持有期混合型基金中基金（F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和其他相关法律法规的规定以及《交银施罗德慧选睿信一年持有期混合型基金中基金（FOF）基金合同》（以下简称“基金合同”）编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5" w:name="_Toc231305781"/>
      <w:r>
        <w:rPr>
          <w:rFonts w:ascii="Times New Roman" w:hAnsi="Times New Roman"/>
          <w:sz w:val="30"/>
        </w:rPr>
        <w:lastRenderedPageBreak/>
        <w:t>二、释义</w:t>
      </w:r>
      <w:bookmarkEnd w:id="5"/>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1、基金或本基金：指交银施罗德慧选睿信一年持有期混合型基金中基金（FOF）</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3、基金托管人：指中信银行股份有限公司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4、基金合同：指《交银施罗德慧选睿信一年持有期混合型基金中基金（FOF）基金合同》及对基金合同的任何有效修订和补充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5、托管协议：指基金管理人与基金托管人就本基金签订之《交银施罗德慧选睿信一年持有期混合型基金中基金（FOF）托管协议》及对该托管协议的任何有效修订和补充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6、招募说明书或本招募说明书：指《交银施罗德慧选睿信一年持有期混合型基金中基金（FOF）招募说明书》及其更新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7、基金产品资料概要：指《交银施罗德慧选睿信一年持有期混合型基金中基金（FOF）基金产品资料概要》及其更新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8、基金份额发售公告：指《交银施罗德慧选睿信一年持有期混合型基金中基金（FOF）基金份额发售公告》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15、中国证监会：指中国证券监督管理委员会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w:t>
      </w:r>
      <w:r>
        <w:rPr>
          <w:rFonts w:ascii="宋体" w:hAnsi="宋体"/>
          <w:sz w:val="24"/>
        </w:rPr>
        <w:lastRenderedPageBreak/>
        <w:t>账户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w:t>
      </w:r>
      <w:r>
        <w:rPr>
          <w:rFonts w:ascii="宋体" w:hAnsi="宋体"/>
          <w:sz w:val="24"/>
        </w:rPr>
        <w:lastRenderedPageBreak/>
        <w:t>的条件要求将基金份额兑换为现金的行为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50、基金资产总值：指基金拥有的各类有价证券、证券投资基金份额、银行存款本息、基金应收款项及其他资产的价值总和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55、规定媒介：指符合中国证监会规定条件的用以进行信息披露的全国性报刊及《信息披露办法》规定的互联网网站（包括基金管理人网站、基金托管人网站、中国证监会基金电子披露网站）等媒介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56、销售服务费：指从基金财产中计提的，用于本基金市场推广、销售以及基金份额持有人服务的费用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57、A类基金份额：指在投资人认购/申购时收取认购/申购费用且不从本类别</w:t>
      </w:r>
      <w:r>
        <w:rPr>
          <w:rFonts w:ascii="宋体" w:hAnsi="宋体"/>
          <w:sz w:val="24"/>
        </w:rPr>
        <w:lastRenderedPageBreak/>
        <w:t>基金资产中计提销售服务费的基金份额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58、C类基金份额：指在投资人认购/申购时不收取认购/申购费用，并从本类别基金资产中计提销售服务费的基金份额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63、不可抗力：指基金合同当事人不能预见、不能避免且不能克服的客观事件</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6" w:name="_Toc231305782"/>
      <w:r>
        <w:rPr>
          <w:rFonts w:ascii="Times New Roman" w:hAnsi="Times New Roman"/>
          <w:sz w:val="30"/>
        </w:rPr>
        <w:lastRenderedPageBreak/>
        <w:t>三、基金管理人</w:t>
      </w:r>
      <w:bookmarkEnd w:id="6"/>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迪先生:基金经理。上海财经大学金融工程与投资管理博士、上海海事大学硕士。11年证券投资行业从业经验。2015年加入交银施罗德基金管理有限公司，曾任量化投资部研究员，多元资产管理部投资经理。现任交银施罗德招享一年持有期混合型基金中基金（FOF）(2024年10月31日至今)、交银施罗德慧选睿信一年持有期混合型基金中基金（FOF）(2025年05月08日至今)、交银施罗德安享稳健养老目标一年持有期混合型基金中基金（FOF）(2025年07月12日至今)、交银施罗德臻享多资产三个月持有期混合型基金中基金（FOF）(2025年11月13日至今)、交银施罗德穗享多资产六个月持有期混合型基金中基金（FOF）(2026年01月20日至今)、交银施罗德沃享稳健三个月持有期混合型基金中基金（FOF）(2026年04月28日至今)的基金经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刘兵先生(2022年07月27日至2025年05月08日)。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3、对所管理的不同基金财产分别管理、分别记账，进行证券投资；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1、依照有关法律法规和基金合同的规定，本着谨慎的原则为基金份额持有人谋取最大利益；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（2）合规风险及审计委员会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3、风险管理和内部风险控制的措施</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7" w:name="_Toc231305783"/>
      <w:r>
        <w:rPr>
          <w:rFonts w:ascii="Times New Roman" w:hAnsi="Times New Roman"/>
          <w:sz w:val="30"/>
        </w:rPr>
        <w:lastRenderedPageBreak/>
        <w:t>四、基金托管人</w:t>
      </w:r>
      <w:bookmarkEnd w:id="7"/>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方合英先生，本行党委书记、董事长、执行董事，代为履行行长职责。方先生于2020年12月起任中国中信集团有限公司副总经理、中国中信股份有限公司副总经</w:t>
      </w:r>
      <w:r>
        <w:rPr>
          <w:rFonts w:ascii="宋体" w:hAnsi="宋体"/>
          <w:sz w:val="24"/>
        </w:rPr>
        <w:lastRenderedPageBreak/>
        <w:t>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w:t>
      </w:r>
      <w:r>
        <w:rPr>
          <w:rFonts w:ascii="宋体" w:hAnsi="宋体"/>
          <w:sz w:val="24"/>
        </w:rPr>
        <w:lastRenderedPageBreak/>
        <w:t>析、控制和避免风险，确保基金财产安全，维护基金份额持有人利益。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8" w:name="_Toc231305784"/>
      <w:r>
        <w:rPr>
          <w:rFonts w:ascii="Times New Roman" w:hAnsi="Times New Roman"/>
          <w:sz w:val="30"/>
        </w:rPr>
        <w:lastRenderedPageBreak/>
        <w:t>五、相关服务机构</w:t>
      </w:r>
      <w:bookmarkEnd w:id="8"/>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（4）名称：中信银行股份有限公司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（5）名称：宁波银行股份有限公司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传真：（021）63586215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（6）名称：中国银河证券股份有限公司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（7）名称：万联证券股份有限公司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（8）名称：天风证券股份有限公司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（9）名称：中信证券股份有限公司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住所：广东省深圳市福田区中心三路8号卓越时代广场（二期）北座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（10）名称：山西证券股份有限公司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（11）名称：德邦证券股份有限公司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（12）名称：国投证券股份有限公司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（13）名称：东莞证券股份有限公司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（14）名称：财通证券股份有限公司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（15）名称：中信建投证券股份有限公司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（16）名称：东方财富证券股份有限公司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电话：（021）021-23586603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（17）名称：华泰证券股份有限公司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（18）名称：湘财证券股份有限公司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（19）名称：兴业证券股份有限公司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客户服务电话：95562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（20）名称：海通证券股份有限公司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（21）名称：华龙证券股份有限公司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（22）名称：长城国瑞证券有限公司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（23）名称：大同证券有限责任公司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办公地址：太原市长治路 111 号山西世贸中心 A 座 F12、F13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（24）名称：招商证券股份有限公司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（25）名称：国泰海通证券股份有限公司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（26）名称：中信证券华南股份有限公司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传真：020-88836984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（27）名称：第一创业证券股份有限公司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（28）名称：华西证券股份有限公司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（29）名称：国新证券股份有限公司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网址：www.crsec.com.cn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（30）名称：国金证券股份有限公司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（31）名称：中信证券（山东）有限责任公司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（32）名称：申万宏源证券有限公司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（33）名称：申万宏源西部证券有限公司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法定代表人：冯戎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（34）名称：上海中欧财富基金销售有限公司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（35）名称：大连网金基金销售有限公司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（36）名称：京东肯特瑞基金销售有限公司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传真：010-89189566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（37）名称：深圳市新兰德证券投资咨询有限公司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（38）名称：北京展恒基金销售股份有限公司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（39）名称：泛华普益基金销售有限公司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网址：https://www.puyifund.com/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（40）名称：上海联泰基金销售有限公司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（41）名称：宜信普泽（北京）基金销售有限公司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（42）名称：浙江同花顺基金销售有限公司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（43）名称：上海基煜基金销售有限公司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w:t>
      </w:r>
      <w:r>
        <w:rPr>
          <w:rFonts w:ascii="宋体" w:hAnsi="宋体"/>
          <w:sz w:val="24"/>
        </w:rPr>
        <w:lastRenderedPageBreak/>
        <w:t>展区）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（44）名称：中信期货有限公司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（45）名称：蚂蚁（杭州）基金销售有限公司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（46）名称：深圳众禄基金销售股份有限公司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办公地址：深圳市罗湖区梨园路物资控股置地大厦8楼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（47）名称：上海长量基金销售有限公司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（48）名称：上海好买基金销售有限公司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（49）名称：诺亚正行基金销售有限公司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（50）名称：上海天天基金销售有限公司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（51）名称：奕丰基金销售有限公司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（52）名称：上海证达通基金销售有限公司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网址：www.zdt.fund</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（53）名称：中证金牛（北京）基金销售有限公司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（54）名称：北京新浪仓石基金销售有限公司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（55）名称：北京雪球基金销售有限公司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（56）名称：深圳市金斧子基金销售有限公司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住所：深圳市南山区粤海街道科苑路16号东方科技大厦18楼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（57）名称：格上富信投资顾问有限公司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（58）名称：上海万得基金销售有限公司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（59）名称：万家财富基金销售（天津）有限公司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电话：（010）59013825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（60）名称：上海挖财基金销售有限公司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（61）名称：上海陆金所基金销售有限公司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（62）名称：上海利得基金销售有限公司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伍豪</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（63）名称：北京汇成基金销售有限公司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（64）名称：嘉实财富管理有限公司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（65）名称：南京苏宁基金销售有限公司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（66）名称：北京度小满基金销售有限公司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（67）名称：上海华夏财富投资管理有限公司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（68）名称：珠海盈米基金销售有限公司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（69）名称：腾安基金销售（深圳）有限公司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办公地址：深圳市南山区海天二路33号腾讯滨海大厦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（70）名称：中信百信银行股份有限公司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住所：北京市朝阳区安定路5号院3号楼8层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办公地址：北京市朝阳区安定路5号院3号楼8-11层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法定代表人：寇冠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电话：010-86496277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传真：010-86496277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联系人：韩晓彤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客户服务电话：956186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网址：www.aibank.com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（71）名称：博时财富基金销售有限公司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（72）名称：深圳前海微众银行股份有限公司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（73）名称：和耕传承基金销售有限公司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（74）名称：济安财富（北京）基金销售有限公司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电话：（010）50938782</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9" w:name="_Toc231305785"/>
      <w:r>
        <w:rPr>
          <w:rFonts w:ascii="Times New Roman" w:hAnsi="Times New Roman"/>
          <w:sz w:val="30"/>
        </w:rPr>
        <w:lastRenderedPageBreak/>
        <w:t>六、基金的募集</w:t>
      </w:r>
      <w:bookmarkEnd w:id="9"/>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本基金由基金管理人依照《基金法》、《运作办法》、《销售办法》、基金合同及其他有关规定，并经中国证监会2022年1月29日证监许可【2022】275号文准予募集注册。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本基金于2022年7月11日至2022年7月22日进行发售，本基金设立募集期共募集935,995,720.31份基金份额，有效认购户数为11,245户。</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10" w:name="_Toc231305786"/>
      <w:r>
        <w:rPr>
          <w:rFonts w:ascii="Times New Roman" w:hAnsi="Times New Roman"/>
          <w:sz w:val="30"/>
        </w:rPr>
        <w:lastRenderedPageBreak/>
        <w:t>七、基金合同的生效</w:t>
      </w:r>
      <w:bookmarkEnd w:id="10"/>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根据有关规定，本基金满足基金合同生效条件，基金合同已于2022年7月27日正式生效。自基金合同生效之日起，本基金管理人正式开始管理本基金。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11" w:name="_Toc231305787"/>
      <w:r>
        <w:rPr>
          <w:rFonts w:ascii="Times New Roman" w:hAnsi="Times New Roman"/>
          <w:sz w:val="30"/>
        </w:rPr>
        <w:lastRenderedPageBreak/>
        <w:t>八、基金份额的申购与赎回</w:t>
      </w:r>
      <w:bookmarkEnd w:id="11"/>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但对于每份基金份额，基金份额持有人仅可在该份额最短持有期限届满后申请赎回，具体办理时间为上海证券交易所、深圳证券交易所的正常交易日的交易时间，但基金管理人根据法律法规、</w:t>
      </w:r>
      <w:r>
        <w:rPr>
          <w:rFonts w:ascii="宋体" w:hAnsi="宋体"/>
          <w:sz w:val="24"/>
        </w:rPr>
        <w:lastRenderedPageBreak/>
        <w:t>中国证监会的要求或基金合同的规定公告暂停申购、赎回时除外。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本基金已于2022年11月3日起开放申购业务。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本基金已于2023年7月27日起开放赎回业务。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w:t>
      </w:r>
      <w:r>
        <w:rPr>
          <w:rFonts w:ascii="宋体" w:hAnsi="宋体"/>
          <w:sz w:val="24"/>
        </w:rPr>
        <w:lastRenderedPageBreak/>
        <w:t>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w:t>
      </w:r>
      <w:r>
        <w:rPr>
          <w:rFonts w:ascii="宋体" w:hAnsi="宋体"/>
          <w:sz w:val="24"/>
        </w:rPr>
        <w:lastRenderedPageBreak/>
        <w:t>项。在发生巨额赎回或基金合同载明的其他暂停赎回或延缓支付赎回款项的情形时，款项的支付办法参照基金合同有关条款处理。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+2日（包括该日）内对该交易的有效性进行确认。T日提交的有效申请，投资人应在T+3日后（包括该日）及时到销售网点柜台或以销售机构规定的其他方式查询申请的确认情况。若申购不成功，则申购款项本金退还给投资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本基金对通过基金管理人直销柜台申购本基金A类基金份额的养老金客户实施特定申购费率。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w:t>
      </w:r>
      <w:r>
        <w:rPr>
          <w:rFonts w:ascii="宋体" w:hAnsi="宋体"/>
          <w:sz w:val="24"/>
        </w:rPr>
        <w:lastRenderedPageBreak/>
        <w:t>管部门、自律规则的规定。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基金份额净值并扣除相应的费用（如有），赎回金额单位为元。赎回金额计算结果按四舍五入方法，保留到小数点后2位，由此产生的收益或损失由基金财产承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例四：某投资者（非养老金客户）投资100,000元申购本基金的A类基金份额，假设申购当日A类基金份额净值为1.0400元，申购费率为1.2%，则其可得到的申购份额为：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净申购金额=100,000/（1+1.2%）=98,814.23元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申购费用=100,000-98,814.23=1,185.77元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申购份额=（100,000-1,185.77）/1.0400=95,013.68份</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即：某投资者（非养老金客户）投资100,000元申购本基金，假设申购当日A类基金份额净值为1.0400元，如果其选择申购A类基金份额，则其可得到95,013.68份A类基金份额。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例五：某养老金客户投资100,000元通过基金管理人的直销柜台申购本基金的A类基金份额，假设申购当日A类基金份额净值为1.0400元，申购费率为0.48%，则其可得到的申购份额为：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净申购金额=100,000/（1+0.48%）=99,522.29元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申购费用=100,000-99,522.29=477.71元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申购份额=（100,000-477.71）/1.0400=95,694.51份</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即：该养老金客户投资100,000元通过基金管理人的直销柜台申购本基金的A类基金份额，假设申购当日A类基金份额净值为1.0400元，则其可得到95,694.51份A类基金份额。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例七：某投资者赎回持有的10,000份A类基金份额，持有期限为一年，对应的赎回费率为0，假设赎回当日A类基金份额净值是1.0160元，则其可得到的赎回金额为：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赎回费用=10,000×1.0160×0=0元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赎回金额=10,000×1.0160-0＝10,160.00元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即：投资者赎回本基金10,000份A类基金份额，持有期限为一年，对应的赎回费率为0，假设赎回当日A类基金份额净值是1.0160元，则其可得到的赎回金额为10,160.00元。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基金份额净值的计算，保留到小数点后4位，小数点后第5位四舍五入，由此产生的收益或损失由基金财产承担。T日的基金份额净值在所投资基金披露净值或万份收益当日（法定节假日顺延至第一个交易日）计算，并在T+2日内披露本基金T日的各类基金份额净值和基金份额累计净值。遇特殊情况，经履行适当程序，可以适当延迟计算或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6、接受某笔或某些申购申请可能会影响或损害现有基金份额持有人利益时。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8、基金资产规模过大，使基金管理人无法找到合适的投资品种，或其他可能对基金业绩产生负面影响，或发生其他损害现有基金份额持有人利益的情形。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采用估值技术仍导致公允价值存在重大不确定性时，经与基金托管人协商确认后，基金管理人应当暂停接受基金申购申请。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10、基金管理人接受某笔或者某些申购申请有可能导致单一投资者持有基金份额的比例超过50%，或者变相规避50%集中度的。出现上述情形时，基金管理人有权将上述申购申请全部或部分确认失败。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11、法律法规规定、中国证监会认定或基金合同约定的其他情形。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6、10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5、由于本基金持有的相当比例的基金份额拒绝或暂停赎回、暂停上市或二级市场交易停牌、延期办理赎回、延期支付赎回款项，或其他可能对本基金业绩产生负面影响的情形。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6、连续两个或两个以上开放日发生巨额赎回。</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7、发生继续接受赎回申请将损害现有基金份额持有人利益的情形时，基金管理人可暂停接受基金份额持有人的赎回申请。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6项所述情形，按基金合同的相关条款处理。基金份额持有人在申请赎回时可事先选择将当日可能未获受理部分予以撤销。在暂停赎回的情况消除时，基金管理人应及时恢复赎回业务的办理并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w:t>
      </w:r>
      <w:r>
        <w:rPr>
          <w:rFonts w:ascii="宋体" w:hAnsi="宋体"/>
          <w:sz w:val="24"/>
        </w:rPr>
        <w:lastRenderedPageBreak/>
        <w:t>施：</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w:t>
      </w:r>
      <w:r>
        <w:rPr>
          <w:rFonts w:ascii="宋体" w:hAnsi="宋体"/>
          <w:sz w:val="24"/>
        </w:rPr>
        <w:lastRenderedPageBreak/>
        <w:t>则由基金管理人届时根据相关法律法规及基金合同的规定制定并公告，并提前告知基金托管人与相关机构。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本基金2022年11月1日刊登公告自2022年11月3日起开通定期定额投资计划业务，具体开通销售机构名单和业务规则参见相关公告。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w:t>
      </w:r>
      <w:r>
        <w:rPr>
          <w:rFonts w:ascii="宋体" w:hAnsi="宋体"/>
          <w:sz w:val="24"/>
        </w:rPr>
        <w:lastRenderedPageBreak/>
        <w:t>额持有人应根据基金管理人公告的业务规则办理基金份额转让业务。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12" w:name="_Toc231305788"/>
      <w:r>
        <w:rPr>
          <w:rFonts w:ascii="Times New Roman" w:hAnsi="Times New Roman"/>
          <w:sz w:val="30"/>
        </w:rPr>
        <w:lastRenderedPageBreak/>
        <w:t>九、基金的投资</w:t>
      </w:r>
      <w:bookmarkEnd w:id="12"/>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本基金主要投资于经中国证监会依法核准或注册的公开募集证券投资基金的基金份额，在保持基金资产良好的流动性的前提下，力争实现基金资产的长期增值。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的资产合计占基金资产的比例为25%-75%（其中投资于港股通标的股票的比例占股票资产的0%-50%）；本基金持有的现金或者到期日在一年以内的政府债券的比例合计不低于基金资产净值的5%，其中现金不包括结算备付金、存出保证金、应收申购款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综合分析，并融合量化投资方法，结合国内外先进资产配置理念，及时把握市场时机，调整资产配置比例，获取资产配置收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2、基金投资策略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▋收益指标：包括绝对收益、相对收益等指标；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▋风险指标：包括波动率、最大回撤等指标；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▋风险调整后收益指标：包括夏普比率、信息比率等指标。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（3）结合对基金管理人的定性评估，包括基金管理人基本情况、投研团队实力以及投研团队稳定性、基金经理投资优势及业绩稳定性等方面，最终确定本基金的投资组合及配置比例。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综上，本基金通过定量和定性相结合的方法，长期持续跟踪本基金的组合业绩，并定期对基金组合进行维护，力争实现基金资产的长期稳健增值。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基本面分析和深入的实地调研，以定性与定量相结合的方法对公司价值进行综合评估。通过对重点上市公司进行内在价值的评估和成长性跟踪研究，在明确的价值评估基础上精选优秀质地的投资标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4、港股通标的股票投资策略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w:t>
      </w:r>
      <w:r>
        <w:rPr>
          <w:rFonts w:ascii="宋体" w:hAnsi="宋体"/>
          <w:sz w:val="24"/>
        </w:rPr>
        <w:lastRenderedPageBreak/>
        <w:t>基金优先将基本面健康、业绩向上弹性较大、具有估值优势的港股纳入本基金的股票投资组合。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基金可根据投资策略需要或不同配置地市场环境的变化，选择将部分基金资产投资于港股或选择不将基金资产投资于港股，基金资产并非必然投资港股。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5、债券投资策略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含存托凭证）、股票型基金（包括股票指数基金）和混合型基金的资产合计占基金资产的比例为25%-75%（其中投资于港股通标的股票的比例占股票资产的0%-50%）；投资于货币市场基金的比例不得超过基金资产的15%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（3）本基金持有单只基金的市值，不得高于本基金资产净值的20%，且不得持有其他基金中基金；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w:t>
      </w:r>
      <w:r>
        <w:rPr>
          <w:rFonts w:ascii="宋体" w:hAnsi="宋体"/>
          <w:sz w:val="24"/>
        </w:rPr>
        <w:lastRenderedPageBreak/>
        <w:t>开展逆回购交易的，可接受质押品的资质要求应当与基金合同约定的投资范围保持一致；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（20）本基金进入全国银行间同业市场进行债券回购的资金余额不得超过基金资产净值的40%，进入全国银行间同业市场进行债券回购的最长期限为1年，债券回购到期后不得展期；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（21）本基金资产总值不超过基金资产净值的140%；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法律法规对上述投资组合比例限制进行变更的，以变更后的规定为准。法律法规或监管部门取消上述限制，如适用于本基金，基金管理人在履行适当程序后，则本基金投资不再受相关限制。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50%×中债综合全价指数收益率+50%×沪深300指数收益率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w:t>
      </w:r>
      <w:r>
        <w:rPr>
          <w:rFonts w:ascii="宋体" w:hAnsi="宋体"/>
          <w:sz w:val="24"/>
        </w:rPr>
        <w:lastRenderedPageBreak/>
        <w:t>制和管理的经验，编制方法清晰透明，具有独立性和良好的市场流动性；与市场整体表现具有较高的相关度，且指数历史表现强于市场平均收益水平，适合作为本基金权益类资产投资的业绩比较基准。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本基金为混合型基金中基金，其预期风险与预期收益理论上高于债券型基金、债券型基金中基金、货币市场基金和货币型基金中基金，低于股票型基金和股票型基金中基金。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w:t>
      </w:r>
      <w:r>
        <w:rPr>
          <w:rFonts w:ascii="宋体" w:hAnsi="宋体"/>
          <w:sz w:val="24"/>
        </w:rPr>
        <w:lastRenderedPageBreak/>
        <w:t>和支付等对投资者权益有重大影响的事项详见本招募说明书“侧袋机制”部分的规定。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本基金托管人中国中信银行根据本基金合同规定，于2026年04月20日复核了本报告中的财务指标、净值表现和投资组合报告等内容，保证复核内容不存在虚假记载、误导性陈述或者重大遗漏。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6,593,496.00</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2.87</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6,593,496.00</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2.87</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190,847,755.47</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83.20</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16,820,357.04</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7.33</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16,820,357.04</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7.33</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5,985,777.08</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2.61</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9,141,562.99</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3.99</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229,388,948.58</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5,221,863.00</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2.32</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1,130,016.00</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D</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3,045.00</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238,572.00</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6,593,496.00</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2.93</w:t>
            </w:r>
          </w:p>
        </w:tc>
      </w:tr>
    </w:tbl>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300483</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首华燃气</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170,200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3,421,020.00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1.52</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001203</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大中矿业</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45,100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1,800,843.00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0.80</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600111</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北方稀土</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23,700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1,130,016.00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000888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峨眉山</w:t>
            </w: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18,800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238,572.00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002142</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宁波银行</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3,045.00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16,820,357.04</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7.47</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3</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16,820,357.04</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7.47</w:t>
            </w:r>
          </w:p>
        </w:tc>
      </w:tr>
    </w:tbl>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166,000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16,820,357.04</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7.47</w:t>
            </w:r>
          </w:p>
        </w:tc>
      </w:tr>
    </w:tbl>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2025年11月25日,央行宁波市分行公示甬银罚决字[2025]18号行政处罚决定书,给予宁波银行股份有限公司98.8万元人民币的行政处罚。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133,209.43</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9,000,413.01</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750.90</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7,189.65</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right"/>
              <w:rPr>
                <w:rFonts w:ascii="宋体" w:hAnsi="宋体"/>
                <w:color w:val="000000"/>
                <w:kern w:val="0"/>
                <w:sz w:val="25"/>
                <w:szCs w:val="24"/>
              </w:rPr>
            </w:pPr>
            <w:r>
              <w:rPr>
                <w:rFonts w:ascii="Times New Roman" w:hAnsi="Times New Roman"/>
                <w:color w:val="000000"/>
                <w:kern w:val="0"/>
                <w:sz w:val="25"/>
                <w:szCs w:val="24"/>
              </w:rPr>
              <w:t>9,141,562.99</w:t>
            </w:r>
          </w:p>
        </w:tc>
      </w:tr>
    </w:tbl>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13" w:name="_Toc231305789"/>
      <w:r>
        <w:rPr>
          <w:rFonts w:ascii="Times New Roman" w:hAnsi="Times New Roman"/>
          <w:sz w:val="30"/>
        </w:rPr>
        <w:lastRenderedPageBreak/>
        <w:t>十、基金的业绩</w:t>
      </w:r>
      <w:bookmarkEnd w:id="13"/>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（1）交银慧选一年混合A：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8142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D8142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2.54%</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D8142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19.99%</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12.05%</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D8142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-4.10%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-14.45%</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rsidR="00D8142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-4.89%</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D8142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27</w:t>
            </w:r>
            <w:r>
              <w:rPr>
                <w:rFonts w:ascii="Times New Roman" w:hAnsi="Times New Roman"/>
                <w:color w:val="000000"/>
                <w:kern w:val="0"/>
                <w:sz w:val="25"/>
                <w:szCs w:val="24"/>
              </w:rPr>
              <w:t>日至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-4.25%</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-4.46%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bl>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（2）交银慧选一年混合C：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8142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D8142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2.39%</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D8142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19.26%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11.32%</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D8142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-4.66%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-15.01%</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rsidR="00D8142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-5.46%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D8142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27</w:t>
            </w:r>
            <w:r>
              <w:rPr>
                <w:rFonts w:ascii="Times New Roman" w:hAnsi="Times New Roman"/>
                <w:color w:val="000000"/>
                <w:kern w:val="0"/>
                <w:sz w:val="25"/>
                <w:szCs w:val="24"/>
              </w:rPr>
              <w:t>日至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-4.50%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-4.46%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bl>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注：本基金的业绩比较基准为50%×中债综合全价指数收益率+50%×沪深300指数收益率，每日进行再平衡过程。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w:t>
      </w:r>
      <w:r>
        <w:rPr>
          <w:rFonts w:ascii="宋体" w:hAnsi="宋体"/>
          <w:sz w:val="24"/>
        </w:rPr>
        <w:lastRenderedPageBreak/>
        <w:t>准收益率变动的比较</w:t>
      </w:r>
    </w:p>
    <w:p w:rsidR="00D81429" w:rsidRDefault="00EC62C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交银施罗德慧选睿信一年持有期混合型基金中基金</w:t>
      </w:r>
    </w:p>
    <w:p w:rsidR="00D81429" w:rsidRDefault="00EC62C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D81429" w:rsidRDefault="00EC62C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（2022年7月27日至2026年03月31日）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（1）交银慧选一年混合A</w:t>
      </w:r>
    </w:p>
    <w:p w:rsidR="00D81429" w:rsidRDefault="0075518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（2）交银慧选一年混合C</w:t>
      </w:r>
    </w:p>
    <w:p w:rsidR="00D81429" w:rsidRDefault="0075518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注：本基金建仓期为自基金合同生效日起的6个月。截至建仓期结束，本基金各项资产配置比例符合基金合同及招募说明书有关投资比例的约定。</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14" w:name="_Toc231305790"/>
      <w:r>
        <w:rPr>
          <w:rFonts w:ascii="Times New Roman" w:hAnsi="Times New Roman"/>
          <w:sz w:val="30"/>
        </w:rPr>
        <w:lastRenderedPageBreak/>
        <w:t>十一、基金的财产</w:t>
      </w:r>
      <w:bookmarkEnd w:id="14"/>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基金账户以及投资所需的其他专用账户。开立的基金专用账户与基金管理人、基金托管人、基金销售机构和基金登记机构自有的财产账户以及其他基金财产账户相独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15" w:name="_Toc231305791"/>
      <w:r>
        <w:rPr>
          <w:rFonts w:ascii="Times New Roman" w:hAnsi="Times New Roman"/>
          <w:sz w:val="30"/>
        </w:rPr>
        <w:lastRenderedPageBreak/>
        <w:t>十二、基金资产的估值</w:t>
      </w:r>
      <w:bookmarkEnd w:id="15"/>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5、估值计算中涉及港币对人民币汇率的，将依据下列信息提供机构所提供的汇率为基准：当日中国人民银行或其授权机构公布的人民币与港币的中间价。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基金管理人于每个工作日分别计算A类基金份额、C类基金份额的基金资产净值及基金份额净值，并按规定公告。如遇特殊情况，经履行适当程序，可以适当延迟计算或公告。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w:t>
      </w:r>
      <w:r>
        <w:rPr>
          <w:rFonts w:ascii="宋体" w:hAnsi="宋体"/>
          <w:sz w:val="24"/>
        </w:rPr>
        <w:lastRenderedPageBreak/>
        <w:t>错误责任方应对更正的情况向有关当事人进行确认，确保估值错误已得到更正。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（3）前述内容如法律法规或者监管部门另有规定的，从其规定。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1、基金投资所涉及的证券交易市场遇法定节假日或因其他原因暂停营业时；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16" w:name="_Toc231305792"/>
      <w:r>
        <w:rPr>
          <w:rFonts w:ascii="Times New Roman" w:hAnsi="Times New Roman"/>
          <w:sz w:val="30"/>
        </w:rPr>
        <w:lastRenderedPageBreak/>
        <w:t>十三、基金收益与分配</w:t>
      </w:r>
      <w:bookmarkEnd w:id="16"/>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投资者红利再投资所得基金份额不受最短持有期限制；若投资者不选择，本基金默认的收益分配方式是现金分红；基金份额持有人可对其持有的A类基金份额和C类基金份额分别选择不同的收益分配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17" w:name="_Toc231305793"/>
      <w:r>
        <w:rPr>
          <w:rFonts w:ascii="Times New Roman" w:hAnsi="Times New Roman"/>
          <w:sz w:val="30"/>
        </w:rPr>
        <w:lastRenderedPageBreak/>
        <w:t>十四、基金的费用与税收</w:t>
      </w:r>
      <w:bookmarkEnd w:id="17"/>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10、本基金投资其他基金产生的其他基金的销售费用（如申购费、赎回费、销售服务费等），但法律法规禁止从基金财产中列支的除外；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11、因投资港股通标的股票而产生的各项合理费用；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12、按照国家有关规定和《基金合同》约定，可以在基金财产中列支的其他费用。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的管理费按前一日基金资产净值扣除基金财产中持有的基金管理人自身管理的基金部分所对应资产后剩余部分的0.9%年费率计提。管理费的计算方法如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H＝E×0.9%÷当年天数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E为前一日的基金资产净值扣除基金财产中持有的基金管理人自身管理的基金部分所对应资产后剩余部分，若为负数，则E取0。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若遇法定节假日、休息日或不可抗力致使无法按时支付的，顺延</w:t>
      </w:r>
      <w:r>
        <w:rPr>
          <w:rFonts w:ascii="宋体" w:hAnsi="宋体"/>
          <w:sz w:val="24"/>
        </w:rPr>
        <w:lastRenderedPageBreak/>
        <w:t>至最近可支付日支付。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托管人自身托管的基金部分不收取托管费。本基金的托管费按前一日基金资产净值扣除基金财产中持有的基金托管人自身托管的基金部分所对应资产后剩余部分的0.15%的年费率计提。托管费的计算方法如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E为前一日的基金资产净值扣除基金财产中持有的基金托管人自身托管的基金部分所对应资产后剩余部分，若为负数，则E取0。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若遇法定节假日、休息日或不可抗力致使无法按时支付的，顺延至最近可支付日支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顺延至最近可支付日支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（4）上述“（一）基金费用的种类”中第3－8项，第10－11项费用，根据有关法规及相应协议规定，按费用实际支出金额列入当期费用，由基金托管人从基金财产中支付。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w:t>
      </w:r>
      <w:r>
        <w:rPr>
          <w:rFonts w:ascii="宋体" w:hAnsi="宋体"/>
          <w:sz w:val="24"/>
        </w:rPr>
        <w:lastRenderedPageBreak/>
        <w:t>应当通过直销渠道申购且不得收取申购费、赎回费（按照相关法规、基金招募说明书约定应当收取，并计入基金财产的赎回费用除外）、销售服务费（如有）等销售费用。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18" w:name="_Toc231305794"/>
      <w:r>
        <w:rPr>
          <w:rFonts w:ascii="Times New Roman" w:hAnsi="Times New Roman"/>
          <w:sz w:val="30"/>
        </w:rPr>
        <w:lastRenderedPageBreak/>
        <w:t>十五、基金的会计与审计</w:t>
      </w:r>
      <w:bookmarkEnd w:id="18"/>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19" w:name="_Toc231305795"/>
      <w:r>
        <w:rPr>
          <w:rFonts w:ascii="Times New Roman" w:hAnsi="Times New Roman"/>
          <w:sz w:val="30"/>
        </w:rPr>
        <w:lastRenderedPageBreak/>
        <w:t>十六、基金的信息披露</w:t>
      </w:r>
      <w:bookmarkEnd w:id="19"/>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招募说明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《基金合同》生效后，在开始办理基金份额申购或者赎回前，基金管理人应当至少每周在规定网站分别披露一次A类基金份额和C类基金份额所对应的基金份额净值和基金份额累计净值。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的2个工作日内，通过规定网站、基金销售机构网站或者营业网点，分别披露开放日的A类基金份额和C类基金份额所对应的基金份额净值和基金份额累计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基金管理人应当在不晚于半年度和年度最后一日后的2个工作日内，在规定网站披露半年度和年度最后一日A类基金份额和C类基金份额所对应的基金份额净值和基金份额累计净值。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7、临时报告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w:t>
      </w:r>
      <w:r>
        <w:rPr>
          <w:rFonts w:ascii="宋体" w:hAnsi="宋体"/>
          <w:sz w:val="24"/>
        </w:rPr>
        <w:lastRenderedPageBreak/>
        <w:t>方式和费率发生变更；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13、基金投资证券投资基金情况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w:t>
      </w:r>
      <w:r>
        <w:rPr>
          <w:rFonts w:ascii="宋体" w:hAnsi="宋体"/>
          <w:sz w:val="24"/>
        </w:rPr>
        <w:lastRenderedPageBreak/>
        <w:t>基金定期报告、更新的招募说明书、基金产品资料概要、基金清算报告等相关基金信息进行复核、审查，并向基金管理人进行书面或电子确认。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20" w:name="_Toc231305796"/>
      <w:r>
        <w:rPr>
          <w:rFonts w:ascii="Times New Roman" w:hAnsi="Times New Roman"/>
          <w:sz w:val="30"/>
        </w:rPr>
        <w:lastRenderedPageBreak/>
        <w:t>十七、侧袋机制</w:t>
      </w:r>
      <w:bookmarkEnd w:id="20"/>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D81429" w:rsidRDefault="00EC62CC">
      <w:pPr>
        <w:pStyle w:val="1"/>
        <w:snapToGrid w:val="0"/>
        <w:spacing w:beforeLines="0" w:before="240" w:after="240"/>
        <w:rPr>
          <w:rFonts w:ascii="宋体" w:hAnsi="宋体"/>
          <w:szCs w:val="30"/>
        </w:rPr>
      </w:pPr>
      <w:bookmarkStart w:id="21" w:name="_Toc231305797"/>
      <w:r>
        <w:rPr>
          <w:rFonts w:ascii="Times New Roman" w:hAnsi="Times New Roman"/>
          <w:sz w:val="30"/>
        </w:rPr>
        <w:lastRenderedPageBreak/>
        <w:t>十八、风险揭示</w:t>
      </w:r>
      <w:bookmarkEnd w:id="21"/>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w:t>
      </w:r>
      <w:r>
        <w:rPr>
          <w:rFonts w:ascii="宋体" w:hAnsi="宋体"/>
          <w:sz w:val="24"/>
        </w:rPr>
        <w:lastRenderedPageBreak/>
        <w:t>构成对本基金业绩表现的保证。基金管理人提醒投资人基金投资的“买者自负”原则，在做出投资决策后，基金运营状况与基金净值变化引致的投资风险，由投资人自行负担。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本基金属于开放式基金，但设置最短持有期，基金份额持有人持有的每份基金</w:t>
      </w:r>
      <w:r>
        <w:rPr>
          <w:rFonts w:ascii="宋体" w:hAnsi="宋体"/>
          <w:sz w:val="24"/>
        </w:rPr>
        <w:lastRenderedPageBreak/>
        <w:t>份额最短持有期限为一年，对于满足持有期限的投资人，基金管理人在每个开放日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一年后年度对日（含该日）开始办理赎回，具体业务办理时间在赎回开始公告中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w:t>
      </w:r>
      <w:r>
        <w:rPr>
          <w:rFonts w:ascii="宋体" w:hAnsi="宋体"/>
          <w:sz w:val="24"/>
        </w:rPr>
        <w:lastRenderedPageBreak/>
        <w:t>正常赎回程序执行。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混合型基金中基金，本基金投资于经中国证监会依法核准或注册的公开募集证券投资基金的基金份额的资产不低于本基金资产的80%；投资于股票（含存托凭证）、股票型基金（包括股票指数基金）和混合型基金的资产合计占基</w:t>
      </w:r>
      <w:r>
        <w:rPr>
          <w:rFonts w:ascii="宋体" w:hAnsi="宋体"/>
          <w:sz w:val="24"/>
        </w:rPr>
        <w:lastRenderedPageBreak/>
        <w:t>金资产的比例为25%-75%（其中投资于港股通标的股票的比例占股票资产的0%-50%）。因此本基金所持有的基金的业绩表现、持有基金的基金管理人水平等因素将影响到本基金的基金业绩表现。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7、本基金可投资创业板股票，创业板个股上市后的前五个交易日不设价格涨</w:t>
      </w:r>
      <w:r>
        <w:rPr>
          <w:rFonts w:ascii="宋体" w:hAnsi="宋体"/>
          <w:sz w:val="24"/>
        </w:rPr>
        <w:lastRenderedPageBreak/>
        <w:t>跌幅限制，第六个交易日开始涨跌幅限制比例为20%。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连续50个工作日出现基金份额持有人数量不满200人或基金资产净值低于5000万元情形时，基金合同终止，不需召开基金份额持有人大会。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w:t>
      </w:r>
      <w:r>
        <w:rPr>
          <w:rFonts w:ascii="宋体" w:hAnsi="宋体"/>
          <w:sz w:val="24"/>
        </w:rPr>
        <w:lastRenderedPageBreak/>
        <w:t>致个股流动性较差，基金组合存在无法及时变现及其他相关流动性风险。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（十）投资港股通标的股票的特定风险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w:t>
      </w:r>
      <w:r>
        <w:rPr>
          <w:rFonts w:ascii="宋体" w:hAnsi="宋体"/>
          <w:sz w:val="24"/>
        </w:rPr>
        <w:lastRenderedPageBreak/>
        <w:t>设定的意愿征集期比香港中央结算有限公司的征集期稍早结束；投票没有权益登记日的，以投票截止日的持有作为计算基准；投票数量超出持有数量的，按照比例分配持有基数。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1、因技术因素而产生的风险，如电脑系统不可靠产生的风险；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22" w:name="_Toc231305798"/>
      <w:r>
        <w:rPr>
          <w:rFonts w:ascii="Times New Roman" w:hAnsi="Times New Roman"/>
          <w:sz w:val="30"/>
        </w:rPr>
        <w:lastRenderedPageBreak/>
        <w:t>十九、基金合同的变更、终止与基金财产的清算</w:t>
      </w:r>
      <w:bookmarkEnd w:id="22"/>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23" w:name="_Toc231305799"/>
      <w:r>
        <w:rPr>
          <w:rFonts w:ascii="Times New Roman" w:hAnsi="Times New Roman"/>
          <w:sz w:val="30"/>
        </w:rPr>
        <w:lastRenderedPageBreak/>
        <w:t>二十、基金合同内容摘要</w:t>
      </w:r>
      <w:bookmarkEnd w:id="23"/>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4）根据相关市场规则，为基金开设资金账户、证券账户、基金账户等投资所需账户、为基金办理基金、证券交易资金清算；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6）按规定开设基金财产的资金账户、证券账户、基金账户等投资所需账户，按照《基金合同》的约定，根据基金管理人的投资指令，及时办理清算、交割事宜；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7）保守基金商业秘密，除《基金法》、《基金合同》及其他有关规定另有规定，监管机构、司法机关等有权机关要求，或审计、法律等外部专业顾问提供服务</w:t>
      </w:r>
      <w:r>
        <w:rPr>
          <w:rFonts w:ascii="宋体" w:hAnsi="宋体"/>
          <w:sz w:val="24"/>
        </w:rPr>
        <w:lastRenderedPageBreak/>
        <w:t>需要的情况外，在基金信息公开披露前予以保密，不得向他人泄露。如向审计、法律等外部专业顾问提供上述信息，基金托管人保证审计、法律等外部专业顾问遵守与基金托管人同等的保密义务；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3、基金份额持有人的权利与义务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7）执行生效的基金份额持有人大会的决议；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w:t>
      </w:r>
      <w:r>
        <w:rPr>
          <w:rFonts w:ascii="宋体" w:hAnsi="宋体"/>
          <w:sz w:val="24"/>
        </w:rPr>
        <w:lastRenderedPageBreak/>
        <w:t>人大会的事项。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（3）基金合同生效后的存续期内，若连续50个工作日出现基金份额持有人数量不满200人或者基金资产净值低于5000万元情形，基金合同终止，不需召开基金份额持有人大会。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w:t>
      </w:r>
      <w:r>
        <w:rPr>
          <w:rFonts w:ascii="宋体" w:hAnsi="宋体"/>
          <w:sz w:val="24"/>
        </w:rPr>
        <w:lastRenderedPageBreak/>
        <w:t>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7）召集人需要通知的其他事项。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在同时符合以下条件时，通讯开会的方式视为有效：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w:t>
      </w:r>
      <w:r>
        <w:rPr>
          <w:rFonts w:ascii="宋体" w:hAnsi="宋体"/>
          <w:sz w:val="24"/>
        </w:rPr>
        <w:lastRenderedPageBreak/>
        <w:t>规定的其他事项以及会议召集人认为需提交基金份额持有人大会讨论的其他事项。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w:t>
      </w:r>
      <w:r>
        <w:rPr>
          <w:rFonts w:ascii="宋体" w:hAnsi="宋体"/>
          <w:sz w:val="24"/>
        </w:rPr>
        <w:lastRenderedPageBreak/>
        <w:t>《基金合同》和中国证监会另有规定的除外）以特别决议通过方为有效。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基金份额持有人大会的决议，召集人应当自通过之日起5日内报中国证监会备案。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w:t>
      </w:r>
      <w:r>
        <w:rPr>
          <w:rFonts w:ascii="宋体" w:hAnsi="宋体"/>
          <w:sz w:val="24"/>
        </w:rPr>
        <w:lastRenderedPageBreak/>
        <w:t>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w:t>
      </w:r>
      <w:r>
        <w:rPr>
          <w:rFonts w:ascii="宋体" w:hAnsi="宋体"/>
          <w:sz w:val="24"/>
        </w:rPr>
        <w:lastRenderedPageBreak/>
        <w:t>于5000万元情形的，基金合同终止，不需召开基金份额持有人大会；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6、基金财产清算的公告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由败诉方承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24" w:name="_Toc231305800"/>
      <w:r>
        <w:rPr>
          <w:rFonts w:ascii="Times New Roman" w:hAnsi="Times New Roman"/>
          <w:sz w:val="30"/>
        </w:rPr>
        <w:lastRenderedPageBreak/>
        <w:t>二十一、托管协议的内容摘要</w:t>
      </w:r>
      <w:bookmarkEnd w:id="24"/>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w:t>
      </w:r>
      <w:r>
        <w:rPr>
          <w:rFonts w:ascii="宋体" w:hAnsi="宋体"/>
          <w:sz w:val="24"/>
        </w:rPr>
        <w:lastRenderedPageBreak/>
        <w:t>售汇业务；代理开放式基金业务；办理黄金业务；黄金进出口；开展证券投资基金、企业年金基金、保险资金、合格境外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和混合型基金的资产合计占基金资产的比例为25%-75%（其中投资于港股通标的股票的比例占股票资产的0%-50%）；本基金持有的现金或者到期日在一年以内的政府债券的比例合计不低于基金资产净值的5%，其中现金不包括结算备付金、存出保证金、应收申购款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投资于经中国证监会依法核准或注册的公开募集证券投资基金的基金份额的资产不低于本基金资产的80%；投资于股票（含存托凭证）、股票型基金（包括股票指数基金）和混合型基金的资产合计占基金资产的比例为25%-75%（其中投资于港股通标的股票的比例占股票资产的0%-50%）；投资于货币市场基金的比例不得超过基金资产的15%；</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6）本基金投资其他基金时，被投资基金的运作期限不少于1年、最近定期报告披露的基金净资产应当不低于1亿元；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7）本基金投资于封闭运作基金、定期开放基金等流通受限基金的，其公允价值不得超过本基金资产净值的10%；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8）基金管理人运用本基金财产投资于股票、债券等金融工具的，投资品种和比例应当符合本基金的投资目标和投资策略；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w:t>
      </w:r>
      <w:r>
        <w:rPr>
          <w:rFonts w:ascii="宋体" w:hAnsi="宋体"/>
          <w:sz w:val="24"/>
        </w:rPr>
        <w:lastRenderedPageBreak/>
        <w:t>券投资的开放式基金以及中国证监会认定的特殊投资组合可不受前述比例限制；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20）本基金进入全国银行间同业市场进行债券回购的资金余额不得超过基金资产净值的40%，进入全国银行间同业市场进行债券回购的最长期限为1年，债券回购到期后不得展期；</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21）本基金资产总值不超过基金资产净值的140%；</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w:t>
      </w:r>
      <w:r>
        <w:rPr>
          <w:rFonts w:ascii="宋体" w:hAnsi="宋体"/>
          <w:sz w:val="24"/>
        </w:rPr>
        <w:lastRenderedPageBreak/>
        <w:t>及第18）项以外的其他情形，基金管理人应当在10个交易日内进行调整，但中国证监会规定的特殊情形除外。法律法规另有规定的，从其规定。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w:t>
      </w:r>
      <w:r>
        <w:rPr>
          <w:rFonts w:ascii="宋体" w:hAnsi="宋体"/>
          <w:sz w:val="24"/>
        </w:rPr>
        <w:lastRenderedPageBreak/>
        <w:t>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有关法律法规规定。流通受限证券包括由《上市公司证券发行管理办法》规范的在发行时明确一定期限锁定期的可交易证券，不包括由于发布重大消息或其他原因而临时停牌的证券、已发行未上市证券、回购交易中的质押券等流通受限证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（7）基金托管人根据有关法律法规的规定及基金合同的约定，对基金管理人选择存款银行进行监督。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1）基金管理人、基金托管人应当与存款银行建立定期对账机制，确保基金银行存款业务账目及核算的真实、准确。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各类基金份额的基金资产净值计算、基金份额净值计算、应收资金到账、基金费用开支及收入确定、基金收益分配、相关信息披露、基金宣传推介材料中登载基金业绩表现数据等进行监督和核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基金托管人发现基金管理人的投资指令违反有关法律法规规定或者违反基金合同约定的，应当拒绝执行，立即通知基金管理人。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w:t>
      </w:r>
      <w:r>
        <w:rPr>
          <w:rFonts w:ascii="宋体" w:hAnsi="宋体"/>
          <w:sz w:val="24"/>
        </w:rPr>
        <w:lastRenderedPageBreak/>
        <w:t>资料和制度等。</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遵守中华人民共和国反洗钱法律法规，不参与涉嫌洗钱、恐怖融资、扩散融资等违法犯罪活动；主动配合基金托管人客户身份识别与尽职调查，提供真实、准确、完整客户资料，遵守反洗钱与反恐怖融资相关管理规定。对具备合理理由怀疑涉嫌洗钱、恐怖融资的客户，基金托管人将按照中国人民银行反洗钱监管规定采取必要管控措施。</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证券账户、基金账户等投资所需账户、复核基金管理人计算的各类基金份额的基金资产净值和基金份额净值、根据基金管理人指令办理清算交收、相关信息披露和监督基金投资运作等行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（3）基金托管人按照规定开设基金财产的资金账户、证券账户和基金账户等投资所需账户。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符合《中华人民共和国证券法》规定的会计师事务所进行验资，出具验资报告，出具的验资报告应由参加验资的2名以上（含2名）中国注册会计师签字有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w:t>
      </w:r>
      <w:r>
        <w:rPr>
          <w:rFonts w:ascii="宋体" w:hAnsi="宋体"/>
          <w:sz w:val="24"/>
        </w:rPr>
        <w:lastRenderedPageBreak/>
        <w:t>基金管理人合法合规的指令办理资金收付。本基金的银行预留印鉴由基金托管人刻制、保管和使用。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基金财产投资的有关实物证券由基金托管人存放于基金托管人的保管库；其中实物证券也可存入中央国债登记结算有限责任公司或银行间市场清算所股份有限公</w:t>
      </w:r>
      <w:r>
        <w:rPr>
          <w:rFonts w:ascii="宋体" w:hAnsi="宋体"/>
          <w:sz w:val="24"/>
        </w:rPr>
        <w:lastRenderedPageBreak/>
        <w:t>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不低于法律法规规定的最低期限。对于无法取得二份以上的正本的，基金管理人应向基金托管人提供加盖授权业务章的合同传真件，未经双方协商或未在合同约定范围内，合同原件不得转移，由基金管理人保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（五）基金资产净值计算和会计核算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各类基金份额的基金份额净值是按照每个估值日，基金资产净值除以当日该类估值日基金份额的余额数量计算，精确到0.0001元，小数点后第5位四舍五入。基金管理人可以设立大额赎回情形下的净值精度应急调整机制，具体可参见相关公告。国家另有规定的，从其规定。T日的基金份额净值在所投资基金披露净值或万份收益当日（法定节假日顺延至第一个交易日）计算，并在T+2日内披露本基金T日的各类基金份额净值和基金份额累计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估值日对各类基金份额的基金资产估值，但基金管理人根据法律法规或基金合同的规定暂停估值时除外。估值原则应符合基金合同及相关法律、法规的规定。各类基金份额的基金资产净值和基金份额净值由基金管理人负责计算，基金托管人复核。基金管理人应于每个估值日交易结束后计算各类基金份额净值并以双方认可的方式发送给基金托管人。基金托管人对净值计算结果复核后以</w:t>
      </w:r>
      <w:r>
        <w:rPr>
          <w:rFonts w:ascii="宋体" w:hAnsi="宋体"/>
          <w:sz w:val="24"/>
        </w:rPr>
        <w:lastRenderedPageBreak/>
        <w:t>双方认可的方式发送给基金管理人，由基金管理人依据基金合同和相关法律法规的规定对基金净值予以公布。月末、年中和年末估值复核与基金会计账目的核对同时进行。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各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净值信息的计算结果对外予以公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（2）估值原则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w:t>
      </w:r>
      <w:r>
        <w:rPr>
          <w:rFonts w:ascii="宋体" w:hAnsi="宋体"/>
          <w:sz w:val="24"/>
        </w:rPr>
        <w:lastRenderedPageBreak/>
        <w:t>潜在估值调整对前一估值日的基金资产净值的影响在0.25%以上的，应对估值进行调整并确定公允价值。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（3）估值方法</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1）证券投资基金的估值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a.本基金投资于非上市的非货币市场基金，按所投资基金估值日的份额净值进行估值；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b.本基金投资于非上市的货币市场基金，按所投资基金前一估值日后至估值日期间（含节假日）的万份收益计提估值日基金收益；如所投资基金披露份额净值，则按所投资基金估值日的份额净值估值；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c.本基金投资的ETF基金，按所投资ETF基金估值日的收盘价进行估值；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d.本基金投资的上市开放式基金（LOF），按所投资基金估值日的份额净值估值；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e.本基金投资的上市定期开放式基金、封闭式基金，按所投资基金估值日的收盘价估值；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g.如遇所投资基金不公布基金份额净值、进行折算或拆分、估值日无交易等特殊情况，基金管理人根据以下原则进行估值：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h.当基金管理人认为所投资基金按上述第1）至第7）条进行估值存在不公允</w:t>
      </w:r>
      <w:r>
        <w:rPr>
          <w:rFonts w:ascii="宋体" w:hAnsi="宋体"/>
          <w:sz w:val="24"/>
        </w:rPr>
        <w:lastRenderedPageBreak/>
        <w:t>时，应与基金托管人协商一致采用合理的估值技术或估值标准确定其公允价值。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b.交易所上市交易或挂牌转让的固定收益品种（另有规定的除外），选取估值日第三方估值机构提供的相应品种当日的估值净价进行估值；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d.交易所上市实行全价交易的债券（可转债除外），选取第三方估值机构提供的估值全价减去估值全价中所含的债券（税后）应收利息得到的净价进行估值；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e.交易所上市不存在活跃市场的有价证券，采用估值技术确定公允价值。交易所市场挂牌转让的资产支持证券，采用估值技术确定公允价值；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a.送股、转增股、配股和公开增发的新股，按估值日在证券交易所挂牌的同一股票的估值方法估值；该日无交易的，以最近一日的市价（收盘价）估值；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b.首次公开发行未上市的股票和债券，采用估值技术确定公允价值，在估值技术难以可靠计量公允价值的情况下，按成本估值；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5）估值计算中涉及港币对人民币汇率的，将依据下列信息提供机构所提供的汇率为基准：当日中国人民银行或其授权机构公布的人民币与港币的中间价。</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当基金管理人计算的基金资产净值、基金份额净值已由基金托管人复核确认后公告的，由此造成的投资人或基金的损失，应根据法律法规的规定对投资人或基金</w:t>
      </w:r>
      <w:r>
        <w:rPr>
          <w:rFonts w:ascii="宋体" w:hAnsi="宋体"/>
          <w:sz w:val="24"/>
        </w:rPr>
        <w:lastRenderedPageBreak/>
        <w:t>支付赔偿金，就实际向投资人或基金支付的赔偿金额，基金管理人与基金托管人按照过错程度各自承担相应的责任。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基金管理人或基金托管人按估值方法的第6）项进行估值的，所造成的误差不作为基金资产估值错误处理。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估值错误责任方追偿。</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w:t>
      </w:r>
      <w:r>
        <w:rPr>
          <w:rFonts w:ascii="宋体" w:hAnsi="宋体"/>
          <w:sz w:val="24"/>
        </w:rPr>
        <w:lastRenderedPageBreak/>
        <w:t>账册为准。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基金管理人在季度结束之日起15个工作日内完成季度报告编制并公告；在上半年结束之日起两个月内完成中期报告编制并公告；在每年结束之日起三个月内完成年度报告编制并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核对无误后，基金托管人在基金管理人提供的报告上加盖业务印鉴或者出具加盖托管业务部门公章的复核意见书，相关各方各自留存一份。</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基金托管人在对月度报表、季度、中期报告或年度报告复核完毕后，需盖章确认或出具相应的复核确认书，以备有权机构对相关文件审核时提示。</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7、实施侧袋机制期间的基金资产估值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不低于法律法规规定的最低期限。</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不低于法律法规规定的最低期限。基金托管人不得将所保管的基金份额持有人名册用于基金托管业务以外的其他用途，并应遵守保密义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双方当事人均有约束力，除非仲裁裁决另有规定，仲裁费由败诉方承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争议处理期间，双方当事人应恪守基金管理人和基金托管人职责，继续忠实、勤勉、尽责地履行基金合同和托管协议规定的义务，维护基金份额持有人的合法权益。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（八）基金托管协议的变更、终止与基金财产的清算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1、托管协议的变更与终止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w:t>
      </w:r>
      <w:r>
        <w:rPr>
          <w:rFonts w:ascii="宋体" w:hAnsi="宋体"/>
          <w:sz w:val="24"/>
        </w:rPr>
        <w:lastRenderedPageBreak/>
        <w:t>议，其内容不得与基金合同的规定有任何冲突。本托管协议的变更报中国证监会备案。</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2、基金财产的清算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（1）基金财产的清算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①《基金合同》终止情形出现时，由基金财产清算小组统一接管基金；</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②对基金财产和债权债务进行清理和确认；</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③对基金财产进行估值和变现；</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④制作清算报告；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⑤聘请会计师事务所对清算报告进行外部审计，聘请律师事务所对清算报告出具法律意见书；</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⑥将清算报告报中国证监会备案并公告；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⑦对基金剩余财产进行分配。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（2）清算费用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（3）基金财产清算剩余资产的分配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（4）基金财产清算的公告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（5）基金财产清算账册及文件的保存</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25" w:name="_Toc231305801"/>
      <w:r>
        <w:rPr>
          <w:rFonts w:ascii="Times New Roman" w:hAnsi="Times New Roman"/>
          <w:sz w:val="30"/>
        </w:rPr>
        <w:lastRenderedPageBreak/>
        <w:t>二十二、对基金份额持有人的服务</w:t>
      </w:r>
      <w:bookmarkEnd w:id="25"/>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1、每次交易结束后，投资人可在T+3个工作日后通过销售机构的网点查询和打印确认单；</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等业务。通过网上直销交易平台办理本基金A类基金份额的申购和定期定额投资业务的个人投资者将享受前端申购费率的优惠。具体优惠费率请参见公司网站列示的网上直销交易平台申购、定期定额投资费率表或相关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（四）基金转换业务</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待技术条件成熟时，基金管理人可通过销售机构为投资人提供转换的服务，具</w:t>
      </w:r>
      <w:r>
        <w:rPr>
          <w:rFonts w:ascii="宋体" w:hAnsi="宋体"/>
          <w:sz w:val="24"/>
        </w:rPr>
        <w:lastRenderedPageBreak/>
        <w:t>体实施方法另行公告。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（五）基金红利再投资</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（六）定期定额投资计划</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（七）如本招募说明书存在任何您/贵机构无法理解的内容，请通过上述方式联系基金管理人。请确保投资前，您/贵机构已经全面理解了本招募说明书。</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26" w:name="_Toc231305802"/>
      <w:r>
        <w:rPr>
          <w:rFonts w:ascii="Times New Roman" w:hAnsi="Times New Roman"/>
          <w:sz w:val="30"/>
        </w:rPr>
        <w:lastRenderedPageBreak/>
        <w:t>二十三、其他应披露事项</w:t>
      </w:r>
      <w:bookmarkEnd w:id="26"/>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交银施罗德慧选睿信一年持有期混合型基金中基金（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交银施罗德慧选睿信一年持有期混合型基金中基金（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交银施罗德慧选睿信一年持有期混合型基金中基金（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交银施罗德慧选睿信一年持有期混合型基金中基金（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交银施罗德慧选睿信一年持有期混合型基金中基金（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交银施罗德慧选睿信一年持有期混合型基金中基金（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交银施罗德慧选睿信一年持有期混合型基金中基金（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交银施罗德慧选睿信一年持有期混合型基金中基金（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8142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交银施罗德慧选睿信一年持有期混合型基金中基金（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81429" w:rsidRDefault="00EC62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27" w:name="_Toc231305803"/>
      <w:r>
        <w:rPr>
          <w:rFonts w:ascii="Times New Roman" w:hAnsi="Times New Roman"/>
          <w:sz w:val="30"/>
        </w:rPr>
        <w:lastRenderedPageBreak/>
        <w:t>二十四、招募说明书的存放及查阅方式</w:t>
      </w:r>
      <w:bookmarkEnd w:id="27"/>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EC62C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81429" w:rsidRDefault="00EC62CC">
      <w:pPr>
        <w:pStyle w:val="1"/>
        <w:snapToGrid w:val="0"/>
        <w:spacing w:beforeLines="0" w:before="240" w:after="240"/>
        <w:rPr>
          <w:rFonts w:ascii="宋体" w:hAnsi="宋体"/>
          <w:szCs w:val="30"/>
        </w:rPr>
      </w:pPr>
      <w:bookmarkStart w:id="28" w:name="_Toc231305804"/>
      <w:r>
        <w:rPr>
          <w:rFonts w:ascii="Times New Roman" w:hAnsi="Times New Roman"/>
          <w:sz w:val="30"/>
        </w:rPr>
        <w:lastRenderedPageBreak/>
        <w:t>二十五、备查文件</w:t>
      </w:r>
      <w:bookmarkEnd w:id="28"/>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（一）中国证监会准予交银施罗德慧选睿信一年持有期混合型基金中基金（FOF）募集注册的文件</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（二）《交银施罗德慧选睿信一年持有期混合型基金中基金（FOF）基金合同》</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（三）《交银施罗德慧选睿信一年持有期混合型基金中基金（FOF）托管协议》</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D81429" w:rsidRDefault="00EC62C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（六）关于申请募集注册交银施罗德慧选睿信一年持有期混合型基金中基金（FOF）的法律意见书</w:t>
      </w:r>
    </w:p>
    <w:sectPr w:rsidR="00D81429">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5A5" w:rsidRDefault="00EC62CC">
      <w:r>
        <w:separator/>
      </w:r>
    </w:p>
  </w:endnote>
  <w:endnote w:type="continuationSeparator" w:id="0">
    <w:p w:rsidR="008A05A5" w:rsidRDefault="00EC6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429" w:rsidRDefault="00D8142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429" w:rsidRDefault="0075518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D81429" w:rsidRDefault="00EC62C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5518A">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429" w:rsidRDefault="00D81429">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429" w:rsidRDefault="0075518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D81429" w:rsidRDefault="00EC62C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5518A">
                  <w:rPr>
                    <w:rFonts w:ascii="Times New Roman" w:hAnsi="Times New Roman"/>
                    <w:noProof/>
                    <w:kern w:val="0"/>
                    <w:sz w:val="18"/>
                    <w:szCs w:val="18"/>
                  </w:rPr>
                  <w:t>155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5A5" w:rsidRDefault="00EC62CC">
      <w:r>
        <w:separator/>
      </w:r>
    </w:p>
  </w:footnote>
  <w:footnote w:type="continuationSeparator" w:id="0">
    <w:p w:rsidR="008A05A5" w:rsidRDefault="00EC62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429" w:rsidRDefault="00D8142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429" w:rsidRDefault="00EC62CC">
    <w:pPr>
      <w:pStyle w:val="a3"/>
      <w:jc w:val="right"/>
      <w:rPr>
        <w:rFonts w:ascii="宋体" w:hAnsi="宋体"/>
      </w:rPr>
    </w:pPr>
    <w:r>
      <w:rPr>
        <w:rFonts w:ascii="宋体" w:hAnsi="宋体" w:hint="eastAsia"/>
      </w:rPr>
      <w:t>交银施罗德慧选睿信一年持有期混合型基金中基金（FOF）招募说明书更新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429" w:rsidRDefault="00D81429">
    <w:pPr>
      <w:pStyle w:val="10"/>
      <w:jc w:val="right"/>
    </w:pPr>
  </w:p>
  <w:p w:rsidR="00D81429" w:rsidRDefault="00D81429">
    <w:pPr>
      <w:pStyle w:val="10"/>
      <w:jc w:val="right"/>
    </w:pPr>
  </w:p>
  <w:p w:rsidR="00D81429" w:rsidRDefault="00D81429">
    <w:pPr>
      <w:pStyle w:val="a3"/>
      <w:jc w:val="right"/>
    </w:pPr>
  </w:p>
  <w:p w:rsidR="00D81429" w:rsidRDefault="00EC62CC">
    <w:pPr>
      <w:pStyle w:val="a3"/>
      <w:jc w:val="right"/>
      <w:rPr>
        <w:rFonts w:ascii="宋体" w:hAnsi="宋体"/>
      </w:rPr>
    </w:pPr>
    <w:r>
      <w:rPr>
        <w:rFonts w:ascii="宋体" w:hAnsi="宋体" w:hint="eastAsia"/>
      </w:rPr>
      <w:t>交银施罗德慧选睿信一年持有期混合型基金中基金（FOF）招募说明书更新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429" w:rsidRDefault="00D81429">
    <w:pPr>
      <w:pStyle w:val="a3"/>
      <w:jc w:val="right"/>
    </w:pPr>
  </w:p>
  <w:p w:rsidR="00D81429" w:rsidRDefault="00D81429">
    <w:pPr>
      <w:pStyle w:val="a3"/>
      <w:jc w:val="right"/>
    </w:pPr>
  </w:p>
  <w:p w:rsidR="00D81429" w:rsidRDefault="00D81429">
    <w:pPr>
      <w:pStyle w:val="a3"/>
      <w:jc w:val="right"/>
    </w:pPr>
  </w:p>
  <w:p w:rsidR="00D81429" w:rsidRDefault="00EC62CC">
    <w:pPr>
      <w:pStyle w:val="a3"/>
      <w:jc w:val="right"/>
      <w:rPr>
        <w:rFonts w:ascii="宋体" w:hAnsi="宋体"/>
      </w:rPr>
    </w:pPr>
    <w:r>
      <w:rPr>
        <w:rFonts w:ascii="宋体" w:hAnsi="宋体" w:hint="eastAsia"/>
      </w:rPr>
      <w:t>交银施罗德慧选睿信一年持有期混合型基金中基金（FOF）招募说明书更新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518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05A5"/>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429"/>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C62CC"/>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0BAD5E81-5D20-440E-8CC1-CFBF9F76F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156</Pages>
  <Words>16557</Words>
  <Characters>94376</Characters>
  <Application>Microsoft Office Word</Application>
  <DocSecurity>0</DocSecurity>
  <Lines>786</Lines>
  <Paragraphs>221</Paragraphs>
  <ScaleCrop>false</ScaleCrop>
  <Company>Microsoft</Company>
  <LinksUpToDate>false</LinksUpToDate>
  <CharactersWithSpaces>110712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2026-06-02T07:16:00Z</dcterms:created>
  <dcterms:modified xsi:type="dcterms:W3CDTF">2026-06-02T07:16:00Z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