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782B8F">
      <w:pPr>
        <w:rPr>
          <w:sz w:val="32"/>
        </w:rPr>
      </w:pPr>
    </w:p>
    <w:p w:rsidR="00C92FC0" w:rsidRPr="00EB07BC" w:rsidRDefault="00782B8F">
      <w:pPr>
        <w:rPr>
          <w:sz w:val="32"/>
        </w:rPr>
      </w:pPr>
    </w:p>
    <w:p w:rsidR="00C92FC0" w:rsidRPr="00EB07BC" w:rsidRDefault="00782B8F">
      <w:pPr>
        <w:rPr>
          <w:sz w:val="32"/>
        </w:rPr>
      </w:pPr>
    </w:p>
    <w:p w:rsidR="000F0F8C" w:rsidRDefault="000F0F8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F0F8C" w:rsidRDefault="000F0F8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F0F8C" w:rsidRDefault="000F0F8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F0F8C" w:rsidRDefault="00F47B44">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交银施罗德先进制造混合型证券投资基金</w:t>
      </w:r>
    </w:p>
    <w:p w:rsidR="000F0F8C" w:rsidRDefault="00F47B44">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0F0F8C" w:rsidRDefault="000F0F8C">
      <w:pPr>
        <w:snapToGrid w:val="0"/>
        <w:spacing w:line="360" w:lineRule="auto"/>
        <w:jc w:val="center"/>
        <w:rPr>
          <w:rFonts w:ascii="宋体" w:hAnsi="宋体"/>
          <w:b/>
          <w:sz w:val="30"/>
          <w:szCs w:val="30"/>
        </w:rPr>
      </w:pPr>
    </w:p>
    <w:p w:rsidR="000F0F8C" w:rsidRDefault="000F0F8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F0F8C" w:rsidRDefault="000F0F8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F0F8C" w:rsidRDefault="000F0F8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F0F8C" w:rsidRDefault="000F0F8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F0F8C" w:rsidRDefault="000F0F8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F0F8C" w:rsidRDefault="000F0F8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F0F8C" w:rsidRDefault="00F47B44">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0F0F8C" w:rsidRDefault="00F47B44">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0F0F8C" w:rsidRDefault="000F0F8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F0F8C" w:rsidRDefault="000F0F8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F0F8C" w:rsidRDefault="00F47B44">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0F0F8C" w:rsidRDefault="000F0F8C">
      <w:pPr>
        <w:autoSpaceDE w:val="0"/>
        <w:autoSpaceDN w:val="0"/>
        <w:adjustRightInd w:val="0"/>
        <w:snapToGrid w:val="0"/>
        <w:spacing w:line="360" w:lineRule="auto"/>
        <w:ind w:left="1347" w:rightChars="6" w:right="13"/>
        <w:rPr>
          <w:rFonts w:ascii="宋体" w:hAnsi="宋体"/>
          <w:kern w:val="0"/>
          <w:sz w:val="32"/>
          <w:szCs w:val="32"/>
        </w:rPr>
        <w:sectPr w:rsidR="000F0F8C">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0F0F8C" w:rsidRDefault="00F47B44">
      <w:pPr>
        <w:pStyle w:val="1"/>
        <w:snapToGrid w:val="0"/>
        <w:spacing w:beforeLines="0" w:before="240" w:after="240"/>
        <w:rPr>
          <w:rFonts w:ascii="宋体" w:hAnsi="宋体"/>
          <w:kern w:val="0"/>
        </w:rPr>
      </w:pPr>
      <w:bookmarkStart w:id="0" w:name="_Toc324920538"/>
      <w:bookmarkStart w:id="1" w:name="_Toc496884613"/>
      <w:bookmarkStart w:id="2" w:name="_Toc231982071"/>
      <w:r>
        <w:rPr>
          <w:rFonts w:ascii="Times New Roman" w:hAnsi="Times New Roman"/>
          <w:kern w:val="0"/>
        </w:rPr>
        <w:lastRenderedPageBreak/>
        <w:t>重要提示</w:t>
      </w:r>
      <w:bookmarkEnd w:id="0"/>
      <w:bookmarkEnd w:id="1"/>
      <w:bookmarkEnd w:id="2"/>
    </w:p>
    <w:p w:rsidR="000F0F8C" w:rsidRDefault="00F47B4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交银施罗德先进制造混合型证券投资基金（以下简称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）由交银施罗德先进制造股票证券投资基金变更而来，交银施罗德先进制造股票证券投资基金经</w:t>
      </w:r>
      <w:r>
        <w:rPr>
          <w:rFonts w:ascii="Times New Roman" w:hAnsi="Times New Roman"/>
          <w:kern w:val="0"/>
          <w:sz w:val="24"/>
        </w:rPr>
        <w:t>2011</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29</w:t>
      </w:r>
      <w:r>
        <w:rPr>
          <w:rFonts w:ascii="Times New Roman" w:hAnsi="Times New Roman"/>
          <w:kern w:val="0"/>
          <w:sz w:val="24"/>
        </w:rPr>
        <w:t>日中国证券监督管理委员会证监许可【</w:t>
      </w:r>
      <w:r>
        <w:rPr>
          <w:rFonts w:ascii="Times New Roman" w:hAnsi="Times New Roman"/>
          <w:kern w:val="0"/>
          <w:sz w:val="24"/>
        </w:rPr>
        <w:t>2011</w:t>
      </w:r>
      <w:r>
        <w:rPr>
          <w:rFonts w:ascii="Times New Roman" w:hAnsi="Times New Roman"/>
          <w:kern w:val="0"/>
          <w:sz w:val="24"/>
        </w:rPr>
        <w:t>】</w:t>
      </w:r>
      <w:r>
        <w:rPr>
          <w:rFonts w:ascii="Times New Roman" w:hAnsi="Times New Roman"/>
          <w:kern w:val="0"/>
          <w:sz w:val="24"/>
        </w:rPr>
        <w:t>639</w:t>
      </w:r>
      <w:r>
        <w:rPr>
          <w:rFonts w:ascii="Times New Roman" w:hAnsi="Times New Roman"/>
          <w:kern w:val="0"/>
          <w:sz w:val="24"/>
        </w:rPr>
        <w:t>号文核准募集，并经</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5</w:t>
      </w:r>
      <w:r>
        <w:rPr>
          <w:rFonts w:ascii="Times New Roman" w:hAnsi="Times New Roman"/>
          <w:kern w:val="0"/>
          <w:sz w:val="24"/>
        </w:rPr>
        <w:t>日中国证监会证监许可【</w:t>
      </w:r>
      <w:r>
        <w:rPr>
          <w:rFonts w:ascii="Times New Roman" w:hAnsi="Times New Roman"/>
          <w:kern w:val="0"/>
          <w:sz w:val="24"/>
        </w:rPr>
        <w:t>2018</w:t>
      </w:r>
      <w:r>
        <w:rPr>
          <w:rFonts w:ascii="Times New Roman" w:hAnsi="Times New Roman"/>
          <w:kern w:val="0"/>
          <w:sz w:val="24"/>
        </w:rPr>
        <w:t>】</w:t>
      </w:r>
      <w:r>
        <w:rPr>
          <w:rFonts w:ascii="Times New Roman" w:hAnsi="Times New Roman"/>
          <w:kern w:val="0"/>
          <w:sz w:val="24"/>
        </w:rPr>
        <w:t>62</w:t>
      </w:r>
      <w:r>
        <w:rPr>
          <w:rFonts w:ascii="Times New Roman" w:hAnsi="Times New Roman"/>
          <w:kern w:val="0"/>
          <w:sz w:val="24"/>
        </w:rPr>
        <w:t>号文准予变更注册。交银施罗德先进制造混合型证券投资基金以通讯方式召开基金份额持有人大会，大会于</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20</w:t>
      </w:r>
      <w:r>
        <w:rPr>
          <w:rFonts w:ascii="Times New Roman" w:hAnsi="Times New Roman"/>
          <w:kern w:val="0"/>
          <w:sz w:val="24"/>
        </w:rPr>
        <w:t>日表决通过了《关于交银施罗德先进制造混合型证券投资基金调整投资范围及修改基金合同有关事项的议案》，同意交银施罗德先进制造混合型证券投资基金调整投资范围、投资策略、投资比例限制、业绩比较基准、估值方法及修改基金合同等事宜。本基金经</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日中国证监会证监许可【</w:t>
      </w:r>
      <w:r>
        <w:rPr>
          <w:rFonts w:ascii="Times New Roman" w:hAnsi="Times New Roman"/>
          <w:kern w:val="0"/>
          <w:sz w:val="24"/>
        </w:rPr>
        <w:t>2021</w:t>
      </w:r>
      <w:r>
        <w:rPr>
          <w:rFonts w:ascii="Times New Roman" w:hAnsi="Times New Roman"/>
          <w:kern w:val="0"/>
          <w:sz w:val="24"/>
        </w:rPr>
        <w:t>】</w:t>
      </w:r>
      <w:r>
        <w:rPr>
          <w:rFonts w:ascii="Times New Roman" w:hAnsi="Times New Roman"/>
          <w:kern w:val="0"/>
          <w:sz w:val="24"/>
        </w:rPr>
        <w:t>1896</w:t>
      </w:r>
      <w:r>
        <w:rPr>
          <w:rFonts w:ascii="Times New Roman" w:hAnsi="Times New Roman"/>
          <w:kern w:val="0"/>
          <w:sz w:val="24"/>
        </w:rPr>
        <w:t>号文准予变更注册。交银施罗德先进制造混合型证券投资基金以通讯方式召开基金份额持有人大会，大会于</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表决通过了《关于交银施罗德先进制造混合型证券投资基金调整投资范围及修改基金合同有关事项的议案》，同意在交银施罗德先进制造混合型证券投资基金投资范围中增加港股通标的股票，相应调整投资策略、投资比例限制、业绩比较基准、估值方法等内容，并调整基金赎回费率、增加基金合同自动终止条款、增加</w:t>
      </w:r>
      <w:r>
        <w:rPr>
          <w:rFonts w:ascii="Times New Roman" w:hAnsi="Times New Roman"/>
          <w:kern w:val="0"/>
          <w:sz w:val="24"/>
        </w:rPr>
        <w:t>C</w:t>
      </w:r>
      <w:r>
        <w:rPr>
          <w:rFonts w:ascii="Times New Roman" w:hAnsi="Times New Roman"/>
          <w:kern w:val="0"/>
          <w:sz w:val="24"/>
        </w:rPr>
        <w:t>类基金份额、增加侧袋机制相关表述以及修改基金合同其他部分条款等事项，上述基金份额持有人大会决议事项自表决通过之日起生效。</w:t>
      </w:r>
    </w:p>
    <w:p w:rsidR="000F0F8C" w:rsidRDefault="00F47B4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交银施罗德先进制造股票证券投资基金募集的核准以及对本基金的变更注册，并不表明其对本基金的价值和收益作出实质性判断或保证，也不表明投资于本基金没有风险。中国证监会不对基金的投资价值及市场前景等作出实质性判断或者保证。</w:t>
      </w:r>
    </w:p>
    <w:p w:rsidR="000F0F8C" w:rsidRDefault="00F47B4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0F0F8C" w:rsidRDefault="00F47B4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w:t>
      </w:r>
      <w:r>
        <w:rPr>
          <w:rFonts w:ascii="Times New Roman" w:hAnsi="Times New Roman"/>
          <w:kern w:val="0"/>
          <w:sz w:val="24"/>
        </w:rPr>
        <w:lastRenderedPageBreak/>
        <w:t>投资行为作出独立决策。投资者根据所持有份额享受基金的收益，但同时也需承担相应的投资风险。投资本基金可能遇到的风险包括：因政治、经济、社会等因素对证券价格波动产生影响而引发的市场风险；基金管理人在基金管理运作过程中产生的基金管理风险；流动性风险（包括实施侧袋机制时的特定风险）；交易对手或债券发行人违约产生的信用风险；本基金投资策略所特有的风险；投资资产支持证券的特定风险；投资股指期货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万元情形时基金管理人依基金合同约定提前终止基金合同的风险；投资本基金特有的其他风险等等。本基金是一只混合型基金，其预期风险和预期收益高于债券型基金和货币市场基金，低于股票型基金。</w:t>
      </w:r>
    </w:p>
    <w:p w:rsidR="000F0F8C" w:rsidRDefault="00F47B4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0F0F8C" w:rsidRDefault="00F47B4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0F0F8C" w:rsidRDefault="00F47B4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0F0F8C" w:rsidRDefault="00F47B4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0F0F8C" w:rsidRDefault="00F47B4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0F0F8C" w:rsidRDefault="00F47B4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w:t>
      </w:r>
      <w:r>
        <w:rPr>
          <w:rFonts w:ascii="Times New Roman" w:hAnsi="Times New Roman"/>
          <w:kern w:val="0"/>
          <w:sz w:val="24"/>
        </w:rPr>
        <w:lastRenderedPageBreak/>
        <w:t>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0F0F8C" w:rsidRDefault="00F47B4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0F0F8C" w:rsidRDefault="00F47B4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者在投资本基金前应认真阅读本基金的招募说明书和基金合同、基金产品资料概要等信息披露文件，自主判断基金的投资价值，自主作出投资决策，自行承担投资风险。基金的过往业绩并不代表其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0F0F8C" w:rsidRDefault="00F47B4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0F0F8C" w:rsidRDefault="00F47B4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0F0F8C" w:rsidRDefault="000F0F8C">
      <w:pPr>
        <w:autoSpaceDE w:val="0"/>
        <w:autoSpaceDN w:val="0"/>
        <w:adjustRightInd w:val="0"/>
        <w:snapToGrid w:val="0"/>
        <w:spacing w:before="51" w:line="360" w:lineRule="auto"/>
        <w:ind w:left="120" w:rightChars="6" w:right="13" w:firstLine="480"/>
        <w:rPr>
          <w:rFonts w:ascii="宋体" w:hAnsi="宋体"/>
          <w:kern w:val="0"/>
          <w:szCs w:val="24"/>
        </w:rPr>
        <w:sectPr w:rsidR="000F0F8C">
          <w:headerReference w:type="default" r:id="rId14"/>
          <w:pgSz w:w="11920" w:h="16840"/>
          <w:pgMar w:top="1440" w:right="1680" w:bottom="280" w:left="1680" w:header="0" w:footer="1073" w:gutter="0"/>
          <w:pgNumType w:start="1"/>
          <w:cols w:space="720"/>
        </w:sectPr>
      </w:pPr>
    </w:p>
    <w:p w:rsidR="00782B8F" w:rsidRPr="00782B8F" w:rsidRDefault="00F47B44" w:rsidP="00782B8F">
      <w:pPr>
        <w:pStyle w:val="ad"/>
        <w:snapToGrid w:val="0"/>
        <w:spacing w:after="240" w:line="360" w:lineRule="auto"/>
        <w:jc w:val="center"/>
        <w:rPr>
          <w:rFonts w:ascii="宋体" w:hAnsi="宋体"/>
          <w:noProof/>
          <w:sz w:val="24"/>
        </w:rPr>
      </w:pPr>
      <w:r w:rsidRPr="00782B8F">
        <w:rPr>
          <w:rFonts w:ascii="宋体" w:hAnsi="宋体"/>
          <w:color w:val="000000"/>
          <w:position w:val="-4"/>
          <w:sz w:val="24"/>
          <w:szCs w:val="30"/>
        </w:rPr>
        <w:lastRenderedPageBreak/>
        <w:t>目</w:t>
      </w:r>
      <w:r w:rsidRPr="00782B8F">
        <w:rPr>
          <w:rFonts w:ascii="宋体" w:hAnsi="宋体"/>
          <w:color w:val="000000"/>
          <w:position w:val="-4"/>
          <w:sz w:val="24"/>
          <w:szCs w:val="30"/>
        </w:rPr>
        <w:tab/>
        <w:t>录</w:t>
      </w:r>
      <w:r w:rsidR="00782B8F" w:rsidRPr="00782B8F">
        <w:rPr>
          <w:rFonts w:ascii="宋体" w:hAnsi="宋体"/>
          <w:color w:val="000000"/>
          <w:position w:val="-4"/>
          <w:sz w:val="24"/>
          <w:szCs w:val="30"/>
        </w:rPr>
        <w:fldChar w:fldCharType="begin"/>
      </w:r>
      <w:r w:rsidR="00782B8F" w:rsidRPr="00782B8F">
        <w:rPr>
          <w:rFonts w:ascii="宋体" w:hAnsi="宋体"/>
          <w:color w:val="000000"/>
          <w:position w:val="-4"/>
          <w:sz w:val="24"/>
          <w:szCs w:val="30"/>
        </w:rPr>
        <w:instrText xml:space="preserve"> TOC \o "1-3" \f - \h \t "-1" </w:instrText>
      </w:r>
      <w:r w:rsidR="00782B8F" w:rsidRPr="00782B8F">
        <w:rPr>
          <w:rFonts w:ascii="宋体" w:hAnsi="宋体"/>
          <w:color w:val="000000"/>
          <w:position w:val="-4"/>
          <w:sz w:val="24"/>
          <w:szCs w:val="30"/>
        </w:rPr>
        <w:fldChar w:fldCharType="separate"/>
      </w:r>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71" w:history="1">
        <w:r w:rsidRPr="00782B8F">
          <w:rPr>
            <w:rStyle w:val="aa"/>
            <w:rFonts w:ascii="宋体" w:hAnsi="宋体" w:hint="eastAsia"/>
            <w:noProof/>
            <w:kern w:val="0"/>
            <w:sz w:val="24"/>
          </w:rPr>
          <w:t>重要提示</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_Toc231982071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72" w:history="1">
        <w:r w:rsidRPr="00782B8F">
          <w:rPr>
            <w:rStyle w:val="aa"/>
            <w:rFonts w:ascii="宋体" w:hAnsi="宋体" w:hint="eastAsia"/>
            <w:noProof/>
            <w:sz w:val="24"/>
          </w:rPr>
          <w:t>一、绪言</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_Toc231982072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5</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73" w:history="1">
        <w:r w:rsidRPr="00782B8F">
          <w:rPr>
            <w:rStyle w:val="aa"/>
            <w:rFonts w:ascii="宋体" w:hAnsi="宋体" w:hint="eastAsia"/>
            <w:noProof/>
            <w:sz w:val="24"/>
          </w:rPr>
          <w:t>二、释义</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_Toc231982073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6</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74" w:history="1">
        <w:r w:rsidRPr="00782B8F">
          <w:rPr>
            <w:rStyle w:val="aa"/>
            <w:rFonts w:ascii="宋体" w:hAnsi="宋体" w:hint="eastAsia"/>
            <w:noProof/>
            <w:sz w:val="24"/>
          </w:rPr>
          <w:t>三、基金管理人</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_Toc231982074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12</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75" w:history="1">
        <w:r w:rsidRPr="00782B8F">
          <w:rPr>
            <w:rStyle w:val="aa"/>
            <w:rFonts w:ascii="宋体" w:hAnsi="宋体" w:hint="eastAsia"/>
            <w:noProof/>
            <w:sz w:val="24"/>
          </w:rPr>
          <w:t>四、基金托管人</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_Toc231982075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19</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76" w:history="1">
        <w:r w:rsidRPr="00782B8F">
          <w:rPr>
            <w:rStyle w:val="aa"/>
            <w:rFonts w:ascii="宋体" w:hAnsi="宋体" w:hint="eastAsia"/>
            <w:noProof/>
            <w:sz w:val="24"/>
          </w:rPr>
          <w:t>五、相关服务机构</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_Toc231982076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22</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77" w:history="1">
        <w:r w:rsidRPr="00782B8F">
          <w:rPr>
            <w:rStyle w:val="aa"/>
            <w:rFonts w:ascii="宋体" w:hAnsi="宋体" w:hint="eastAsia"/>
            <w:noProof/>
            <w:sz w:val="24"/>
          </w:rPr>
          <w:t>六、基金的历史沿革</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_Toc231982077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63</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78" w:history="1">
        <w:r w:rsidRPr="00782B8F">
          <w:rPr>
            <w:rStyle w:val="aa"/>
            <w:rFonts w:ascii="宋体" w:hAnsi="宋体" w:hint="eastAsia"/>
            <w:noProof/>
            <w:sz w:val="24"/>
          </w:rPr>
          <w:t>七、基金的存续</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_Toc231982078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65</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79" w:history="1">
        <w:r w:rsidRPr="00782B8F">
          <w:rPr>
            <w:rStyle w:val="aa"/>
            <w:rFonts w:ascii="宋体" w:hAnsi="宋体" w:hint="eastAsia"/>
            <w:noProof/>
            <w:sz w:val="24"/>
          </w:rPr>
          <w:t>八、基金份额的申购与赎回</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_Toc231982079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66</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80" w:history="1">
        <w:r w:rsidRPr="00782B8F">
          <w:rPr>
            <w:rStyle w:val="aa"/>
            <w:rFonts w:ascii="宋体" w:hAnsi="宋体" w:hint="eastAsia"/>
            <w:noProof/>
            <w:sz w:val="24"/>
          </w:rPr>
          <w:t>九、基金的转换</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_Toc231982080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81</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81" w:history="1">
        <w:r w:rsidRPr="00782B8F">
          <w:rPr>
            <w:rStyle w:val="aa"/>
            <w:rFonts w:ascii="宋体" w:hAnsi="宋体" w:hint="eastAsia"/>
            <w:noProof/>
            <w:sz w:val="24"/>
          </w:rPr>
          <w:t>十、基金的投资</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_Toc231982081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88</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82" w:history="1">
        <w:r w:rsidRPr="00782B8F">
          <w:rPr>
            <w:rStyle w:val="aa"/>
            <w:rFonts w:ascii="宋体" w:hAnsi="宋体" w:hint="eastAsia"/>
            <w:noProof/>
            <w:sz w:val="24"/>
          </w:rPr>
          <w:t>十一、基金的业绩</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_Toc231982082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102</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83" w:history="1">
        <w:r w:rsidRPr="00782B8F">
          <w:rPr>
            <w:rStyle w:val="aa"/>
            <w:rFonts w:ascii="宋体" w:hAnsi="宋体" w:hint="eastAsia"/>
            <w:noProof/>
            <w:sz w:val="24"/>
          </w:rPr>
          <w:t>十二、基金的财产</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_Toc231982083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105</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84" w:history="1">
        <w:r w:rsidRPr="00782B8F">
          <w:rPr>
            <w:rStyle w:val="aa"/>
            <w:rFonts w:ascii="宋体" w:hAnsi="宋体" w:hint="eastAsia"/>
            <w:noProof/>
            <w:sz w:val="24"/>
          </w:rPr>
          <w:t>十三、基金资产的估值</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_Toc231982084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106</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85" w:history="1">
        <w:r w:rsidRPr="00782B8F">
          <w:rPr>
            <w:rStyle w:val="aa"/>
            <w:rFonts w:ascii="宋体" w:hAnsi="宋体" w:hint="eastAsia"/>
            <w:noProof/>
            <w:sz w:val="24"/>
          </w:rPr>
          <w:t>十四、基金的收益与分配</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_Toc231982085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113</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86" w:history="1">
        <w:r w:rsidRPr="00782B8F">
          <w:rPr>
            <w:rStyle w:val="aa"/>
            <w:rFonts w:ascii="宋体" w:hAnsi="宋体" w:hint="eastAsia"/>
            <w:noProof/>
            <w:sz w:val="24"/>
          </w:rPr>
          <w:t>十五、基金的费用与税收</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_Toc231982086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115</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87" w:history="1">
        <w:r w:rsidRPr="00782B8F">
          <w:rPr>
            <w:rStyle w:val="aa"/>
            <w:rFonts w:ascii="宋体" w:hAnsi="宋体" w:hint="eastAsia"/>
            <w:noProof/>
            <w:sz w:val="24"/>
          </w:rPr>
          <w:t>十六、基金的会计与审计</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_Toc231982087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118</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88" w:history="1">
        <w:r w:rsidRPr="00782B8F">
          <w:rPr>
            <w:rStyle w:val="aa"/>
            <w:rFonts w:ascii="宋体" w:hAnsi="宋体" w:hint="eastAsia"/>
            <w:noProof/>
            <w:sz w:val="24"/>
          </w:rPr>
          <w:t>十七、基金的信息披露</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_Toc231982088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119</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89" w:history="1">
        <w:r w:rsidRPr="00782B8F">
          <w:rPr>
            <w:rStyle w:val="aa"/>
            <w:rFonts w:ascii="宋体" w:hAnsi="宋体" w:hint="eastAsia"/>
            <w:noProof/>
            <w:sz w:val="24"/>
          </w:rPr>
          <w:t>十八、侧袋机制</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_Toc231982089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126</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90" w:history="1">
        <w:r w:rsidRPr="00782B8F">
          <w:rPr>
            <w:rStyle w:val="aa"/>
            <w:rFonts w:ascii="宋体" w:hAnsi="宋体" w:hint="eastAsia"/>
            <w:noProof/>
            <w:sz w:val="24"/>
          </w:rPr>
          <w:t>十九、风险揭示</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_Toc231982090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129</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91" w:history="1">
        <w:r w:rsidRPr="00782B8F">
          <w:rPr>
            <w:rStyle w:val="aa"/>
            <w:rFonts w:ascii="宋体" w:hAnsi="宋体" w:hint="eastAsia"/>
            <w:noProof/>
            <w:sz w:val="24"/>
          </w:rPr>
          <w:t>二十、基金合同的变更、终止与基金财产的清算</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_Toc231982091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139</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92" w:history="1">
        <w:r w:rsidRPr="00782B8F">
          <w:rPr>
            <w:rStyle w:val="aa"/>
            <w:rFonts w:ascii="宋体" w:hAnsi="宋体" w:hint="eastAsia"/>
            <w:noProof/>
            <w:sz w:val="24"/>
          </w:rPr>
          <w:t>二十一、基金合同的内容摘要</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_Toc231982092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141</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93" w:history="1">
        <w:r w:rsidRPr="00782B8F">
          <w:rPr>
            <w:rStyle w:val="aa"/>
            <w:rFonts w:ascii="宋体" w:hAnsi="宋体" w:hint="eastAsia"/>
            <w:noProof/>
            <w:sz w:val="24"/>
          </w:rPr>
          <w:t>二十二、托管协议的内容摘要</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_Toc231982093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157</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94" w:history="1">
        <w:r w:rsidRPr="00782B8F">
          <w:rPr>
            <w:rStyle w:val="aa"/>
            <w:rFonts w:ascii="宋体" w:hAnsi="宋体" w:hint="eastAsia"/>
            <w:noProof/>
            <w:sz w:val="24"/>
          </w:rPr>
          <w:t>二十三、对基金份额持有人的服务</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_Toc231982094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175</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95" w:history="1">
        <w:r w:rsidRPr="00782B8F">
          <w:rPr>
            <w:rStyle w:val="aa"/>
            <w:rFonts w:ascii="宋体" w:hAnsi="宋体" w:hint="eastAsia"/>
            <w:noProof/>
            <w:sz w:val="24"/>
          </w:rPr>
          <w:t>二十四、其他应披露事项</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_Toc231982095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177</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96" w:history="1">
        <w:r w:rsidRPr="00782B8F">
          <w:rPr>
            <w:rStyle w:val="aa"/>
            <w:rFonts w:ascii="宋体" w:hAnsi="宋体" w:hint="eastAsia"/>
            <w:noProof/>
            <w:sz w:val="24"/>
          </w:rPr>
          <w:t>二十五、招募说明书的存放及查阅方式</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_Toc231982096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180</w:t>
        </w:r>
        <w:r w:rsidRPr="00782B8F">
          <w:rPr>
            <w:rFonts w:ascii="宋体" w:hAnsi="宋体"/>
            <w:noProof/>
            <w:sz w:val="24"/>
          </w:rPr>
          <w:fldChar w:fldCharType="end"/>
        </w:r>
      </w:hyperlink>
    </w:p>
    <w:p w:rsidR="00782B8F" w:rsidRPr="00782B8F" w:rsidRDefault="00782B8F" w:rsidP="00782B8F">
      <w:pPr>
        <w:pStyle w:val="10"/>
        <w:tabs>
          <w:tab w:val="right" w:leader="dot" w:pos="8550"/>
        </w:tabs>
        <w:spacing w:line="360" w:lineRule="auto"/>
        <w:rPr>
          <w:rFonts w:ascii="宋体" w:hAnsi="宋体" w:cstheme="minorBidi"/>
          <w:noProof/>
          <w:sz w:val="24"/>
        </w:rPr>
      </w:pPr>
      <w:hyperlink w:anchor="_Toc231982097" w:history="1">
        <w:r w:rsidRPr="00782B8F">
          <w:rPr>
            <w:rStyle w:val="aa"/>
            <w:rFonts w:ascii="宋体" w:hAnsi="宋体" w:hint="eastAsia"/>
            <w:noProof/>
            <w:sz w:val="24"/>
          </w:rPr>
          <w:t>二十六、备查文件</w:t>
        </w:r>
        <w:r w:rsidRPr="00782B8F">
          <w:rPr>
            <w:rFonts w:ascii="宋体" w:hAnsi="宋体"/>
            <w:noProof/>
            <w:sz w:val="24"/>
          </w:rPr>
          <w:tab/>
        </w:r>
        <w:r w:rsidRPr="00782B8F">
          <w:rPr>
            <w:rFonts w:ascii="宋体" w:hAnsi="宋体"/>
            <w:noProof/>
            <w:sz w:val="24"/>
          </w:rPr>
          <w:fldChar w:fldCharType="begin"/>
        </w:r>
        <w:r w:rsidRPr="00782B8F">
          <w:rPr>
            <w:rFonts w:ascii="宋体" w:hAnsi="宋体"/>
            <w:noProof/>
            <w:sz w:val="24"/>
          </w:rPr>
          <w:instrText xml:space="preserve"> PAGEREF _Toc231982097 \h </w:instrText>
        </w:r>
        <w:r w:rsidRPr="00782B8F">
          <w:rPr>
            <w:rFonts w:ascii="宋体" w:hAnsi="宋体"/>
            <w:noProof/>
            <w:sz w:val="24"/>
          </w:rPr>
        </w:r>
        <w:r w:rsidRPr="00782B8F">
          <w:rPr>
            <w:rFonts w:ascii="宋体" w:hAnsi="宋体"/>
            <w:noProof/>
            <w:sz w:val="24"/>
          </w:rPr>
          <w:fldChar w:fldCharType="separate"/>
        </w:r>
        <w:r w:rsidRPr="00782B8F">
          <w:rPr>
            <w:rFonts w:ascii="宋体" w:hAnsi="宋体"/>
            <w:noProof/>
            <w:sz w:val="24"/>
          </w:rPr>
          <w:t>181</w:t>
        </w:r>
        <w:r w:rsidRPr="00782B8F">
          <w:rPr>
            <w:rFonts w:ascii="宋体" w:hAnsi="宋体"/>
            <w:noProof/>
            <w:sz w:val="24"/>
          </w:rPr>
          <w:fldChar w:fldCharType="end"/>
        </w:r>
      </w:hyperlink>
    </w:p>
    <w:p w:rsidR="000F0F8C" w:rsidRPr="00782B8F" w:rsidRDefault="00782B8F" w:rsidP="00782B8F">
      <w:pPr>
        <w:pStyle w:val="ad"/>
        <w:snapToGrid w:val="0"/>
        <w:spacing w:after="240" w:line="360" w:lineRule="auto"/>
        <w:jc w:val="center"/>
        <w:rPr>
          <w:rFonts w:ascii="宋体" w:hAnsi="宋体"/>
          <w:color w:val="000000"/>
          <w:sz w:val="24"/>
        </w:rPr>
      </w:pPr>
      <w:r w:rsidRPr="00782B8F">
        <w:rPr>
          <w:rFonts w:ascii="宋体" w:hAnsi="宋体"/>
          <w:color w:val="000000"/>
          <w:position w:val="-4"/>
          <w:sz w:val="24"/>
          <w:szCs w:val="30"/>
        </w:rPr>
        <w:fldChar w:fldCharType="end"/>
      </w:r>
      <w:bookmarkStart w:id="3" w:name="_GoBack"/>
      <w:bookmarkEnd w:id="3"/>
    </w:p>
    <w:p w:rsidR="000F0F8C" w:rsidRDefault="000F0F8C">
      <w:pPr>
        <w:autoSpaceDE w:val="0"/>
        <w:autoSpaceDN w:val="0"/>
        <w:adjustRightInd w:val="0"/>
        <w:snapToGrid w:val="0"/>
        <w:spacing w:line="360" w:lineRule="auto"/>
        <w:ind w:left="120" w:rightChars="6" w:right="13"/>
        <w:rPr>
          <w:rFonts w:ascii="宋体" w:hAnsi="宋体"/>
          <w:kern w:val="0"/>
          <w:szCs w:val="24"/>
        </w:rPr>
        <w:sectPr w:rsidR="000F0F8C">
          <w:pgSz w:w="11920" w:h="16840"/>
          <w:pgMar w:top="1480" w:right="1680" w:bottom="280" w:left="1680" w:header="0" w:footer="1073" w:gutter="0"/>
          <w:cols w:space="720"/>
        </w:sectPr>
      </w:pPr>
    </w:p>
    <w:p w:rsidR="000F0F8C" w:rsidRDefault="00F47B44">
      <w:pPr>
        <w:pStyle w:val="1"/>
        <w:snapToGrid w:val="0"/>
        <w:spacing w:beforeLines="0" w:before="240" w:after="240"/>
        <w:rPr>
          <w:rFonts w:ascii="宋体" w:hAnsi="宋体"/>
          <w:szCs w:val="30"/>
        </w:rPr>
      </w:pPr>
      <w:bookmarkStart w:id="4" w:name="_Toc231982072"/>
      <w:r>
        <w:rPr>
          <w:rFonts w:ascii="Times New Roman" w:hAnsi="Times New Roman"/>
          <w:sz w:val="30"/>
        </w:rPr>
        <w:lastRenderedPageBreak/>
        <w:t>一、绪言</w:t>
      </w:r>
      <w:bookmarkEnd w:id="4"/>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先进制造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规定》”）和其他相关法律法规的规定以及《交银施罗德先进制造混合型证券投资基金基金合同》（以下简称“基金合同”）编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变更注册的。本基金管理人没有委托或授权任何其他人提供未在本招募说明书中载明的信息，或对本招募说明书作任何解释或者说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变更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5" w:name="_Toc231982073"/>
      <w:r>
        <w:rPr>
          <w:rFonts w:ascii="Times New Roman" w:hAnsi="Times New Roman"/>
          <w:sz w:val="30"/>
        </w:rPr>
        <w:lastRenderedPageBreak/>
        <w:t>二、释义</w:t>
      </w:r>
      <w:bookmarkEnd w:id="5"/>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1、基金或本基金：指交银施罗德先进制造混合型证券投资基金，本基金由交银施罗德先进制造股票证券投资基金变更而来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4、基金合同：指《交银施罗德先进制造混合型证券投资基金基金合同》及对基金合同的任何有效修订和补充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5、托管协议：指基金管理人与基金托管人就本基金签订之《交银施罗德先进制造混合型证券投资基金托管协议》及对该托管协议的任何有效修订和补充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6、招募说明书或本招募说明书：指《交银施罗德先进制造混合型证券投资基金招募说明书》，及其更新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7、发售公告：指交银施罗德先进制造股票证券投资基金根据《运作办法》变更为混合型基金前的《交银施罗德先进制造股票证券投资基金份额发售公告》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8、基金产品资料概要：指《交银施罗德先进制造混合型证券投资基金基金产品资料概要》及其更新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9、法律法规：指中国现行有效并公布实施的法律、行政法规、司法解释、部门规章、地方性法规、地方政府规章及其他对基金合同当事人有约束力的规范性文件及对该等法律法规不时作出的修订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14、《流动性规定》：指《公开募集开放式证券投资基金流动性风险管理规定》及颁布机关对其不时做出的修订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15、中国：指中华人民共和国，就基金合同而言，不包括香港特别行政区、澳门特别行政区和台湾地区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17、银行业监督管理机构：指中国人民银行和/或中国银行保险监督管理委员会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19、个人投资者：指符合法律法规规定的条件可以投资证券投资基金的自然人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20、机构投资者：指符合法律法规规定可以投资证券投资基金的在中华人民共和国注册登记或经政府有关部门批准设立的机构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投资者：指符合《合格境外机构投资者和人民币合格境外机构投资者境内证券期货投资管理办法》及相关法律法规规定使用来自境外的资金进行境内证券期货投资的境外机构投资者，包括合格境外机构投资者和人民币合格境外机构投资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22、基金投资者或投资者：指个人投资者、机构投资者、合格境外投资者，以及法律法规或中国证监会允许购买证券投资基金的其他投资者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23、基金份额持有人：指依招募说明书和基金合同合法取得基金份额的基金投资者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24、基金销售业务：指基金管理人或销售机构宣传推介基金，销售基金份额，办理基金份额的申购、赎回、转换、转托管及定期定额投资等业务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注册登记业务：指基金登记、存管、过户、清算和结算业务，具体内容包括基金投资者基金账户的建立和管理、基金份额注册登记、基金销售业务的确认、清算和结算、代理发放红利、建立并保管基金份额持有人名册、办理非交易过户业务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27、注册登记机构：指办理注册登记业务的机构。基金的注册登记机构为交银施罗德基金管理有限公司或接受交银施罗德基金管理有限公司委托代为办理注册登记业务的机构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28、基金账户：指注册登记机构为基金投资者开立的、记录其持有的、基金管理人所管理的基金份额余额及其变动情况的账户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29、基金交易账户：指销售机构为基金投资者开立的、记录基金投资者通过该销售机构办理交易业务而引起的基金份额的变动及结余情况的账户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根据2021年12月21日至2022年1月20日基金份额持有人大会审议通过的《关于交银施罗德先进制造混合型证券投资基金调整投资范围及修改基金合同有关事项的议案》所修订的《交银施罗德先进制造混合型证券投资基金基金合同》生效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31、基金合同终止日：指基金合同规定的基金合同终止事由出现后，按照基金合同规定的程序终止基金合同的日期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32、基金募集期：指自交银施罗德先进制造股票证券投资基金基金份额发售之日起至发售结束之日止的期间，最长不得超过3个月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33、存续期：指《交银施罗德先进制造股票证券投资基金基金合同》生效至《交银施罗德先进制造混合型证券投资基金基金合同》终止之间的不定期期限</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35、日：指公历日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36、月：指公历月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37、T日：指销售机构在规定时间受理基金投资者申购、赎回或其他基金业务申请的工作日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38、T+n日：指自T日起第n个工作日（不包含T日）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39、开放日：指为基金投资者办理基金份额申购、赎回或其他业务的工作日（若该工作日为非港股通交易日，则本基金可不开放）</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40、开放时间：指开放日基金接受申购、赎回或其他交易的时间段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41、认购：指在交银施罗德先进制造股票证券投资基金募集期间，基金投资者申请购买基金份额的行为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42、申购：指在基金存续期内，基金投资者按基金合同和招募说明书的规定申请购买基金份额的行为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43、赎回：指在基金存续期内基金份额持有人按基金合同和招募说明书的规定的条件要求申请将基金份额兑换为现金的行为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44、场外：指不通过上海证券交易所的交易系统办理基金份额认购、申购和赎</w:t>
      </w:r>
      <w:r>
        <w:rPr>
          <w:rFonts w:ascii="宋体" w:hAnsi="宋体"/>
          <w:sz w:val="24"/>
        </w:rPr>
        <w:lastRenderedPageBreak/>
        <w:t>回等业务的销售机构和场所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45、场内：指通过上海证券交易所的交易系统办理基金份额认购、申购和赎回等业务的销售机构和场所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46、注册登记系统：指中国证券登记结算有限责任公司开放式基金登记结算系统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47、证券登记结算系统：指中国证券登记结算有限责任公司上海分公司证券登记结算系统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转换：指基金份额持有人按照本基金合同和基金管理人届时有效公告规定的条件，申请将其持有基金管理人管理的、某一基金的基金份额转换为该基金其他份额（如有）或基金管理人管理的其他基金基金份额的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定期定额投资计划：指基金投资者通过有关销售机构提出申请，约定每期申购日、扣款金额及扣款方式，由销售机构在基金投资者指定银行账户内自动完成扣款并于每期约定的申购日提交基金申购申请的一种投资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50、转托管：指基金份额持有人在本基金的不同销售机构之间实施变更所持基金份额销售机构的行为，包括系统内转托管及跨系统转托管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51、系统内转托管：指基金份额持有人将持有的基金份额在注册登记系统内不同销售机构（网点）之间或证券登记结算系统内不同会员单位（交易单元）之间进行转登记的行为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52、跨系统转托管：指基金份额持有人将持有的基金份额在注册登记系统和证券登记结算系统间进行转登记的行为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巨额赎回：指本基金单个开放日，基金净赎回申请（赎回申请份额总数加上基金转换中转出申请份额总数后扣除申购申请份额总数及基金转换中转入申请份额总数后的余额）超过上一工作日基金总份额的10%的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54、元：指人民币元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55、基金利润：指基金利息收入、投资收益、公允价值变动收益和其他收入扣除相关费用后的余额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56、基金资产总值：指基金拥有的各类有价证券、股指期货合约、银行存款本息、基金应收款项及其他资产的价值总和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57、基金资产净值：指基金资产总值减去基金负债后的净资产值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58、基金份额净值：指计算日基金资产净值除以计算日基金份额总数的数值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59、基金资产估值：指计算评估基金资产和负债的价值，以确定基金资产净值和基金份额净值的过程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60、港股通：指内地投资者委托内地证券公司，经由内地证券交易所在香港设立的证券交易服务公司，向香港联合交易所进行申报，买卖规定范围内的香港联合交易所上市的股票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61、销售服务费：指从基金财产中计提的，用于本基金市场推广、销售以及基金份额持有人服务的费用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62、A类基金份额：指在投资人申购时收取申购费用且不从本类别基金资产中计提销售服务费的基金份额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63、C类基金份额：指在投资人申购时不收取申购费用，并从本类别基金资产中计提销售服务费的基金份额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68、规定媒介：指符合中国证监会规定条件的用以进行信息披露的全国性报刊及《信息披露办法》规定的互联网网站（包括基金管理人网站、基金托管人网站、</w:t>
      </w:r>
      <w:r>
        <w:rPr>
          <w:rFonts w:ascii="宋体" w:hAnsi="宋体"/>
          <w:sz w:val="24"/>
        </w:rPr>
        <w:lastRenderedPageBreak/>
        <w:t>中国证监会基金电子披露网站）等媒介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69、《业务规则》：指中国证券登记结算有限责任公司相关业务规则及其不时做出的修订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不可抗力：指基金合同当事人不能预见、不能避免且不能克服，且在基金合同由基金管理人、基金托管人签署之日后发生的，使基金合同当事人无法全部或部分履行基金合同的任何事件，包括但不限于洪水、地震及其他自然灾害、战争、骚乱、火灾、政府征用、没收、法律法规变化、突发停电或其他突发事件、证券/期货交易所非正常暂停或停止交易</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6" w:name="_Toc231982074"/>
      <w:r>
        <w:rPr>
          <w:rFonts w:ascii="Times New Roman" w:hAnsi="Times New Roman"/>
          <w:sz w:val="30"/>
        </w:rPr>
        <w:lastRenderedPageBreak/>
        <w:t>三、基金管理人</w:t>
      </w:r>
      <w:bookmarkEnd w:id="6"/>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郭若先生:香港大学金融学硕士、清华大学工业设计及经济学双学士。8年证券投资行业从业经验。2018年加入交银施罗德基金管理有限公司，曾任行业分析师，现任基金经理。现任交银施罗德启信混合型发起式证券投资基金(2023年03月01日至今)、交银施罗德先进制造混合型证券投资基金(2025年09月15日至今)、交银施罗德远见成长混合型证券投资基金(2025年11月17日至今)的基金经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黄义志先生(2011年06月22日至2012年08月09日)；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张科兵先生(2012年03月13日至2013年04月25日)；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王少成先生(2013年03月21日至2015年08月14日)；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任相栋先生(2015年01月21日至2018年06月22日)；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刘鹏先生(2018年05月29日至2025年09月20日)。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4、按照基金合同的约定确定基金收益分配方案，及时向基金份额持有人分配收益；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2、不利用职务之便为自己、受雇人或任何第三者谋取利益；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w:t>
      </w:r>
      <w:r>
        <w:rPr>
          <w:rFonts w:ascii="宋体" w:hAnsi="宋体"/>
          <w:sz w:val="24"/>
        </w:rPr>
        <w:lastRenderedPageBreak/>
        <w:t>法性、合规性和风险状况进行检查和评估，对公司监察稽核制度的有效性进行评价，监督检查公司财务状况，审计公司的财务报表，评估公司的财务表现，保证公司的财务运作符合法律的要求和通行的会计标准。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公司建立、健全了内控体系，通过高管人员关于内控的明确分工，确保各项业务活动有恰当的组织和授权，确保监察活动独立，并得到高管人员的支持，同时置备操作手册，并定期更新。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7" w:name="_Toc231982075"/>
      <w:r>
        <w:rPr>
          <w:rFonts w:ascii="Times New Roman" w:hAnsi="Times New Roman"/>
          <w:sz w:val="30"/>
        </w:rPr>
        <w:lastRenderedPageBreak/>
        <w:t>四、基金托管人</w:t>
      </w:r>
      <w:bookmarkEnd w:id="7"/>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8" w:name="_Toc231982076"/>
      <w:r>
        <w:rPr>
          <w:rFonts w:ascii="Times New Roman" w:hAnsi="Times New Roman"/>
          <w:sz w:val="30"/>
        </w:rPr>
        <w:lastRenderedPageBreak/>
        <w:t>五、相关服务机构</w:t>
      </w:r>
      <w:bookmarkEnd w:id="8"/>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个人投资者可以通过基金管理人网上直销交易平台办理开户、本基金的申购、赎回、转换及定期定额投资等业务，具体交易细则请参阅基金管理人网站。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（3）名称：杭州银行股份有限公司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（4）名称：华夏银行股份有限公司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（5）名称：江苏银行股份有限公司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客户服务电话：95319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（6）名称：北京银行股份有限公司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（7）名称：中国民生银行股份有限公司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（8）名称：中国农业银行股份有限公司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（9）名称：东莞农村商业银行股份有限公司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办公地址：东莞市东城区鸿福东路2号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（10）名称：江苏常熟农村商业银行股份有限公司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（12）名称：上海银行股份有限公司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传真：（021）68476111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（13）名称：中国建设银行股份有限公司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（14）名称：中国光大银行股份有限公司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（15）名称：交通银行股份有限公司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（16）名称：宁波银行股份有限公司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（17）名称：兴业银行股份有限公司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（18）名称：南京银行股份有限公司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住所：南京市玄武区中山路288号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办公地址：南京市玄武区中山路288号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法定代表人：胡升荣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电话：025-86776111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传真：025-86775054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客户服务电话：95302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网址：www.njcb.com.cn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（19）名称：平安银行股份有限公司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（20）名称：中国工商银行股份有限公司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（21）名称：招商银行股份有限公司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（22）名称：中国邮政储蓄银行股份有限公司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（23）名称：光大证券股份有限公司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电话：（021）22169999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（24）名称：东北证券股份有限公司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住所：长春市自由大路1138号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办公地址：长春市自由大路1138号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法定代表人：矫正中</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电话：（0431）85096709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联系人：潘锴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客户服务电话：4006000686，（0431）85096733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网址：www.nesc.cn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（25）名称：中银国际证券股份有限公司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住所：上海市银城中路200号39层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办公地址：中国上海浦东银城中路200号中银大厦39-40层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客户服务电话：400-620-8888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网址：www.bocichina.com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（26）名称：中国民族证券有限责任公司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住所：北京市西城区金融街5号新盛大厦A座6-9层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办公地址：北京市西城区金融街5号新盛大厦A座6-9层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法定代表人：赵大建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客户服务电话：400-889-5618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网址：www.e5618.com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（27）名称：国投证券股份有限公司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电话：（0755）81688000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（28）名称：中航证券有限公司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（29）名称：财通证券股份有限公司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（30）名称：国信证券股份有限公司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客户服务电话：95536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（31）名称：湘财证券股份有限公司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（32）名称：华龙证券股份有限公司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（33）名称：长城国瑞证券有限公司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（34）名称：爱建证券有限责任公司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住所：上海市南京西路758号24楼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（35）名称：长江证券股份有限公司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（36）名称：招商证券股份有限公司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（37）名称：粤开证券股份有限公司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客服电话：95564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（38）名称：西南证券股份有限公司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（39）名称：信达证券股份有限公司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（40）名称：渤海证券股份有限公司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（41）名称：长城证券有限责任公司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住所：深圳市福田区深南大道6008号特区报业大厦14、16、17层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（42）名称：瑞银证券有限责任公司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（43）名称：中国国际金融股份有限公司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（44）名称：华鑫证券有限责任公司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（45）名称：江海证券有限公司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法定代表人：孙名扬</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（46）名称：申万宏源西部证券有限公司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（47）名称：中国银河证券股份有限公司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（48）名称：申万宏源证券有限公司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网址：www.sywg.com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（49）名称：国都证券股份有限公司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（50）名称：大同证券有限责任公司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（51）名称：国联民生证券股份有限公司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（52）名称：山西证券股份有限公司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客户服务电话：400-666-1618、95573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（53）名称：联储证券有限责任公司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传真：010-86499401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（54）名称：东方财富证券股份有限公司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（55）名称：德邦证券股份有限公司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（56）名称：平安证券股份有限公司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法定代表人：杨宇翔</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（57）名称：中信建投证券股份有限公司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（58）名称：东兴证券股份有限公司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（59）名称：国新证券股份有限公司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网址：www.crsec.com.cn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（60）名称：华泰证券股份有限公司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（61）名称：浙商证券股份有限公司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（62）名称：广发证券股份有限公司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（63）名称：兴业证券股份有限公司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办公地址：上海市浦东新区长柳路36号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（64）名称：中国中金财富证券有限公司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（65）名称：国元证券股份有限公司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（66）名称：方正证券股份有限公司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联系人：张达</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（67）名称：第一创业证券股份有限公司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（68）名称：中原证券股份有限公司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（69）名称：华宝证券股份有限公司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（70）名称：华西证券股份有限公司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住所：四川省成都市高新区天府二街198号华西证券大厦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（71）名称：万联证券股份有限公司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（72）名称：金融街证券股份有限公司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（73）名称：南京证券股份有限公司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电话：（025）58519529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（74）名称：国泰海通证券股份有限公司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（75）名称：中信证券（山东）有限责任公司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（76）名称：中信证券股份有限公司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（77）名称：中信证券华南股份有限公司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（78）名称：开源证券股份有限公司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（79）名称：东方证券股份有限公司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（80）名称：东莞证券股份有限公司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（81）名称：国金证券股份有限公司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（82）名称：中泰证券股份有限公司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（83）名称：华福证券股份有限公司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（84）名称：西部证券股份有限公司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住所：陕西省西安市新城区东新街 319 号 8 幢 10000 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（85）名称：民生证券股份有限公司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（86）名称：北京广源达信基金销售有限公司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（87）名称：天相投资顾问有限公司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传真：（010）66045518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（88）名称：上海中欧财富基金销售有限公司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（89）名称：大连网金基金销售有限公司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（90）名称：阳光人寿保险股份有限公司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网址：http://fund.sinosig.com/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（91）名称：玄元保险代理有限公司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（92）名称：京东肯特瑞基金销售有限公司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（93）名称：上海大智慧基金销售有限公司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（94）名称：和耕传承基金销售有限公司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办公地址：河南自贸试验区郑州片区（郑东）东风南路东康宁街北6号楼5楼503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（95）名称：腾安基金销售（深圳）有限公司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（96）名称：珠海盈米基金销售有限公司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（97）名称：上海华夏财富投资管理有限公司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电话：010-88066632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（98）名称：北京度小满基金销售有限公司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（99）名称：南京苏宁基金销售有限公司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（100）名称：嘉实财富管理有限公司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客户服务电话：400-021-8850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（101）名称：北京汇成基金销售有限公司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（102）名称：上海利得基金销售有限公司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（103）名称：北京虹点基金销售有限公司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（104）名称：上海陆金所基金销售有限公司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住所：上海市浦东新区陆家嘴环路1333号14楼09单元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（105）名称：上海挖财基金销售有限公司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（106）名称：万家财富基金销售（天津）有限公司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（107）名称：上海万得基金销售有限公司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 宋晓言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（108）名称：格上富信投资顾问有限公司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（109）名称：深圳市金斧子基金销售有限公司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（110）名称：北京雪球基金销售有限公司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联系人：武安广</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（111）名称：北京新浪仓石基金销售有限公司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（112）名称：中证金牛（北京）基金销售有限公司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（113）名称：上海证达通基金销售有限公司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网址：www.zdt.fund</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（114）名称：北京创金启富基金销售有限公司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（115）名称：奕丰基金销售有限公司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（116）名称：上海天天基金销售有限公司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（117）名称：和讯信息科技有限公司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住所：北京市朝阳区朝外大街22号泛利大厦10层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（118）名称：诺亚正行基金销售有限公司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（119）名称：上海好买基金销售有限公司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（120）名称：上海长量基金销售有限公司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传真：（021）20691861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（121）名称：深圳众禄基金销售股份有限公司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（122）名称：蚂蚁（杭州）基金销售有限公司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（123）名称：上海基煜基金销售有限公司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客户服务电话：（021）65370077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（124）名称：浙江同花顺基金销售有限公司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（125）名称：宜信普泽（北京）基金销售有限公司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（126）名称：上海联泰基金销售有限公司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（127）名称：深圳市新兰德证券投资咨询有限公司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住所：深圳市福田区华强北路赛格科技园4栋10层1006#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（128）名称：北京展恒基金销售股份有限公司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（129）名称：泛华普益基金销售有限公司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（130）名称：济安财富（北京）基金销售有限公司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电话：010-65309516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（131）名称：博时财富基金销售有限公司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（132）名称：深圳前海微众银行股份有限公司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（133）名称：中信期货有限公司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电话：010-60833754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（134）名称：中国人寿保险股份有限公司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场内销售机构是指由中国证监会核准的具有开放式基金销售资格，并经上海证券交易所和中国证券登记结算有限责任公司认可的上海证券交易所会员（以下简称“有资格的上证所会员”），名单详见上海证券交易所网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传真：（021）31358600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9" w:name="_Toc231982077"/>
      <w:r>
        <w:rPr>
          <w:rFonts w:ascii="Times New Roman" w:hAnsi="Times New Roman"/>
          <w:sz w:val="30"/>
        </w:rPr>
        <w:lastRenderedPageBreak/>
        <w:t>六、基金的历史沿革</w:t>
      </w:r>
      <w:bookmarkEnd w:id="9"/>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交银施罗德先进制造混合型证券投资基金由交银施罗德先进制造股票证券投资基金更名而成。</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先进制造股票证券投资基金经中国证监会证监许可[2011]639号文核准，自2011年5月23日起向社会公开募集，于2011年6月17日结束募集工作，并于2011年6月22日获得中国证监会的书面确认，《交银施罗德先进制造股票证券投资基金基金合同》自该日起生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关于实施&lt;公开募集证券投资基金运作管理办法&gt;有关问题的规定》、《交银施罗德先进制造股票证券投资基金基金合同》及基金管理人于2015年8月5日发布的《交银施罗德基金管理有限公司关于旗下部分基金变更基金类别及修改基金名称并相应修改基金合同和托管协议的公告》，交银施罗德先进制造股票证券投资基金的基金类别自2015年8月8日变更为混合型基金，基金名称由“交银施罗德先进制造股票证券投资基金”修改为“交银施罗德先进制造混合型证券投资基金”。</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2018年2月13日至2018年3月19日交银施罗德先进制造混合型证券投资基金以通讯方式召开基金份额持有人大会，大会于2018年3月20日审议通过了《关于交银施罗德先进制造混合型证券投资基金调整投资范围及修改基金合同有关事项的议案》，内容包括交银施罗德先进制造混合型证券投资基金调整投资范围、投资策略、投资比例限制、业绩比较基准、估值方法及修改基金合同等事项，上述基金份额持有人大会决议事项自表决通过之日起生效。自2018年3月21日起，根据《关于交银施罗德先进制造混合型证券投资基金调整投资范围及修改基金合同有关事项的议案》修改而成的《交银施罗德先进制造混合型证券投资基金基金合同》生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2021年12月21日至2022年1月20日交银施罗德先进制造混合型证券投资基金以通讯方式召开基金份额持有人大会，大会于2022年1月21日审议通过了《关于交银施罗德先进制造混合型证券投资基金调整投资范围及修改基金合同有关事项的议案》，内容包括在交银施罗德先进制造混合型证券投资基金的投资范围中增加港股通标的股票，相应调整投资策略、投资比例限制、业绩比较基准、估值方法等内容，并调整基金赎回费率、增加基金合同自动终止条款、增加C类基金份额、增加侧袋机制相关表述及修改基金合同其他条款等事项，上述基金份额持有人大会决议</w:t>
      </w:r>
      <w:r>
        <w:rPr>
          <w:rFonts w:ascii="宋体" w:hAnsi="宋体"/>
          <w:sz w:val="24"/>
        </w:rPr>
        <w:lastRenderedPageBreak/>
        <w:t>事项自表决通过之日起生效。自2022年1月24日起，根据《关于交银施罗德先进制造混合型证券投资基金调整投资范围及修改基金合同有关事项的议案》修改而成的《交银施罗德先进制造混合型证券投资基金基金合同》生效。</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10" w:name="_Toc231982078"/>
      <w:r>
        <w:rPr>
          <w:rFonts w:ascii="Times New Roman" w:hAnsi="Times New Roman"/>
          <w:sz w:val="30"/>
        </w:rPr>
        <w:lastRenderedPageBreak/>
        <w:t>七、基金的存续</w:t>
      </w:r>
      <w:bookmarkEnd w:id="10"/>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法律法规或监管机构另有规定时，从其规定。</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11" w:name="_Toc231982079"/>
      <w:r>
        <w:rPr>
          <w:rFonts w:ascii="Times New Roman" w:hAnsi="Times New Roman"/>
          <w:sz w:val="30"/>
        </w:rPr>
        <w:lastRenderedPageBreak/>
        <w:t>八、基金份额的申购与赎回</w:t>
      </w:r>
      <w:bookmarkEnd w:id="11"/>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投资者可通过下述场所按照规定的方式进行申购或赎回：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个人投资者可以通过基金管理人网上直销交易平台办理开户、本基金A类基金份额和C类基金份额的申购、赎回、转换及定期定额投资等业务，具体交易细则请参阅基金管理人网站。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2、不通过上海证券交易所交易系统办理相关业务的场外销售机构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本基金的场外销售机构请见本招募说明书“五、相关服务机构”章节或拨打基金管理人客户服务电话进行咨询。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3、通过上海证券交易所交易系统办理相关业务的上海证券交易所会员单位，目前场内交易只支持A类前端基金份额的申购。具体名单详见上海证券交易所网站。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投资者可通过上述场所按照规定的方式进行申购或赎回。本基金管理人可根据情况变更或增减基金销售机构，并在管理人网站公示。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者在开放日申请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本基金A类基金份额已于2011年9月13日起开放申购、赎回业务。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本基金C类基金份额已于2022年1月24日起开放申购、赎回业务。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基金投资者在基金合同约定之外的日期和时间提出申购、赎回或转换申请且登记机构确认接受的，其基金份额申购、赎回价格为下一开放日基金份额申购、赎回的价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（三）申购和赎回的原则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1、“未知价”原则，即基金份额的申购与赎回价格以申请当日收市后计算的基金份额净值为基准进行计算；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2、基金采用金额申购和份额赎回的原则，即申购以金额申请，赎回以份额申请；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4、当日的申购与赎回申请可以在基金管理人规定的时间以内撤销，但申请经登记机构受理的不得撤销；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5、基金管理人在不损害基金份额持有人权益的情况下可更改上述原则，但最迟应在新的原则实施前依照《信息披露办法》的有关规定在规定媒介上公告。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场外申购时，场外销售机构每个账户单笔申购的最低金额为单笔1元，如果销</w:t>
      </w:r>
      <w:r>
        <w:rPr>
          <w:rFonts w:ascii="宋体" w:hAnsi="宋体"/>
          <w:sz w:val="24"/>
        </w:rPr>
        <w:lastRenderedPageBreak/>
        <w:t>售机构业务规则规定的最低单笔申购金额高于1元，以该销售机构的规定为准。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者不受首次申购最低金额的限制。通过基金管理人网上直销交易平台办理基金申购业务的不受直销机构单笔申购最低金额的限制，申购最低金额为单笔1元。本基金直销机构单笔申购最低金额可由基金管理人酌情调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场内申购时，每笔申购金额最低为1000元人民币，同时每笔申购必须是100元的整数倍，并且单笔申购最高不超过99,999,900元。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场外赎回时，赎回的最低份额为1份基金份额，如果销售机构业务规则规定的最低单笔赎回份额高于1份，以该销售机构的规定为准；场内赎回时，赎回的最低份额为50 份基金份额，同时赎回份额必须是整数份额，并且单笔赎回最多不超过99,999,999份基金份额。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5、基金管理人可根据市场情况，在法律法规允许的情况下，调整上述规定的数量或比例限制，基金管理人必须在调整前依照《信息披露办法》的有关规定在规定媒介公告。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投资者必须根据基金销售机构规定的程序，在开放日的业务办理时间向基金销售机构提出申购或赎回的申请。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投资者在申购本基金时须按销售机构规定的方式备足申购资金，否则所提交的</w:t>
      </w:r>
      <w:r>
        <w:rPr>
          <w:rFonts w:ascii="宋体" w:hAnsi="宋体"/>
          <w:sz w:val="24"/>
        </w:rPr>
        <w:lastRenderedPageBreak/>
        <w:t>申购申请不成立。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投资者在提交赎回申请时，必须持有足够的基金份额余额，否则所提交的赎回申请不成立。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 日规定时间受理的申请，正常情况下，注册登记机构在T+1 日内（包括该日）为投资者对该交易的有效性进行确认，基金投资者应在T+2日后（包括该日）及时到销售网点柜台或以销售机构规定的其他方式查询申请的确认情况，否则如因申请未得到注册登记机构的确认而产生的后果，由投资者自行承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基金管理人可以在法律法规允许的范围内，依法对上述申购和赎回申请的确认时间进行调整，并必须在调整实施日前按照《信息披露办法》的有关规定在规定媒介上公告。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销售机构对申购、赎回申请的受理并不代表该申请一定成功，而仅代表销售机构确实接收到申购、赎回申请。申购、赎回申请的确认以注册登记机构的确认结果为准。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立。投资人全额交付申购款项，申购成立；注册登记机构确认基金份额时，申购生效。若申购不成立或无效，基金管理人或基金管理人指定的销售机构将基金投资者已缴付的申购款项本金退还给投资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注册登记机构确认赎回时，赎回生效。基金投资者赎回申请成功后，基金管理人将通过注册登记机构及其相关销售机构在T＋7日（包括该日）内将赎回款项划往基金份额持有人账户。在发生巨额赎回或基金合同载明的其他暂停赎回或延缓支付赎回款项的情形时，款项的支付办法参照基金合同有关条款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4、申购和赎回基金份额的份额注册登记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（1）投资者T 日申购基金成功后，正常情况下，注册登记机构在T＋1 日为投资者增加权益并办理注册登记手续，投资者自T＋2 日（含该日）起有权赎回该部分基金份额。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（2）投资者T 日赎回基金成功后，正常情况下，基金注册登记机构在T＋1 日为投资者扣除权益并办理相应的注册登记手续。</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（3）基金管理人可在法律法规允许的范围内，对上述注册登记办理时间进行调整，并最迟于开始实施前按照《信息披露办法》的有关规定在规定媒介上公告。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提供两种申购费用的支付模式。投资者可以选择前端收费模式，即在申购时支付申购费用；也可以选择后端收费模式，即在赎回时才支付相应的申购费用，该费用随基金份额的持有时间递减。场外申购可以采取前端收费模式和后端收费模式，场内申购目前只支持前端收费模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本基金A类基金份额的申购费用由申购A类基金份额的基金申购人承担，不列入基金财产，主要用于本基金的市场推广、销售、注册登记等各项费用。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投资者可以多次申购本基金，申购费率按每笔申购申请单独计算。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0F0F8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r w:rsidR="000F0F8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持有时间</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类基金份额后端申购费率</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本基金对通过基金管理人直销柜台申购本基金A类前端基金份额的养老金客户实施特定申购费率。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w:t>
      </w:r>
      <w:r>
        <w:rPr>
          <w:rFonts w:ascii="宋体" w:hAnsi="宋体"/>
          <w:sz w:val="24"/>
        </w:rPr>
        <w:lastRenderedPageBreak/>
        <w:t>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通过基金管理人直销柜台申购本基金A类前端基金份额的养老金客户特定申购费率如下表：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0F0F8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类基金份额前端特定申购费率</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有关养老金客户实施特定申购费率的具体规定以及活动时间如有变化，敬请投资人留意基金管理人发布的相关公告。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0F0F8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—6</w:t>
            </w:r>
            <w:r>
              <w:rPr>
                <w:rFonts w:ascii="Times New Roman" w:hAnsi="Times New Roman"/>
                <w:color w:val="000000"/>
                <w:kern w:val="0"/>
                <w:sz w:val="25"/>
                <w:szCs w:val="24"/>
              </w:rPr>
              <w:t>个月</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r>
              <w:rPr>
                <w:rFonts w:ascii="Times New Roman" w:hAnsi="Times New Roman"/>
                <w:color w:val="000000"/>
                <w:kern w:val="0"/>
                <w:sz w:val="25"/>
                <w:szCs w:val="24"/>
              </w:rPr>
              <w:t>个月以上（含）</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上述“月”指的是30个自然日。未归入基金财产的部分用于支付登记费和其他必要的手续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0F0F8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0F0F8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F0F8C" w:rsidRDefault="000F0F8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5、当发生大额申购或赎回情形时，基金管理人可以采用摆动定价机制以确保基金估值的公平性。具体处理原则与操作规范遵循相关法律法规以及监管部门、自律规则的规定。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A类基金份额或C类基金份额的有效份额为按实际确认的申购金额在扣除相应的费用（如有）后，以当日该类基金份额的基金份额净值为基准计算，场外申购份额计算结果保留到小数点后2位，小数点后两位以后的部分四舍五入，由此产生的误差计入基金财产。场内申购有效份额的计算截位保留到整数位，剩余部分折回金额返还投资者，折回金额的计算保留到小数点后两位，小数点两位以后的部分四舍五入，由此产生的误差计入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A类基金份额和C类基金份额有效赎回份额乘以当日基金份额净值并扣除相应的费用（如有），赎回金额计算结果保留到小数点后2位，小数点后两位以后的部分四舍五入，由此产生的误差计入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（1）A类基金份额的申购</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场外申购A类基金份额可以采取前端收费模式和后端收费模式，场内申购A类基金份额目前只支持前端收费模式。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场内申购金额的有效份额保留到整数位，剩余部分对应申购资金返还投资者。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例一：某投资者投资40,000元申购本基金A类基金份额，假设申购当日A类基金份额净值为1.0400元，如果其选择前端收费方式，申购费率为1.5%，则其可得到的申购份额为：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如果投资者是场外申购，申购份额为37,893.14份。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如果投资者是场内申购，则申购份额为37,893份，其余0.14份对应金额返回给投资者。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申购份额＝申购总金额/T日A类基金份额净值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当投资者提出赎回时，后端认购费用的计算方法为：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例二：某投资者投资40,000元申购本基金A类基金份额，假设申购当日A类基金份额净值为1.0400元，如果其选择后端收费方式，则其可得到的申购份额为：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 ＝ 40,000 / 1.0400 ＝ 38,461.54份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即：投资者投资40,000元申购本基金A类基金份额，假设申购当日A类基金份额净值为1.0400元，则可得到38,461.54份A类基金份额，但其在赎回时需根据其持有时间按对应的后端申购费率交纳后端申购费用。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例三：某投资者投资40,000元申购本基金的C类基金份额，假设申购当日C类基金份额净值为1.0400元，则其可得到的申购份额为：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申购份额＝40,000/1.0400＝38,461.54份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即：投资者投资40,000元申购本基金的C类基金份额，假设申购当日C类基金份额净值为1.0400元，则其可得到38,461.54份C类基金份额。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赎回金额为按实际确认的有效赎回份额乘以当日该类基金份额净值并扣除相应的费用，赎回金额单位为元，计算结果保留到小数点后两位，第三位四舍五入。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1）如果投资者在申购A类基金份额时选择交纳前端申购费用，则赎回金额的计算方法如下：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例四：某投资者赎回通过前端申购持有的10,000份A类基金份额，持有期限为30日，对应的赎回费率为0.5%，假设赎回当日A类基金份额净值是1.0160元，则其可得到的赎回金额为：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即：投资者赎回本基金10,000份A类基金份额，假设赎回当日A类基金份额净值是1.0160元，则其可得到的赎回金额为10,109.20元。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2）如果投资者在申购A类基金份额时选择交纳后端申购费用，则赎回金额的计算方法如下：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赎回总额＝赎回份额×T日A类基金份额净值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后端申购费用＝赎回份额×申购日A类基金份额净值×后端申购费率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赎回金额＝赎回总额－后端申购费用－赎回费用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通过后端申购持有的10,000份A类基金份额，持有期限为30日，对应的后端申购费率是1.8%，赎回费率为0.5%，假设赎回当日A类基金份额净值是1.0160元，申购时的A类基金份额净值为1.0100元，则其可得到的赎回金额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赎回总额=10,000×1.0160=10,160元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后端申购费用=10,000×1.0100×1.8%=181.80元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赎回费用=10,160×0.5%=50.80元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赎回金额=10,160-181.80-50.80=9,927.40元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对应的赎回费率为0.5%，假设赎回当日A类基金份额净值是1.0160元，投资者对应的后端申购费率是1.8%，申购时的A类基金份额净值为1.0100元，则其可得到的赎回金额为9,927.40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例六：某投资者赎回持有的10,000份C类基金份额，假设持有时间为20日，对应的赎回费率为0.5%，假设赎回当日C类基金份额净值是1.0160元，则其可得到的赎回金额为：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即：投资者赎回本基金10,000份C类基金份额，假设持有时间为20日，对应的赎回费率为0.5%，假设赎回当日C类基金份额净值是1.0160元，则其可得到的赎回金额为10,109.20元。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w:t>
      </w:r>
      <w:r>
        <w:rPr>
          <w:rFonts w:ascii="宋体" w:hAnsi="宋体"/>
          <w:sz w:val="24"/>
        </w:rPr>
        <w:lastRenderedPageBreak/>
        <w:t>总数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公告。遇特殊情况，经中国证监会同意，可以适当延迟计算或公告。本基金A类基金份额和C类基金份额的份额净值的计算，均保留到小数点后4位，小数点后第5位四舍五入，由此产生的收益或损失由基金财产承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（八）拒绝或暂停申购的情形及处理方式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发生下列情况时，基金管理人可拒绝或暂停接受基金投资者的申购申请：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2、证券/期货交易所交易时间非正常停市或港股通临时停市，导致基金管理人无法计算当日基金资产净值；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3、发生基金合同规定的暂停基金资产估值情况；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4、基金资产规模过大，使基金管理人无法找到合适的投资品种，或基金管理人认为会损害已有基金份额持有人利益的其他情形；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5、基金管理人认为会有损于现有基金份额持有人利益的某笔申购；</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6、基金管理人接受某笔或者某些申购申请有可能导致单一投资者持有基金份额的比例超过50%，或者变相规避50%集中度的。出现上述情形时，基金管理人有权将上述申购申请全部或部分确认失败；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基金估值，并采取暂停接受基金申购申请的措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5、6项以外的暂停申购情形之一且基金管理人决定暂停接受投资人的申购申请时，基金管理人应当根据有关规定在规定媒介上刊登暂停申购公告。如果基金投资者的申购申请被拒绝，被拒绝的申购款项将退还给投资者。在暂停申购的情况消除时，基金管理人应及时恢复申购业务的办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（九）暂停赎回或者延缓支付赎回款项的情形及处理方式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发生下列情形时，基金管理人可暂停接受基金投资者的赎回申请或延缓支付赎回款项：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2、证券/期货交易所交易时间非正常停市或港股通临时停市，导致基金管理人无法计算当日基金资产净值；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3、连续两个或两个以上开放日发生巨额赎回；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4、发生基金合同规定的暂停基金资产估值情况；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基金估值，并采取延缓支付赎回款项或暂停接受基金赎回申请的措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6、法律法规规定、中国证监会认定或基金合同约定的其他情形。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及时报中国证监会备案，已成功确认的赎回申请，基金管理人应足额支付；如暂时不能足额支付，可延期支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上述第3项所述情形，按基金合同的相关条款处理。投资者在申请赎回时可事先选择将当日可能未获受理部分予以撤销。暂停赎回或延缓支付款项的场内处理，按照上海证券交易所及中国证券登记结算有限责任公司的有关规定办理。在暂停赎回的情况消除时，基金管理人应及时恢复赎回业务的办理并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（1）巨额赎回的场外处理方式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1）全额赎回：当基金管理人认为有能力支付基金投资者的赎回申请时，按正常赎回程序执行。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基金投资者的赎回申请有困难或认为支付投资者的赎回申请而进行的财产变现可能会对基金资产净值造成较大波动时，基金管理人在当日接受赎回比例不低于上一工作日基金总份额的10%的前提</w:t>
      </w:r>
      <w:r>
        <w:rPr>
          <w:rFonts w:ascii="宋体" w:hAnsi="宋体"/>
          <w:sz w:val="24"/>
        </w:rPr>
        <w:lastRenderedPageBreak/>
        <w:t>下，对其余赎回申请延期办理。对于当日的赎回申请，应当按单个账户赎回申请量占赎回申请总量的比例，确定当日受理的赎回份额；基金投资者未能赎回部分，投资者在提交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下一开放日的基金份额净值为基础计算赎回金额，并以此类推，直到全部赎回为止。如基金投资者在提交赎回申请时未作明确选择，投资者未能赎回部分作自动延期赎回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（2）巨额赎回的场内处理方式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当发生巨额赎回并延期赎回时，基金管理人应当通过邮寄、传真、刊登公告或者通知基金销售机构代为告知等方式在3个交易日内通知基金份额持有人，说明有关处理方法，并在2日内在规定媒介上刊登公告。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连续2日以上（含本数）发生巨额赎回，如基金管理人认为有必要，可暂停接受基金的赎回申请；已经确认成功的赎回申请可以延缓支付赎回款项，但不得超过20个工作日，并应当在规定媒介上进行公告。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2、暂停结束，基金重新开放申购或赎回时，基金管理人应依照《信息披露管理办法》的有关规定，在规定媒介上刊登基金重新开放申购或赎回公告，并公告最近1个工作日各类基金份额的基金份额净值。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（十二）转托管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本基金的份额采用分系统登记的原则。场外申购的基金份额登记在注册登记系统基金份额持有人开放式基金账户下；场内申购的基金份额登记在证券登记结算系统基金份额持有人上海证券账户下。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系统内转托管是指基金份额持有人将持有的基金份额在注册登记系统内不同销售机构之间或证券登记结算系统内不同会员单位之间进行转登记的行为。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2、跨系统转托管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（1）跨系统转托管是指基金份额持有人将持有的基金份额在注册登记系统和证券登记结算系统之间进行转登记的行为。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（2）本基金跨系统转托管的具体业务按照中国证券登记结算有限责任公司的相关规定办理。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基金管理人、注册登记机构、办理转托管的销售机构因技术系统性能限制或其它合理原因，可以暂停该业务或者拒绝基金份额持有人的转托管申请。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（十三）定期定额投资计划</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2011年9月7日刊登公告自2011年9月13日起开通A类基金份额的定期定额投资计划业务，本基金2022年2月23日刊登公告自2022年2月28日起开通C类基金份额的定期定额投资计划业务，具体开通销售机构名单和业务规则参见相关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（十四）基金的非交易过户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指注册登记机构受理继承、捐赠、司法强制执行和经注册登记机构认可的其它情况而产生的非交易过户。无论在上述何种情况下，接受划转的主体必须是依法可以持有本基金基金份额的投资者。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w:t>
      </w:r>
      <w:r>
        <w:rPr>
          <w:rFonts w:ascii="宋体" w:hAnsi="宋体"/>
          <w:sz w:val="24"/>
        </w:rPr>
        <w:lastRenderedPageBreak/>
        <w:t>额强制划转给其他自然人、法人或其他组织。办理非交易过户必须提供注册登记机构要求提供的相关资料，对于符合条件的非交易过户申请按注册登记机构的有关规定办理，并按注册登记机构规定的标准收费。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（十六）实施侧袋机制期间本基金的申购与赎回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本基金实施侧袋机制的，本基金的申购和赎回安排详见招募说明书“侧袋机制”部分的规定或相关公告。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（十七）其他业务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12" w:name="_Toc231982080"/>
      <w:r>
        <w:rPr>
          <w:rFonts w:ascii="Times New Roman" w:hAnsi="Times New Roman"/>
          <w:sz w:val="30"/>
        </w:rPr>
        <w:lastRenderedPageBreak/>
        <w:t>九、基金的转换</w:t>
      </w:r>
      <w:bookmarkEnd w:id="12"/>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2011年9月7日刊登公告自2011年9月13日起开放A类基金份额的日常转换业务，本基金2022年2月23日刊登公告自2022年2月28日起开放C类基金份额的日常转换业务。本基金2025年10月23日刊登公告自2025年10月23日起开放开通同一基金不同类别基金份额转换业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（四）基金转换的数额限制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转出基金的赎回费用及归入基金财产的比例按照各基金最新的更新招募说明书及相关公告规定的赎回费率和计费方式收取。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w:t>
      </w:r>
      <w:r>
        <w:rPr>
          <w:rFonts w:ascii="宋体" w:hAnsi="宋体"/>
          <w:sz w:val="24"/>
        </w:rPr>
        <w:lastRenderedPageBreak/>
        <w:t>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6、基金管理人可以根据法律法规及基金合同的规定对上述收费方式和费率进行调整，并应于调整后的收费方式和费率在实施前依照《信息披露办法》的有关规定在中国证监会规定媒介上公告。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w:t>
      </w:r>
      <w:r>
        <w:rPr>
          <w:rFonts w:ascii="宋体" w:hAnsi="宋体"/>
          <w:sz w:val="24"/>
        </w:rPr>
        <w:lastRenderedPageBreak/>
        <w:t>五入，误差部分归基金财产。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w:t>
      </w:r>
      <w:r>
        <w:rPr>
          <w:rFonts w:ascii="宋体" w:hAnsi="宋体"/>
          <w:sz w:val="24"/>
        </w:rPr>
        <w:lastRenderedPageBreak/>
        <w:t>元，交银货币的基金份额净值为1.00元。若该投资者将100,000份交银货币A级基金份额转换为交银增利A类基金份额，则转入确认的交银增利A类基金份额为：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w:t>
      </w:r>
      <w:r>
        <w:rPr>
          <w:rFonts w:ascii="宋体" w:hAnsi="宋体"/>
          <w:sz w:val="24"/>
        </w:rPr>
        <w:lastRenderedPageBreak/>
        <w:t>一年半，转换申请当日交银先锋的A类基金份额净值为1.2500元，交银货币的基金份额净值为1.00元。若该投资者将100,000份交银先锋后端A类基金份额转换为交银货币，则转入交银货币的基金份额为：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w:t>
      </w:r>
      <w:r>
        <w:rPr>
          <w:rFonts w:ascii="宋体" w:hAnsi="宋体"/>
          <w:sz w:val="24"/>
        </w:rPr>
        <w:lastRenderedPageBreak/>
        <w:t>申购状态。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前一工作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13" w:name="_Toc231982081"/>
      <w:r>
        <w:rPr>
          <w:rFonts w:ascii="Times New Roman" w:hAnsi="Times New Roman"/>
          <w:sz w:val="30"/>
        </w:rPr>
        <w:lastRenderedPageBreak/>
        <w:t>十、基金的投资</w:t>
      </w:r>
      <w:bookmarkEnd w:id="13"/>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 投资理念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中国传统工业已经发展到一定程度，未来经济发展的动力源自新兴产业和装备升级。在“中国制造”向“中国智造”的战略升级过程中，本基金可以通过专业研究挖掘相关行业的投资机会。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（二）投资目标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本基金通过重点投资于与先进制造主题相关的优质企业，把握中国产业结构升级的投资机会，在控制风险并保持基金资产良好的流动性的前提下，力争实现基金资产的长期稳定增值。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（三）投资范围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科创板以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资产支持证券、股指期货以及法律法规或中国证监会允许基金投资的其他金融工具（但须符合中国证监会的相关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（四）投资对象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50%-95%（其中投资于港股通标的股票的比例占股票资产的0%-50%），投资于先进制造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（五）业绩比较基准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沪深300指数收益率×55%+恒生指数收益率×5%+中证综合债券指数收益率×40%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公司编制和维护，是在上海和深圳证券市场中选取300只A股作为样本编制而成。该指数样本对沪深市场的覆盖度高，具有良好的市场代表性，投资者可以方便地从报纸、互联网等财经媒介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根据本基金的投资范围和投资比例，选用上述业绩比较基准能够客观、合理地反映本基金的风险收益特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市场推出更符合本基金投资目标和风险收益特征的指数，又或者今后法律法规发生变化，则本基金将视情况按照监管部门要求履行相关程序后调整本基金的业绩比较基准并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（六）投资策略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本基金充分发挥基金管理人的研究优势，将严谨、规范化的选股方法与积极主动的投资风格相结合，自下而上挖掘与先进制造主题相关的上市公司投资机会，以谋求良好收益。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自上而下”的定性分析和定量分析相结合形成对不同资产市场表现的预测和判断，确定基金资产在沪深A股、港股、债券及货币市场工具等各类别资产间的分配比例，并随着各类证券风险收益特征的相对变化，动态调整组合中各类资产的比例，以规避或控制市场风险，提高基金收益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具体操作中，基金管理人采用经济周期理论下的资产配置模型，通过对宏观经济运行指标、利率和货币政策等相关因素的分析，对中国的宏观经济运行情况进行判断和预测，然后利用经济周期理论确定基金资产在各类别资产间的战略配置策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（1）先进制造主题的范畴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的先进制造，是指在中国经济和制造行业转型升级的大背景下，立足我国国情和科技、产业基础，通过信息化与工业化的深度融合，运用先进的科技技术、材料工艺以及生产方式，推进制造行业生产过程智能化、自动化和制造领域的互联网化，全面提升企业研发、生产、管理和服务水平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本基金将“先进制造”主题聚焦于以下两方面：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是聚焦满足国家战略需求的先进制造业：考虑到中国所处的发展阶段和制造行业转型升级过程中的实际情况，基金管理人将在充分结合中国的实际国情的基础上，重点配置符合国家战略需求的先进制造业领域，例如核心基础零部件、先进基础工艺、关键基础材料等制造业基础产业领域，也包括根据战略性新兴产业的特征，持续跟踪国家相关政策，深度挖掘如与新一代信息技术、高端装备、新材料相关的制造业新兴产业领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是聚焦制造行业生产过程智能化、自动化和制造领域的互联网化，包括具备深度感知、智慧决策、自动执行功能的高档数控机床、工业机器人、增材制造装备、农机装备等智能制造装备以及智能化生产线，同时包括基于互联网的个性化定制、众包设计、云制造等新型制造模式和基于消费需求动态感知的研发、制造和产业组织方式所产生的制造应用领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如果随着先进制造范畴的变化及发展、政策或市场环境变化导致本基金对先进制造界定范围发生变动，本基金在履行适当程序后可调整上述界定标准。本基金由于上述原因调整界定范围应及时告知基金托管人，并在更新的招募说明书中进行公告。若因本基金界定先进制造主题的方法调整或者上市公司经营发生变化等原因导致本基金持有的先进制造主题相关证券的比例低于非现金基金资产的80%，本基金将在十个交易日之内进行调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（2）股票选择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本基金综合运用交银施罗德股票研究分析方法和其它投资分析工具，充分发挥</w:t>
      </w:r>
      <w:r>
        <w:rPr>
          <w:rFonts w:ascii="宋体" w:hAnsi="宋体"/>
          <w:sz w:val="24"/>
        </w:rPr>
        <w:lastRenderedPageBreak/>
        <w:t>研究团队“自下而上”的主动选股能力，精选具有投资潜力的股票构建投资组合。具体分以下两个层次进行股票挑选：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筛选出在公司治理、财务及管理品质上符合基本品质要求的上市公司，构建备选股票池。主要筛选指标包括：</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盈利能力指标：如市盈率（P/E）、市现率（P/Cash Flow）、股价与每股自由现金流比率（P/FCF）、市销率（P/S）、股价与每股息税前利润比率（P/EBIT）等；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经营效率指标：如净资产收益率（ROE）、资产收益率（ROA）、经营资产回报率（Return on operating assets）等；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财务状况指标：如资产负债率（D/A）、流动比率等。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在公司备选股票池基础上，本基金将进一步通过对备选上市公司详实的案头分析和深入的实地调研，以定性与定量相结合的方法对公司价值进行综合评估，构建本基金风格池。具体从三方面进行系统分析：</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行业分析</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该部分主要通过对公司所处行业的基本面、主题投资机会、行业整合机会、行业市场表现以及行业的估值情况进行综合考察，把握影响公司所在行业的发展前景和整体投资机会。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公司质量评价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本基金对公司质量的评价主要包括企业财务状况、企业的成长动力以及公司治理、管理层评价等方面。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首先，通过深入的财务分析对公司状况及经营能力进行细致考察，探究企业竞争优势和经营绩效间的内在模式，寻找财务状况良好、信用评价高的企业，并为后续的估值判断提供基础（具体指标包括公司ROE和调整后ROE，ROE历史变化率和ROE预测变化率，营业利润/税前利润；利息保障倍数，经营现金流/净利润，折旧/资本支出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其次，本基金通过企业的全球化动力、产业结构优化动力、经济增长方式转变动力、区域协调发展动力和制度变革动力等多个角度的分析，进一步考察企业的可持续增长能力。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此外，本基金在考察上市公司是否具有持续投资价值的重要方面，特别注重公司治理和管理层评价，通过研究员与公司的直接接触和实地调研加强对公司的深入了解，从而确定公司是否有意愿持续为股东创造价值，董事会和管理层是否有良好的战略执行能力等。其中公司治理主要从公司的信息披露、重要股东状况、激励约束机制等方面进行综合考察。管理层评价则注重管理层素质、战略思维、执行能力、过往经营业绩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估值水平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如PE、PB、EV/EBITDA、DCF模型等）对公司的内在价值进行评估，筛选出估值具有吸引力的公司作为投资目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最后，本基金根据对个股价值的评估和市场机会的判断构建股票组合。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（3）存托凭证的投资策略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（4）港股通标的股票投资策略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4、可转换债券与可交换公司债券投资策略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对于可转换债券与可交换公司债券股性的研究将完全依托于公司投研团队对标的股票的研究，在此基础上利用可转换债券与可交换公司债券定价模型，充分考虑转债发行后目标转债标的股票股价波动率可能出现的变化，对目标转债的股性进行合理定价。通过对标的转债股性与债性的合理定价，力求寻找出被市场低估的品种，构建本基金可转换债券与可交换公司债券的投资组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（七）投资组合限制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本基金的投资组合应遵循以下限制：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（1）股票资产（含存托凭证）占基金资产的50%-95%（其中投资于港股通标的股票的比例占股票资产的0%-50%），投资于先进制造主题相关证券的比例不低于非现金基金资产的80%；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w:t>
      </w:r>
      <w:r>
        <w:rPr>
          <w:rFonts w:ascii="宋体" w:hAnsi="宋体"/>
          <w:sz w:val="24"/>
        </w:rPr>
        <w:lastRenderedPageBreak/>
        <w:t>内地和香港同时上市的A+H股合计计算），不超过该证券的10%，完全按照有关指数的构成比例进行证券投资的基金品种可以不受此条款规定的比例限制；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（7）本基金与私募类证券资管产品及中国证监会认定的其他主体为交易对手开展逆回购交易的，可接受质押品的资质要求应当与基金合同约定的投资范围保持一致；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（14）本基金进入全国银行间同业市场进行债券回购的资金余额不得超过基金资产净值的40%；本基金在全国银行间同业市场中的债券回购最长期限为1年，债券回购到期后不得展期；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（15）当本基金投资股指期货时，则：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1）本基金在任何交易日日终，持有的买入股指期货合约价值，不得超过基金资产净值的10%；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6）项、第（7）项、第（12）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约定。在上述期间内，本基金的投资范围、投资策略应当符合基金合同的约定。基金托管人对基金的投资的监督与检查自基金合同生效之日起开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法律法规对上述投资组合比例限制进行变更的，以变更后的规定为准。法律法规或监管部门取消上述限制，如适用于本基金，则本基金投资不再受相关限制。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（八）禁止行为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5、向其基金管理人、基金托管人出资；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若法律、行政法规或监管部门取消上述禁止性规定，如适用于本基金，基金管理人在履行适当程序后，本基金投资可不受上述规定限制。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w:t>
      </w:r>
      <w:r w:rsidRPr="00BB248E">
        <w:rPr>
          <w:rFonts w:ascii="宋体" w:hAnsi="宋体" w:hint="eastAsia"/>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（十）风险收益特征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（十一）基金管理人代表基金行使股东及债权人权利的处理原则及方法</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1、基金管理人按照国家有关规定代表基金独立行使股东和债权人权利，保护基金份额持有人的利益；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（十二）侧袋机制的实施和投资运作安排</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侧袋机制实施期间，本部分约定的投资组合比例、投资策略、组合限制、业绩比较基准、风险收益特征等约定仅适用于主袋账户。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侧袋账户的实施条件、实施程序、运作安排、投资安排、特定资产的处置变现和支付等对投资者权益有重大影响的事项详见招募说明书“侧袋机制”部分的规定。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（十三）基金投资组合报告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本报告期为2026年01月01日起至03月31日止。本报告财务资料未经审计师审计。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2,990,594,805.25</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76.77</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2,990,594,805.25</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76.77</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232,075,860.27</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5.96</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232,075,860.27</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5.96</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667,492,056.86</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17.13</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5,433,684.59</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3,895,596,406.97</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注：本基金本报告期末通过港股通机制投资香港股票的公允价值为389,675,591.29元，占基金资产净值比例为10.12%。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80,703,396.00</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2.10</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226,126,158.01</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5.87</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2,240,924,783.72</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58.20</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22,167,507.51</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0.58</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21,739.80</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30,915,225.40</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0.80</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60,403.52</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2,600,919,213.96</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67.55</w:t>
            </w:r>
          </w:p>
        </w:tc>
      </w:tr>
    </w:tbl>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152,461,077.92</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3.96</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125,409,380.31</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3.26</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48,268,538.11</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1.25</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41,385,632.40</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1.07</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21,909,018.02</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0.57</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208,941.29</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31,650.10</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房地产</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1,353.14</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389,675,591.29</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10.12</w:t>
            </w:r>
          </w:p>
        </w:tc>
      </w:tr>
    </w:tbl>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605117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德业股份</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1,329,034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174,714,809.64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4.54</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370,496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164,070,448.64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4.26</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睿创微纳</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1,602,981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162,221,677.20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4.21</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300677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英科医疗</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2,683,691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157,478,987.88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4.09</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275,783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157,033,598.03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4.08</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02259 HK</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紫金黄金国际</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991,800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152,461,077.92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3.96</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000975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山金国际</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4,916,200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145,912,816.00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3.79</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293,400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125,383,844.52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3.26</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603986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兆易创新</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508,300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121,026,230.00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3.14</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600499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科达制造</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7,186,900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114,199,841.00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2.97</w:t>
            </w:r>
          </w:p>
        </w:tc>
      </w:tr>
    </w:tbl>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232,075,860.27</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6.03</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232,075,860.27</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6.03</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232,075,860.27</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6.03</w:t>
            </w:r>
          </w:p>
        </w:tc>
      </w:tr>
    </w:tbl>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250431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2,300,000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232,075,860.27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6.03</w:t>
            </w:r>
          </w:p>
        </w:tc>
      </w:tr>
    </w:tbl>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w:t>
      </w:r>
      <w:r>
        <w:rPr>
          <w:rFonts w:ascii="宋体" w:hAnsi="宋体"/>
          <w:sz w:val="24"/>
        </w:rPr>
        <w:lastRenderedPageBreak/>
        <w:t>投资明细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w:t>
      </w:r>
      <w:r>
        <w:rPr>
          <w:rFonts w:ascii="宋体" w:hAnsi="宋体"/>
          <w:sz w:val="24"/>
        </w:rPr>
        <w:lastRenderedPageBreak/>
        <w:t>监管部门立案调查，或在报告编制日前一年内受到公开谴责、处罚的情形。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1,679,089.64</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3,754,594.95</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right"/>
              <w:rPr>
                <w:rFonts w:ascii="宋体" w:hAnsi="宋体"/>
                <w:color w:val="000000"/>
                <w:kern w:val="0"/>
                <w:sz w:val="25"/>
                <w:szCs w:val="24"/>
              </w:rPr>
            </w:pPr>
            <w:r>
              <w:rPr>
                <w:rFonts w:ascii="Times New Roman" w:hAnsi="Times New Roman"/>
                <w:color w:val="000000"/>
                <w:kern w:val="0"/>
                <w:sz w:val="25"/>
                <w:szCs w:val="24"/>
              </w:rPr>
              <w:t>5,433,684.59</w:t>
            </w:r>
          </w:p>
        </w:tc>
      </w:tr>
    </w:tbl>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14" w:name="_Toc231982082"/>
      <w:r>
        <w:rPr>
          <w:rFonts w:ascii="Times New Roman" w:hAnsi="Times New Roman"/>
          <w:sz w:val="30"/>
        </w:rPr>
        <w:lastRenderedPageBreak/>
        <w:t>十一、基金的业绩</w:t>
      </w:r>
      <w:bookmarkEnd w:id="14"/>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（1）交银先进制造混合A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5.89%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-1.93%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7.82%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47.83%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11.43%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36.40%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5.42%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12.74%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-7.32%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-24.11%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-5.09%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-19.02%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-14.70%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-2.66%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37.48%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38.24%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75.57%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17.63%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57.94%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60.01%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23.09%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36.92%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-15.15%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-4.94%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15.69%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-4.28%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19.97%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2.59%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1.71%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-12.87%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15.46%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100.68%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2.77%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46.73%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2.13%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53.95%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14.05%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28.79%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-14.74%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33.76%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20.83%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12.93%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3.11%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-2.54%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5.65%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-16.40%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-17.21%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bl>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（2）交银先进制造混合C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阶段</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5.78%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-1.93%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7.71%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47.23%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11.43%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35.80%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12.74%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-7.74%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-24.43%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-5.09%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-19.34%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0F0F8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w:t>
            </w:r>
            <w:r>
              <w:rPr>
                <w:rFonts w:ascii="Times New Roman" w:hAnsi="Times New Roman"/>
                <w:color w:val="000000"/>
                <w:kern w:val="0"/>
                <w:sz w:val="25"/>
                <w:szCs w:val="24"/>
              </w:rPr>
              <w:t>月</w:t>
            </w:r>
            <w:r>
              <w:rPr>
                <w:rFonts w:ascii="Times New Roman" w:hAnsi="Times New Roman"/>
                <w:color w:val="000000"/>
                <w:kern w:val="0"/>
                <w:sz w:val="25"/>
                <w:szCs w:val="24"/>
              </w:rPr>
              <w:t>25</w:t>
            </w:r>
            <w:r>
              <w:rPr>
                <w:rFonts w:ascii="Times New Roman" w:hAnsi="Times New Roman"/>
                <w:color w:val="000000"/>
                <w:kern w:val="0"/>
                <w:sz w:val="25"/>
                <w:szCs w:val="24"/>
              </w:rPr>
              <w:t>日至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-8.18%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-10.63%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2.45%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bl>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业绩比较基准自2015年10月1日起，由“75%×申银万国装备制造指数收益率+25%×中信标普全债指数收益率”变更为“75%×申银万国装备制造指数收益率+25%×中证综合债券指数收益率”。详情见本基金管理人于2015年9月28日发布的《交银施罗德基金管理有限公司关于旗下部分基金业绩比较基准变更并修改基金合同相关内容的公告》。 　2、本基金业绩比较基准自2018年3月21日起，由“75%×申银万国装备制造指数收益率+25%×中证综合债券指数收益率”变更为“60%×沪深300指数收益率+40%×中证综合债券指数收益率”。详情见本基金管理人于2018年3月21日发布的《交银施罗德基金管理有限公司关于交银施罗德先进制造混合型证券投资基金基金份额持有人大会表决结果暨决议生效的公告》。 　3、本基金业绩比较基准自2022年1月24日起，由“60%×沪深300指数收益率+40%×中证综合债券指数收益率”变更为“沪深300指数收益率×55%+恒生指数收益率×5%+中证综合债券指数收益率×40%”。详情见本基金管理人于2022年1月24日发布的《交银施罗德基金管理有限公司关于交银施罗德先进制造混合型证券投资基金基金份额持有人大会（二次召开）表决结果暨决议生效的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0F0F8C" w:rsidRDefault="00F47B4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交银施罗德先进制造混合型证券投资基金</w:t>
      </w:r>
    </w:p>
    <w:p w:rsidR="000F0F8C" w:rsidRDefault="00F47B4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0F0F8C" w:rsidRDefault="00F47B4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（2011年6月22日至2026年03月31日）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（1）交银先进制造混合A</w:t>
      </w:r>
    </w:p>
    <w:p w:rsidR="000F0F8C" w:rsidRDefault="00782B8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（2）交银先进制造混合C</w:t>
      </w:r>
    </w:p>
    <w:p w:rsidR="000F0F8C" w:rsidRDefault="00782B8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2、本基金自2022年1月24日起，开始销售C类份额，投资者提交的申购申请于2022年1月25日被确认并将有效份额登记在册。</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15" w:name="_Toc231982083"/>
      <w:r>
        <w:rPr>
          <w:rFonts w:ascii="Times New Roman" w:hAnsi="Times New Roman"/>
          <w:sz w:val="30"/>
        </w:rPr>
        <w:lastRenderedPageBreak/>
        <w:t>十二、基金的财产</w:t>
      </w:r>
      <w:bookmarkEnd w:id="15"/>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基金资产总值是指基金拥有的各类有价证券、股指期货合约、银行存款本息、基金应收款项以及其他资产的价值总和。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基金资产净值是指基金资产总值减去基金负债后的金额。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以基金名义开立银行存款账户，以基金托管人的名义开立证券交易清算资金的结算备付金账户，以基金托管人和本基金联名的方式开立基金证券账户，以本基金的名义开立银行间债券托管账户，基金托管人协助开立股指期货业务相关账户及交易编码。开立的基金专用账户与基金管理人、基金托管人、基金销售机构和注册登记机构自有的财产账户以及其他基金财产账户相独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（四）基金财产的处分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基金托管人和基金销售机构的固有财产，并由基金托管人保管。基金管理人、基金托管人因基金财产的管理、运用或者其他情形而取得的财产和收益归入基金财产。基金管理人、基金托管人可以按基金合同的约定收取管理费、托管费以及基金合同约定的其他费用。基金管理人、基金托管人以其自有财产承担法律责任，其债权人不得对基金财产行使请求冻结、扣押和其他权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基金财产的债权，不得与基金管理人、基金托管人固有财产的债务相抵销；不同基金财产的债权债务，不得相互抵销。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16" w:name="_Toc231982084"/>
      <w:r>
        <w:rPr>
          <w:rFonts w:ascii="Times New Roman" w:hAnsi="Times New Roman"/>
          <w:sz w:val="30"/>
        </w:rPr>
        <w:lastRenderedPageBreak/>
        <w:t>十三、基金资产的估值</w:t>
      </w:r>
      <w:bookmarkEnd w:id="16"/>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（一）估值目的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基金资产的估值目的是客观、准确地反映基金资产是否保值、增值，并为基金份额提供计价依据。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本基金的估值日为相关的证券/期货交易场所的正常交易日，以及国家法律法规规定需要对外披露基金净值的非交易日。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（三）估值对象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（四）估值原则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w:t>
      </w:r>
      <w:r>
        <w:rPr>
          <w:rFonts w:ascii="宋体" w:hAnsi="宋体"/>
          <w:sz w:val="24"/>
        </w:rPr>
        <w:lastRenderedPageBreak/>
        <w:t>调整并确定公允价值。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（五）估值方法</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w:t>
      </w:r>
      <w:r>
        <w:rPr>
          <w:rFonts w:ascii="宋体" w:hAnsi="宋体"/>
          <w:sz w:val="24"/>
        </w:rPr>
        <w:lastRenderedPageBreak/>
        <w:t>值技术难以可靠计量公允价值的情况下，按成本估值；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5、同一证券同时在两个或两个以上市场交易的，按证券所处的市场分别估值。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6、当发生大额申购或赎回情形时，基金管理人可以采用摆动定价机制，以确保基金估值的公平性。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如基金管理人或基金托管人发现基金估值违反基金合同订明的估值方法、程序及相关法律法规的规定或者未能充分维护基金份额持有人利益时，应立即通知对方，共同查明原因，双方协商解决。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（七）估值错误的处理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对于因技术原因引起的差错，若系同行业现有技术水平无法预见、无法避免、无法抗拒，则属不可抗力，按照下述规定执行。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w:t>
      </w:r>
      <w:r>
        <w:rPr>
          <w:rFonts w:ascii="宋体" w:hAnsi="宋体"/>
          <w:sz w:val="24"/>
        </w:rPr>
        <w:lastRenderedPageBreak/>
        <w:t>正和赔偿损失；</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（八）暂停估值的情形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（九）基金净值的确认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r w:rsidRPr="00BB248E">
        <w:rPr>
          <w:rFonts w:ascii="宋体" w:hAnsi="宋体" w:hint="eastAsia"/>
          <w:b/>
          <w:kern w:val="0"/>
          <w:sz w:val="24"/>
        </w:rPr>
        <w:t>（十）特殊情形的处理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1、基金管理人或基金托管人按估值方法的第8项进行估值时，所造成的误差不作为基金资产估值错误处理。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（十一）实施侧袋机制期间的基金资产估值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17" w:name="_Toc231982085"/>
      <w:r>
        <w:rPr>
          <w:rFonts w:ascii="Times New Roman" w:hAnsi="Times New Roman"/>
          <w:sz w:val="30"/>
        </w:rPr>
        <w:lastRenderedPageBreak/>
        <w:t>十四、基金的收益与分配</w:t>
      </w:r>
      <w:bookmarkEnd w:id="17"/>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1、由于本基金A类基金份额不收取销售服务费，C类基金份额收取销售服务费，各基金份额类别对应的可供分配利润将有所不同；本基金同一基金份额类别的每一基金份额享有同等分配权；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收益分配方式分为两种：现金分红与红利再投资，基金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5、法律法规或监管机构另有规定的从其规定。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基金收益分配方案中应载明基金收益分配基准日可供分配利润、基金收益分配对象、分配时间、分配数额及比例、分配方式等内容。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1、本基金收益分配方案由基金管理人拟定、由基金托管人核实后确定，依照《信息披露办法》的有关规定在规定媒介公告。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2、本基金收益分配的发放日距离收益分配基准日的时间不超过15个工作日。</w:t>
      </w:r>
      <w:r>
        <w:rPr>
          <w:rFonts w:ascii="宋体" w:hAnsi="宋体"/>
          <w:sz w:val="24"/>
        </w:rPr>
        <w:lastRenderedPageBreak/>
        <w:t>在分配方案公布后（依据具体方案的规定），基金管理人就支付的现金红利向基金托管人发送划款指令，基金托管人按照基金管理人的指令及时进行分红资金的划付。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3、法律法规或监管机关另有规定的，从其规定。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（六）收益分配中发生的费用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注册登记机构可将基金份额持有人的现金红利自动转为相应类别的基金份额。红利再投资的计算方法，依照《业务规则》执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投资者可至销售机构办理收益分配方式的修改，投资者对不同的交易账户可设置不同的收益分配方式。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投资者同一日多次申报分红方式变更的，按照《业务规则》执行，最终确认的分红方式以基金注册登记机构记录为准。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18" w:name="_Toc231982086"/>
      <w:r>
        <w:rPr>
          <w:rFonts w:ascii="Times New Roman" w:hAnsi="Times New Roman"/>
          <w:sz w:val="30"/>
        </w:rPr>
        <w:lastRenderedPageBreak/>
        <w:t>十五、基金的费用与税收</w:t>
      </w:r>
      <w:bookmarkEnd w:id="18"/>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3、基金合同生效后的信息披露费用；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4、基金份额持有人大会费用；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5、基金合同生效后与基金有关的会计师费、律师费、仲裁费和诉讼费；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7、基金财产拨划支付的银行费用；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8、基金财产投资运营过程中的增值税；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9、基金的开户费用、账户维护费用；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10、因投资港股通标的股票而产生的各项合理费用；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11、本基金从C类基金份额的基金财产中计提的销售服务费；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12、按照国家有关规定和基金合同约定可以在基金财产中列支的其他费用。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在通常情况下，基金管理费按前一日基金资产净值的1.2%年费率计提。计算方法如下：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H＝E×年管理费率÷当年天数，本基金年管理费率为1.2%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或不可抗力致使无法按时支付的，顺延至最近可支付日支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在通常情况下，基金托管费按前一日基金资产净值的0.2%年费率计提。计算方法如下：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H＝E×年托管费率÷当年天数，本基金年托管费率为0.2%</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或不可抗力致使无法按时支付的，顺延至最近可支付日支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3个工作日内从基金财产中一次性支付给基金管理人，由基金管理人代付给销售机构。若遇法定节假日、休息日或不可抗力致使无法按时支付的，顺延至最近可支付日支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（4）上述“（一）基金费用的种类”中3到10项、第12项费用由基金托管人根据其他有关法律法规及相应协议的规定，按费用支出金额支付，列入或摊入当期基金费用。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本基金转换费的费率水平、计算公式和收取方式详见“基金的转换”一章。</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基金募集期间所发生的信息披露费、律师费和会计师费以及其他费用不从基金财产中支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本基金实施侧袋机制的，与侧袋账户有关的费用可以从侧袋账户中列支，但应待侧袋账户资产变现后方可列支，有关费用可酌情收取或减免，但不得收取管理费，详见招募说明书“侧袋机制”部分的规定。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基金和基金份额持有人根据国家法律法规的规定，履行纳税义务。基金需缴纳的增值税，以基金管理人为纳税人，按照税务机关的要求进行核算，从基金财产中支付。</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19" w:name="_Toc231982087"/>
      <w:r>
        <w:rPr>
          <w:rFonts w:ascii="Times New Roman" w:hAnsi="Times New Roman"/>
          <w:sz w:val="30"/>
        </w:rPr>
        <w:lastRenderedPageBreak/>
        <w:t>十六、基金的会计与审计</w:t>
      </w:r>
      <w:bookmarkEnd w:id="19"/>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6、基金管理人及基金托管人分别保留完整的会计账目、凭证并进行日常的会计核算，按照有关规定编制基金会计报表；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（二）基金的审计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1、基金管理人聘请符合《中华人民共和国证券法》规定的会计师事务所及其注册会计师对本基金年度财务报表及其他规定事项进行审计。会计师事务所及其注册会计师与基金管理人、基金托管人相互独立。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3、基金管理人认为有充足理由更换会计师事务所，须通报基金托管人。更换会计师事务所需按照《信息披露办法》的有关规定在规定媒介公告。</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20" w:name="_Toc231982088"/>
      <w:r>
        <w:rPr>
          <w:rFonts w:ascii="Times New Roman" w:hAnsi="Times New Roman"/>
          <w:sz w:val="30"/>
        </w:rPr>
        <w:lastRenderedPageBreak/>
        <w:t>十七、基金的信息披露</w:t>
      </w:r>
      <w:bookmarkEnd w:id="20"/>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（三）本基金信息披露义务人在承诺公开披露的基金信息时，不得有下列行为：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1、招募说明书、基金合同、托管协议、基金产品资料概要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基金经中国证监会准予变更注册后，基金管理人根据《信息披露办法》的规定将招募说明书、基金合同登载在规定网站上；基金管理人、基金托管人应当将基金合同、托管协议登载在网站上。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2、基金份额申购、赎回价格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3、基金净值信息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在开始办理基金份额申购或者赎回后，基金管理人应当在不晚于每个开放日的次日，通过规定网站、销售机构网站或者营业网点分别披露开放日的A类基金份额</w:t>
      </w:r>
      <w:r>
        <w:rPr>
          <w:rFonts w:ascii="宋体" w:hAnsi="宋体"/>
          <w:sz w:val="24"/>
        </w:rPr>
        <w:lastRenderedPageBreak/>
        <w:t>和C类基金份额所对应的基金份额净值和基金份额累计净值。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4、基金定期报告，包括基金年度报告、基金中期报告和基金季度报告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5、临时报告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本基金发生重大事件，有关信息披露义务人应当在2日内编制临时报告书，并登载在规定报刊和规定网站上。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w:t>
      </w:r>
      <w:r>
        <w:rPr>
          <w:rFonts w:ascii="宋体" w:hAnsi="宋体"/>
          <w:sz w:val="24"/>
        </w:rPr>
        <w:lastRenderedPageBreak/>
        <w:t>事项，基金托管人委托基金服务机构代为办理基金的核算、估值、复核等事项；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（21）本基金采用摆动定价机制进行估值；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（22）发生涉及基金申购、赎回事项调整或潜在影响投资者赎回等重大事项时；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（23）基金推出新业务或服务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（24）本基金连续30个工作日、40个工作日、45个工作日出现基金份额持有人</w:t>
      </w:r>
      <w:r>
        <w:rPr>
          <w:rFonts w:ascii="宋体" w:hAnsi="宋体"/>
          <w:sz w:val="24"/>
        </w:rPr>
        <w:lastRenderedPageBreak/>
        <w:t>数量不满200人或者基金资产净值低于5000万元情形的；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（25）基金信息披露义务人认为可能对基金份额持有人权益或者基金份额的价格产生重大影响的其他事项或中国证监会规定的其他事项。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6、澄清公告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7、基金份额持有人大会决议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8、实施侧袋机制期间的信息披露</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本基金实施侧袋机制的，相关信息披露义务人应当根据法律法规、基金合同和招募说明书的规定进行信息披露，详见招募说明书“侧袋机制”部分的规定。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9、清算报告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10、基金投资股指期货情况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11、基金投资资产支持证券情况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w:t>
      </w:r>
      <w:r>
        <w:rPr>
          <w:rFonts w:ascii="宋体" w:hAnsi="宋体"/>
          <w:sz w:val="24"/>
        </w:rPr>
        <w:lastRenderedPageBreak/>
        <w:t>券总额、资产支持证券市值占基金净资产的比例和报告期末按市值占基金净资产比例大小排序的前10名资产支持证券明细。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12、基金投资流通受限证券情况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流通受限证券，基金管理人应在基金投资非公开发行股票后两个交易日内，在中国证监会规定媒介披露所投资非公开发行股票的名称、数量、总成本、账面价值，以及总成本和账面价值占基金资产净值的比例、锁定期等信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13、基金投资港股通标的股票情况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w:t>
      </w:r>
      <w:r>
        <w:rPr>
          <w:rFonts w:ascii="宋体" w:hAnsi="宋体"/>
          <w:sz w:val="24"/>
        </w:rPr>
        <w:lastRenderedPageBreak/>
        <w:t>常投资操作的前提下，自主提升信息披露服务的质量。具体要求应当符合中国证监会及自律规则的相关规定。前述自主披露如产生信息披露费用，该费用不得从基金财产中列支。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21" w:name="_Toc231982089"/>
      <w:r>
        <w:rPr>
          <w:rFonts w:ascii="Times New Roman" w:hAnsi="Times New Roman"/>
          <w:sz w:val="30"/>
        </w:rPr>
        <w:lastRenderedPageBreak/>
        <w:t>十八、侧袋机制</w:t>
      </w:r>
      <w:bookmarkEnd w:id="21"/>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0F0F8C" w:rsidRDefault="00F47B44">
      <w:pPr>
        <w:pStyle w:val="1"/>
        <w:snapToGrid w:val="0"/>
        <w:spacing w:beforeLines="0" w:before="240" w:after="240"/>
        <w:rPr>
          <w:rFonts w:ascii="宋体" w:hAnsi="宋体"/>
          <w:szCs w:val="30"/>
        </w:rPr>
      </w:pPr>
      <w:bookmarkStart w:id="22" w:name="_Toc231982090"/>
      <w:r>
        <w:rPr>
          <w:rFonts w:ascii="Times New Roman" w:hAnsi="Times New Roman"/>
          <w:sz w:val="30"/>
        </w:rPr>
        <w:lastRenderedPageBreak/>
        <w:t>十九、风险揭示</w:t>
      </w:r>
      <w:bookmarkEnd w:id="22"/>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者将可能无法及时赎回持有的全部基金份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者投资不同类型的基金将获得不同的收益预期，也将承担不同程度的风险。一般来说，基金的收益预期越高，投资者承担的风险也越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w:t>
      </w:r>
      <w:r>
        <w:rPr>
          <w:rFonts w:ascii="宋体" w:hAnsi="宋体"/>
          <w:sz w:val="24"/>
        </w:rPr>
        <w:lastRenderedPageBreak/>
        <w:t>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者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股票、港股通标的股票、债券和货币市场工具等），同时本基金基于分散投资的原则在行业和个券方面未有高集中度的特征，综合评估在正常市场环境下本基金的流动性风险适中。</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（1）巨额赎回的场外处理方式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1)全额赎回：当基金管理人认为有能力支付基金投资者的赎回申请时，按正常赎回程序执行。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基金投资者的赎回申请有困难或认为支付投资者的赎回申请而进行的财产变现可能会对基金资产净值造成较大波动时，基金管理人在当日接受赎回比例不低于上一工作日基金总份额的10%的前提下，对其余赎回申请延期办理。对于当日的赎回申请，应当按单个账户赎回申请量占赎回申请总量的比例，确定当日受理的赎回份额；基金投资者未能赎回部分，投资者在提交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下一</w:t>
      </w:r>
      <w:r>
        <w:rPr>
          <w:rFonts w:ascii="宋体" w:hAnsi="宋体"/>
          <w:sz w:val="24"/>
        </w:rPr>
        <w:lastRenderedPageBreak/>
        <w:t>开放日的基金份额净值为基础计算赎回金额，并以此类推，直到全部赎回为止。如基金投资者在提交赎回申请时未作明确选择，投资者未能赎回部分作自动延期赎回处理。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（2）巨额赎回的场内处理方式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确认成功的赎回申请可以延缓支付赎回款项，但不得超过20个工作日，并应当在规定媒介上进行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w:t>
      </w:r>
      <w:r>
        <w:rPr>
          <w:rFonts w:ascii="宋体" w:hAnsi="宋体"/>
          <w:sz w:val="24"/>
        </w:rPr>
        <w:lastRenderedPageBreak/>
        <w:t>大幅低于启用侧袋机制时的特定资产的估值，基金份额持有人可能因此面临损失。</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1、本基金属于混合型基金，将维持较高的股票持仓比例。如果股票市场出现整体下跌，本基金的净值表现将受到影响。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以先进制造相关行业的上市公司为重点投资对象。在选股策略上本基金特有的风险主要来自两个方面：一是先进制造有关行业板块的表现可能与市场整体表现出现偏差，从而直接影响本基金的业绩表现；二是对上市公司的基本面研究是否准确、深入，对股票的优选和判断是否科学、准确。基本面研究及上市企业分析的错误均可能导致所选择的证券不能完全符合本基金的预期目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3、本基金可投资港股通标的股票，会面临港股通机制下因投资环境、投资标的、市场制度以及交易规则等差异带来的特有风险，具体如下：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w:t>
      </w:r>
      <w:r>
        <w:rPr>
          <w:rFonts w:ascii="宋体" w:hAnsi="宋体"/>
          <w:sz w:val="24"/>
        </w:rPr>
        <w:lastRenderedPageBreak/>
        <w:t>算有限责任公司进行净额换汇，将换汇成本按成交金额分摊至每笔交易，确定交易实际适用的结算汇率。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 股市场规则，此外，在“内地与香港股票市场交易互联互通机制”下参与香港股票投资还将面临包括但不限于如下特殊风险：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 回转交易机制（即当日买入的股票，在交收前可以于当日卖出），且证券交易价格并无涨跌幅上下限的规定，因此每日涨跌幅空间相对较大，可能表现出比A股更为剧烈的股价波动；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w:t>
      </w:r>
      <w:r>
        <w:rPr>
          <w:rFonts w:ascii="宋体" w:hAnsi="宋体"/>
          <w:sz w:val="24"/>
        </w:rPr>
        <w:lastRenderedPageBreak/>
        <w:t>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4、基金合同提前终止风险。连续50个工作日出现基金份额持有人数量不满200人或者基金资产净值低于5000万元情形的，基金合同终止，不需召开基金份额持有人大会。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（七）投资股指期货的特定风险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w:t>
      </w:r>
      <w:r>
        <w:rPr>
          <w:rFonts w:ascii="宋体" w:hAnsi="宋体"/>
          <w:sz w:val="24"/>
        </w:rPr>
        <w:lastRenderedPageBreak/>
        <w:t>是股指期货投资中最主要的风险。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（十）投资存托凭证的特定风险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（十二）其他风险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23" w:name="_Toc231982091"/>
      <w:r>
        <w:rPr>
          <w:rFonts w:ascii="Times New Roman" w:hAnsi="Times New Roman"/>
          <w:sz w:val="30"/>
        </w:rPr>
        <w:lastRenderedPageBreak/>
        <w:t>二十、基金合同的变更、终止与基金财产的清算</w:t>
      </w:r>
      <w:bookmarkEnd w:id="23"/>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照法律法规或基金合同的规定，对基金合同的变更应当召开基金份额持有人大会的，基金合同变更的内容经基金份额持有人大会决议通过后生效，并依法报中国证监会备案，并自决议生效之日起2日内在规定媒介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2.但出现下列情况时，可不经基金份额持有人大会决议，由基金管理人和基金托管人同意变更后公布经修订的基金合同，并报中国证监会备案：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(1)在法律法规和基金合同规定的范围内调整基金的申购费率、调低赎回费率及销售服务费率、变更或增加收费方式；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(2)因相应的法律法规发生变动必须对基金合同进行修改；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(3)基金合同的修改不涉及基金合同当事人权利义务关系发生重大变化；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(4)基金合同的修改对基金份额持有人利益无实质性不利影响；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(5)按照法律法规或基金合同规定不需召开基金份额持有人大会的其他情形。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2、基金管理人职责终止，而在6个月内没有新的基金管理人承接的；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3、基金托管人职责终止，而在6个月内没有新的基金托管人承接的；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4、连续50个工作日出现基金份额持有人数量不满200人或者基金资产净值低于5000万元情形的，基金合同终止，不需召开基金份额持有人大会；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5、基金合同、相关法律法规和中国证监会规定的其他情况。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（1）自出现《基金合同》终止事由之日起30个工作日内，成立基金清算小组，基金清算小组在中国证监会的监督下进行基金清算。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（2）基金清算小组成员由基金管理人、基金托管人、符合《中华人民共和国证券法》规定的注册会计师、律师以及中国证监会指定的人员组成。基金清算小组可以聘用必要的工作人员。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（3）基金清算小组负责基金财产的保管、清理、估价、变现和分配。基金清</w:t>
      </w:r>
      <w:r>
        <w:rPr>
          <w:rFonts w:ascii="宋体" w:hAnsi="宋体"/>
          <w:sz w:val="24"/>
        </w:rPr>
        <w:lastRenderedPageBreak/>
        <w:t>算小组可以依法进行必要的民事活动。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（1）基金合同终止时，由基金清算小组统一接管基金财产；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（2）对基金财产进行清理和确认；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（3）对基金财产进行估价和变现；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（6）聘请律师事务所对清算报告出具法律意见书；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（7）将基金清算结果报告中国证监会；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（8）公布基金清算报告；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（9）对基金剩余财产进行分配。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清算费用是指基金清算小组在进行基金清算过程中发生的所有合理费用，清算费用由基金清算小组优先从基金财产中支付。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清算过程中的有关重大事项须及时公告；基金财产清算结果经会计师事务所审计，律师事务所出具法律意见书后，由基金财产清算小组报中国证监会备案并公告。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24" w:name="_Toc231982092"/>
      <w:r>
        <w:rPr>
          <w:rFonts w:ascii="Times New Roman" w:hAnsi="Times New Roman"/>
          <w:sz w:val="30"/>
        </w:rPr>
        <w:lastRenderedPageBreak/>
        <w:t>二十一、基金合同的内容摘要</w:t>
      </w:r>
      <w:bookmarkEnd w:id="24"/>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（一）基金合同当事人的权利与义务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（1）自本基金合同生效之日起，依照有关法律法规和本基金合同的规定独立运用基金财产；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（2）依照本基金合同获得基金管理人报酬以及法律法规规定或中国证监会批准的其他收入；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（3）依照有关规定为基金的利益行使因基金财产投资于证券所产生的权利；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（4）在符合有关法律法规和本基金合同的前提下，制订和调整有关基金认购、申购、赎回、转换、转托管等业务的规则，决定基金的除调高托管费和管理费之外的费率结构和收费方式；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托管人，对于基金托管人违反了本基金合同或有关法律法规规定的行为，对基金财产、其他基金当事人的利益造成重大损失的情形，应及时呈报中国证监会和银行业监督管理机构，并采取必要措施保护基金及相关基金当事人的利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（6）在基金合同约定的范围内，拒绝或暂停受理申购、赎回和转换申请；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（7）自行担任注册登记机构或选择、更换注册登记机构，并对注册登记机构的代理行为进行必要的监督和检查；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（9）在基金托管人更换时，提名新的基金托管人；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（10）依法召集基金份额持有人大会；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（11）选择、更换律师事务所、会计师事务所、证券/期货经纪商或其他为基金提供服务的外部机构；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（12）根据国家有关规定，在法律法规允许的前提下，为基金的利益依法为基金融资、融券；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（13）法律法规规定的其他权利。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根据《基金法》、《运作办法》及其他有关规定，基金管理人的义务包括但不限于：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（1）依法募集资金，办理或者委托经由证监会认定的其他机构办理基金份额的发售、申购、赎回和注册登记事宜；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（5）建立健全内部风险控制、监察与稽核、财务管理及人事管理等制度，保证所管理的基金财产和基金管理人的财产相互独立，对所管理的不同基金财产分别管理，分别记账，进行证券投资；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（8）计算并公告基金净值信息，确定基金份额申购、赎回价格；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（9）采取适当合理的措施使计算基金份额认购、申购、赎回价格的方法符合基金合同等法律文件的规定；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（10）按规定受理基金份额的申购和赎回申请，及时、足额支付赎回款项；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（11）进行基金会计核算并编制基金财务会计报告；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（12）编制季度报告、中期报告和年度报告；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（13）严格按照《基金法》、基金合同及其他有关规定，履行信息披露及报告义务；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（15）按照基金合同的约定确定基金收益分配方案，及时向基金份额持有人分配收益；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（17）保存基金财产管理业务活动的记录、账册、报表和其他相关资料；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（18）以基金管理人名义，代表基金份额持有人利益行使诉讼权利或者实施其他法律行为；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（19）组织并参加基金财产清算小组，参与基金财产的保管、清理、估价、变现和分配；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（21）基金托管人违反基金合同造成基金财产损失时，应为基金份额持有人利益向基金托管人追偿；</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（22）按规定向基金托管人提供基金份额持有人名册资料；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（23）建立并保存基金份额持有人名册；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（24）面临解散、依法被撤销或者被依法宣告破产时，及时报告中国证监会并通知基金托管人；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（26）不从事任何有损基金及其他基金合同当事人合法权益的活动；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（27）依照法律法规为基金的利益对被投资公司行使股东权利，为基金的利益行使因基金财产投资于证券所产生的权利，不谋求对上市公司的控股和直接管理；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（28）法律法规、基金合同规定的以及中国证监会要求的其他义务。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（1）获得基金托管费；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（2）监督基金管理人对本基金的投资运作；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（3）自本基金合同生效之日起，依法保管基金财产；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（4）在基金管理人更换时，提名新任基金管理人；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财产、其他基金合同当事人的利益造成重大损失的情形，应及时呈报中国证监会，并采取必要措施保护基金及相关基金合同当事人的利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（6）依法召集基金份额持有人大会；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（7）按规定取得基金份额持有人名册；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（8）法律法规规定的其他权利。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基金财产分别设置账户，独立核算，分账管理，保证不同基金之间在名册登记、账户设置、资金划拨、账册记录等方面相互独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（6）按规定开设基金财产的资金账户和证券账户，协助开立股指期货业务相关账户及交易编码、为基金办理证券、期货交易资金清算；</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（9）保存基金托管业务活动的记录、账册、报表和其他相关资料不低于法律法规规定的最低期限；</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（10）按照基金合同的约定，根据基金管理人的投资指令，及时办理清算、交割事宜；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（11）办理与基金托管业务活动有关的信息披露事项；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（12）复核、审查基金管理人计算的基金资产净值、基金份额净值和基金份额申购、赎回价格；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（13）按照规定监督基金管理人的投资运作；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（14）按规定制作相关账册并与基金管理人核对；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（15）依据基金管理人的指令或有关规定向基金份额持有人支付基金收益和赎回款项；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（16）按照规定召集基金份额持有人大会或配合基金管理人、基金份额持有人依法自行召集基金份额持有人大会；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（17）因违反基金合同导致基金财产损失，应承担赔偿责任，其赔偿责任不因其退任而免除；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（18）按规定监督基金管理人按照法律法规规定和基金合同履行其义务，基金管理人因违反基金合同造成基金财产损失时，应为基金向基金管理人追偿；</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（19）根据本基金合同和托管协议规定建立并保存基金份额持有人名册；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（20）参加基金财产清算组，参与基金财产的保管、清理、估价、变现和分配；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（21）面临解散、依法被撤销、破产或者由接管人接管其资产时，及时报告中国证监会和银行业监督管理机构，并通知基金管理人；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（22）执行生效的基金份额持有人大会的决议；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（23）法律法规、基金合同规定的以及中国证监会要求的其他义务。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自依招募说明书、基金合同取得基金份额即成为基金份额持有人和基金合同当事人，直至其不再持有本基金的基金份额，其持有基金份额的行为本身即表明其对基金合同的完全承认和接受。基金份额持有人作为基金合同当事人并不以在基金合同上书面签章或签字为必要条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根据《基金法》、《运作办法》及其他有关法律法规的规定，基金份额持有人的权利包括但不限于：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（3）依法转让或者申请赎回其持有的基金份额；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（7）监督基金管理人的投资运作；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根据《基金法》、《运作办法》及其他有关法律法规的规定，基金份额持有人的义务包括但不限于：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（1）遵守法律法规、基金合同及其他有关规定；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（2）缴纳基金认购、申购款项及法律法规、基金合同和招募说明书规定的费用；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（3）在持有的基金份额范围内，承担基金亏损或者基金合同终止的有限责任；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（4）不从事任何有损基金及其他基金份额持有人合法权益的活动；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（5）执行生效的基金份额持有人大会决议；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（6）返还在基金交易过程中因任何原因，自基金管理人、基金托管人、基金销售机构或其他基金份额持有人处获得的不当得利；</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（7）法律法规和基金合同规定的其他义务。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4、本基金合同当事人各方的权利义务以本基金合同为依据，不因基金账户名称而有所改变。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1、基金份额持有人大会由基金份额持有人组成，基金份额持有人的合法授权代表有权代表基金份额持有人出席会议并表决。基金份额持有人持有的每一基金份额拥有平等的投票权。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出现或需要决定下列事由之一的，经基金管理人、基金托管人或单独或合计持有基金份额10%以上（“以上”含本数，下同）的基金份额持有人（以基金管理人收到提议当日的基金份额计算，下同）提议时，应当召开基金份额持有人大会，法律法规和中国证监会另有规定的除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（4）变更基金投资目标、投资范围或投资策略；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（5）变更基金份额持有人大会议事程序；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（7）调整基金管理人、基金托管人的报酬标准或提高销售服务费率；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（9）对基金合同当事人权利、义务产生重大影响，需召开基金份额持有人大会的变更基金合同等其他事项；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（10）法律法规、基金合同或中国证监会规定的其他情形。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在法律法规和本基金合同规定的范围内且对基金份额持有人利益无实质性不利影响的情况下，出现以下情形之一的，可由基金管理人和基金托管人协商后修改，不需召开基金份额持有人大会：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（1）调整基金的申购费率、调低赎回费率及销售服务费率、变更或增加收费方式；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（2）调整基金份额类别设置、对基金份额分类办法及规则进行调整；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（3）因相应的法律法规发生变动必须对基金合同进行修改；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（4）基金合同的修改不涉及本基金合同当事人权利义务关系发生重大变化；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（5）基金合同的修改对基金份额持有人利益无实质性不利影响；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（6）按照法律法规或本基金合同规定不需召开基金份额持有人大会的其他情形。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3、召集人和召集方式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并自出具书面决定之日起60日内召开并告知基金管理人，基金管理人应当配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w:t>
      </w:r>
      <w:r>
        <w:rPr>
          <w:rFonts w:ascii="宋体" w:hAnsi="宋体"/>
          <w:sz w:val="24"/>
        </w:rPr>
        <w:lastRenderedPageBreak/>
        <w:t>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单独或合计代表基金份额10%以上的基金份额持有人有权自行召集基金份额持有人大会，但应当至少提前30日向中国证监会备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4、召开基金份额持有人大会的通知时间、通知内容、通知方式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以下简称“召集人”）负责选择确定开会时间、地点、方式和权益登记日。召开基金份额持有人大会，召集人必须于会议召开日前30日在规定媒介公告。基金份额持有人大会通知须至少载明以下内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（2）会议拟审议的主要事项；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（4）议事程序；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（5）有权出席基金份额持有人大会的基金份额持有人的权益登记日；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（6）授权委托证明的内容要求（包括但不限于代理人身份、代理权限和代理有效期限等）、送达时间和地点；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用通讯方式开会并进行表决的情况下，由召集人决定通讯方式和表决方式，并在会议通知中说明本次基金份额持有人大会所采取的具体通讯方式、委托的公证机关及其联系方式和联系人、表决意见的寄交的截止时间和收取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计票和表决结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5、基金份额持有人出席会议的方式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1）基金份额持有人大会的召开方式包括现场开会、通讯方式开会或法律法规和监管机关允许的其他方式。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2）会议的召开方式由会议召集人确定。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3）现场开会由基金份额持有人本人出席或通过授权委托证明委派其代理人出席，现场开会时基金管理人和基金托管人的授权代表应当出席，基金管理人或基金托管人拒不派代表出席的，不影响表决效力。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4）通讯方式开会指按照本基金合同的相关规定以通讯方式开会的表决方式进行表决。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①经核对、汇总，到会者出示的在权益登记日持有基金份额的凭证显示，全部有效凭证所对应的基金份额应占权益登记日基金总份额的50%以上（含50%，下同）；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亲自出席会议者持有基金份额持有人凭证和受托出席会议者出具的委托人持有基金份额的凭证及授权委托证明等文件符合有关法律法规和基金合同及会议通知的规定，并且持有基金份额的凭证与基金管理人持有的登记资料相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在同时符合以下条件时，通讯会议方可举行：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在基金托管人（如果基金托管人为召集人，则为基金管理人；以下称为“监督人”）和公证机关的监督下按照会议通知规定的方式收取和统计基金份额持有人的表决意见，监督人经通知拒不参加收取和统计表决意见的，不影响表决效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③本人直接出具表决意见或授权他人代表出具表决意见的基金份额持有人所代表的基金份额应占权益登记日基金总份额的50%以上；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直接出具表决意见的基金份额持有人或受托代表他人出具表决意见的代表，同时提交的持有基金份额的凭证和受托出席会议者出具的委托人持有基金份额的凭证和授权委托证明等文件符合法律法规、基金合同和会议通知的规定，并与注册登记机构记录相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在法律法规或监管机构允许的情况下，经会议通知载明，基金份额持有人也可以采用网络、电话或其他方式进行表决，或者采用网络、电话或其他方式授权他人代为出席会议并表决。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6、议事内容与程序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1）议事内容为本基金合同规定的召开基金份额持有人大会事由所涉及的内容以及会议召集人认为需提交基金份额持有人大会讨论的其他事项。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也可以在会议通知发出后向大会召集人提交临时提案。召集人对于临时提案应当在大会召开日前30日公告。否则，会议</w:t>
      </w:r>
      <w:r>
        <w:rPr>
          <w:rFonts w:ascii="宋体" w:hAnsi="宋体"/>
          <w:sz w:val="24"/>
        </w:rPr>
        <w:lastRenderedPageBreak/>
        <w:t>的召开日期应当顺延并保证至少与临时提案公告日期有30日的间隔期。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3）对于基金份额持有人提交的提案（包括临时提案），大会召集人应当按照以下原则对提案进行审核：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大会的召集人发出召开会议的通知后，如果需要对原有提案进行修改，应当最迟在基金份额持有人大会召开日前30日公告。否则，会议的召开日期应当顺延并保证至少与公告日期有30日的间隔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基金管理人和基金托管人不出席或主持基金份额持有人大会，不影响基金份额持有人大会作出的决议的效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召集人应当制作出席会议人员的签名册。签名册载明参加会议人员姓名（或单位名称）、身份证号码、持有或代表有表决权的基金份额、委托人姓名（或单位名称）等事项。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通讯表决开会的方式下，首先由召集人提前30日公布提案，在所通知的表决截止日期后2个工作日内在公证机构监督下由召集人统计全部有效表决并形成决议。如监督人经通知但拒绝到场监督，则在公正机关监督下形成的决议有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7、决议形成的条件、表决方式、程序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（2）基金份额持有人大会决议分为一般决议和特别决议：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一般决议须经出席会议的基金份额持有人及其代理人所持表决权的50%以上通过方为有效，除下列2）所规定的须以特别决议通过事项以外的其他事项均以一般决议的方式通过；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及代理人所持表决权的三分之二以上通过方为有效；更换基金管理人、更换基金托管人、转换基金运作方式、终止基金合同、本基金与其他基金合并（就上述情形，法律法规、《基金合同》和中国证监会另有规定的除外）必须以特别决议通过方为有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（3）基金份额持有人大会决定的事项，应当依法报中国证监会备案，并予以公告。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提交符合会议通知中规定的确认投资者身份文件的表决视为有效出席的投资者，表面符合法律法规和会议通知规定的表决意见即视为有效的表决，表决意见模糊不清或相互矛盾的视为弃权表决，但应当计入出具表决意见的基金份额持有人所代表的基金份额总数。</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（6）基金份额持有人大会的各项提案或同一项提案内并列的各项议题应当分开审议、逐项表决。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w:t>
      </w:r>
      <w:r>
        <w:rPr>
          <w:rFonts w:ascii="宋体" w:hAnsi="宋体"/>
          <w:sz w:val="24"/>
        </w:rPr>
        <w:lastRenderedPageBreak/>
        <w:t>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推举3名基金份额持有人担任监票人。基金管理人或基金托管人不出席大会的，不影响计票的效力及表决结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会议主持人对于提交的表决结果有怀疑，可以对投票数进行重新清点；如会议主持人未进行重新清点，而出席会议的基金份额持有人或代理人对会议主持人宣布的表决结果有异议，其有权在宣布表决结果后立即要求重新清点，会议主持人应当立即重新清点并公布重新清点结果。重新清点仅限一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督员在监督人的监督下进行计票，并由公证机关对其计票过程予以公证。基金管理人或基金托管人不派代表监督计票的，不影响计票效力及表决结果。</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9、基金份额持有人大会决议的生效与公告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（1）基金份额持有人大会决定的事项自表决通过之日起生效，召集人应当自通过之日起5日内报中国证监会备案。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（2）生效的基金份额持有人大会决议对全体基金份额持有人、基金管理人、基金托管人均有约束力。基金管理人、基金托管人和基金份额持有人应当执行生效的基金份额持有人大会的决定。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（3）基金份额持有人大会决议应自生效之日起2日内在规定媒介上公告。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（4）如果采用通讯方式进行表决，在公告基金份额持有人大会决议时，必须将公证书全文、公证机关、公证员姓名等一同公告。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（1）基金份额持有人行使提议权、召集权、提名权所需单独或合计代表相关基金份额10%以上（含10%）；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（三）基金合同的变更与终止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照法律法规或本基金合同的规定，对基金合同的变更应当召开基金份额持有人大会的，基金合同变更的内容经基金份额持有人大会决议通过后生效，并应依法报中国证监会备案，并自决议生效之日起2日内在规定媒介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（2）但出现下列情况时，可不经基金份额持有人大会决议，由基金管理人和</w:t>
      </w:r>
      <w:r>
        <w:rPr>
          <w:rFonts w:ascii="宋体" w:hAnsi="宋体"/>
          <w:sz w:val="24"/>
        </w:rPr>
        <w:lastRenderedPageBreak/>
        <w:t>基金托管人同意变更后公布经修订的基金合同，并报中国证监会备案：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1）在法律法规和本基金合同规定的范围内调整基金的申购费率、调低赎回费率及销售服务费率、变更或增加收费方式；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2）因相应的法律法规发生变动必须对基金合同进行修改；</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3）基金合同的修改不涉及本基金合同当事人权利义务关系发生重大变化；</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4）基金合同的修改对基金份额持有人利益无实质性不利影响；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5）按照法律法规或本基金合同规定不需召开基金份额持有人大会的其他情形。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2、本基金合同的终止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有下列情形之一的，本基金合同应当终止：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（2）基金管理人职责终止，而在6个月内没有新的基金管理人承接的；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（3）基金托管人职责终止，而在6个月内没有新的基金托管人承接的；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连续50个工作日出现基金份额持有人数量不满200人或者基金资产净值低于5000万元情形的，基金合同终止，不需召开基金份额持有人大会；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（5）基金合同、相关法律法规和中国证监会规定的其他情况。</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本基金合同产生或与本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当事人均有约束力。除非仲裁裁决另有规定，仲裁费由败诉方承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本基金合同适用中华人民共和国法律（不含港澳台地区法律）并从其解释。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本基金合同正本一式六份，除上报相关监管部门两份外，基金管理人和基金托管人各持有两份。每份均具有同等的法律效力。</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本基金合同可印制成册，供基金投资者在基金管理人、基金托管人、销售机构和注册登记机构办公场所查阅。基金合同条款及内容应以基金合同正本为准。</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0F0F8C" w:rsidRDefault="00F47B44">
      <w:pPr>
        <w:pStyle w:val="1"/>
        <w:snapToGrid w:val="0"/>
        <w:spacing w:beforeLines="0" w:before="240" w:after="240"/>
        <w:rPr>
          <w:rFonts w:ascii="宋体" w:hAnsi="宋体"/>
          <w:szCs w:val="30"/>
        </w:rPr>
      </w:pPr>
      <w:bookmarkStart w:id="25" w:name="_Toc231982093"/>
      <w:r>
        <w:rPr>
          <w:rFonts w:ascii="Times New Roman" w:hAnsi="Times New Roman"/>
          <w:sz w:val="30"/>
        </w:rPr>
        <w:lastRenderedPageBreak/>
        <w:t>二十二、托管协议的内容摘要</w:t>
      </w:r>
      <w:bookmarkEnd w:id="25"/>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w:t>
      </w:r>
      <w:r>
        <w:rPr>
          <w:rFonts w:ascii="宋体" w:hAnsi="宋体"/>
          <w:sz w:val="24"/>
        </w:rPr>
        <w:lastRenderedPageBreak/>
        <w:t>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科创板以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资产支持证券、股指期货以及法律法规或中国证监会允许基金投资的其他金融工具（但须符合中国证监会的相关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配置比例为股票资产（含存托凭证）占基金资产的50%-95%（其中投资于港股通标的股票的比例占股票资产的0%-50%），投资于先进制造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w:t>
      </w:r>
      <w:r>
        <w:rPr>
          <w:rFonts w:ascii="宋体" w:hAnsi="宋体"/>
          <w:sz w:val="24"/>
        </w:rPr>
        <w:lastRenderedPageBreak/>
        <w:t>申购款等。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（1）股票资产（含存托凭证）占基金资产的50%-95%（其中投资于港股通标的股票的比例占股票资产的0%-50%），投资于先进制造主题相关证券的比例不低于非现金基金资产的80%；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（4）本基金管理人管理的、且由本基金托管人托管的全部基金持有一家公司发行的证券（同一家公司在内地和香港同时上市的A+H 股合计计算），不超过该证券的10%，完全按照有关指数的构成比例进行证券投资的基金品种可以不受此条款规定的比例限制；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（7）本基金与私募类证券资管产品及中国证监会认定的其他主体为交易对手开展逆回购交易的，可接受质押品的资质要求应当与基金合同约定的投资范围保持一致；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（8）本基金投资于同一原始权益人的各类资产支持证券的比例，不得超过基金资产净值的10%；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（11）本基金管理人管理的、且由本基金托管人托管的全部基金投资于同一原始权益人的各类资产支持证券，不得超过其各类资产支持证券合计规模的10%；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（14）本基金进入全国银行间同业市场进行债券回购的资金余额不得超过基金资产净值的40%；本基金在全国银行间同业市场中的债券回购最长期限为1年，债券回购到期后不得展期；</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（15）当本基金投资股指期货时，则：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（19）本基金的基金资产总值不得超过基金资产净值的140%；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（21）法律法规及中国证监会规定的和《基金合同》约定的其他投资限制。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6）项、第（7）项、第（12）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投资的监督和检查自基金合同生效之日起开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则本基金投资不再受相关限制。基金托管人对基金投资的监督和检查自基金合同生效之日起开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九）项基金投资禁止行为进行监督。根据法律法规有关基金从事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有权向中国证监会报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w:t>
      </w:r>
      <w:r>
        <w:rPr>
          <w:rFonts w:ascii="宋体" w:hAnsi="宋体"/>
          <w:sz w:val="24"/>
        </w:rPr>
        <w:lastRenderedPageBreak/>
        <w:t>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w:t>
      </w:r>
      <w:r>
        <w:rPr>
          <w:rFonts w:ascii="宋体" w:hAnsi="宋体"/>
          <w:sz w:val="24"/>
        </w:rPr>
        <w:lastRenderedPageBreak/>
        <w:t>不包括由于发布重大消息或其他原因而临时停牌的证券、已发行未上市证券、回购交易中的质押券等流通受限证券。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确保基金托管人能够正常查询。因基金管理人原因产生的流通受限证券登记存管问题，造成基金财产的损失或基金托管人无法安全保管基金财产的责任与损失，由基金管理人承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在履行其监督职责后不承担上述损失。</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w:t>
      </w:r>
      <w:r>
        <w:rPr>
          <w:rFonts w:ascii="宋体" w:hAnsi="宋体"/>
          <w:sz w:val="24"/>
        </w:rPr>
        <w:lastRenderedPageBreak/>
        <w:t>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 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等投资所需账户、协助开立股指期货业务相关账户及交易编码、复核基金管理人计算的基金资产净值和基金份额净值、根据基金管理人指令办理清算交收、相关信息披露和监督基金投资运作等行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w:t>
      </w:r>
      <w:r>
        <w:rPr>
          <w:rFonts w:ascii="宋体" w:hAnsi="宋体"/>
          <w:sz w:val="24"/>
        </w:rPr>
        <w:lastRenderedPageBreak/>
        <w:t>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交银施罗德先进制造股票证券投资基金经中国证监会证监许可[2011]639号核准募集，基金管理人为交银施罗德基金管理有限公司，基金托管人为中国农业银行股份有限公司。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交银施罗德先进制造股票证券投资基金自2011年5月23日至2011年6月17日进行公开募集，并于2011年6月22日获得中国证监会的书面确认，《交银施罗德先进制造股票证券投资基金基金合同》自该日起生效。具体募集情况如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普华永道中天会计师事务所（特殊普通合伙）验资，本次募集的有效净认购金额为1,917,255,974.38元人民币，折合基金份额1,917,255,974.38份；认购款项在基金验资确认日之前产生的银行利息共计430,117.38元人民币，折合基金份额430,117.38份。本次募集所有资金已于2011年6月22日全额划入该基金在基金托管人中国农业银行股份有限公司开立的交银施罗德先进制造股票证券投资基金托管专户。该基金按照每份基金份额面值1.00 元人民币计算，募集期间募集资金及其利息结转的基金份额共计1,917,686,091.76份。</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4、基金证券账户的开立和管理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w:t>
      </w:r>
      <w:r>
        <w:rPr>
          <w:rFonts w:ascii="宋体" w:hAnsi="宋体"/>
          <w:sz w:val="24"/>
        </w:rPr>
        <w:lastRenderedPageBreak/>
        <w:t>人清算工作，基金管理人应予以积极协助。结算备付金的收取按照中国证券登记结算有限责任公司的规定执行。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不低于法律法规规定的最低期</w:t>
      </w:r>
      <w:r>
        <w:rPr>
          <w:rFonts w:ascii="宋体" w:hAnsi="宋体"/>
          <w:sz w:val="24"/>
        </w:rPr>
        <w:lastRenderedPageBreak/>
        <w:t>限。</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（五）基金资产净值计算和会计复核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基金份额净值的计算，精确到0.0001元，小数点后第五位四舍五入，由此产生的误差计入基金财产。基金管理人可以设立大额赎回情形下的净值精度应急调整机制，具体可参见相关公告。国家另有规定的，从其规定。</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每工作日计算基金资产净值及基金份额净值，并按规定公告。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基金管理人每工作日对基金资产进行估值后，将基金份额净值结果发送基金托管人，经基金托管人复核无误后，由基金管理人依据基金合同和有关法律法规的规定对外公布。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②交易所上市交易或挂牌转让的固定收益品种（另有规定的除外），选取估值日第三方估值机构提供的相应品种当日的估值净价进行估值；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③交易所上市交易的可转换债券，按估值日收盘价减去可转换债券收盘价中所</w:t>
      </w:r>
      <w:r>
        <w:rPr>
          <w:rFonts w:ascii="宋体" w:hAnsi="宋体"/>
          <w:sz w:val="24"/>
        </w:rPr>
        <w:lastRenderedPageBreak/>
        <w:t>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④交易所上市实行全价交易的债券（可转债除外），选取第三方估值机构提供的估值全价减去估值全价中所含的债券（税后）应收利息得到的净价进行估值；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⑤交易所上市不存在活跃市场的有价证券，采用估值技术确定公允价值。交易所市场挂牌转让的资产支持证券，采用估值技术确定公允价值；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①送股、转增股、配股和公开增发的新股，按估值日在证券交易所挂牌的同一股票的估值方法估值；该日无交易的，以最近一日的市价（收盘价）估值；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②首次公开发行未上市的股票和债券，采用估值技术确定公允价值，在估值技术难以可靠计量公允价值的情况下，按成本估值；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4）本基金投资股指期货合约，一般以估值当日结算价进行估值，估值当日无结算价的，且最近交易日后经济环境未发生重大变化的，采用最近交易日结算价估值。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5）同一证券同时在两个或两个以上市场交易的，按证券所处的市场分别估值。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6）当发生大额申购或赎回情形时，基金管理人可以采用摆动定价机制，以确保基金估值的公平性。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1）基金管理人、基金托管人按估值方法的第8）项进行估值时，所造成的误差不作为基金份额净值错误处理。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w:t>
      </w:r>
      <w:r>
        <w:rPr>
          <w:rFonts w:ascii="宋体" w:hAnsi="宋体"/>
          <w:sz w:val="24"/>
        </w:rPr>
        <w:lastRenderedPageBreak/>
        <w:t>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或超过基金份额净值的0.25%时，基金管理人应当及时通知基金托管人并报中国证监会；错误偏差达到基金份额净值的0.50%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基金份额净值出错且造成基金份额持有人损失的，应根据法律法规的规定对基金份额持有人或基金支付赔偿金，就实际向基金份额持有人或基金支付的赔偿金额，其中基金管理人承担50%，基金托管人承担50%。</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基金托管人在履行了正常的复核程序后仍不能发现该错误，进而导致基金份额净值计算错误而引起的基金份额持有人和基金财产的损失，由基金管理人负责赔付。</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w:t>
      </w:r>
      <w:r>
        <w:rPr>
          <w:rFonts w:ascii="宋体" w:hAnsi="宋体"/>
          <w:sz w:val="24"/>
        </w:rPr>
        <w:lastRenderedPageBreak/>
        <w:t>差，以基金管理人计算结果为准。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（4）前述内容如法律法规或监管机关另有规定的，从其规定处理。如果行业有通行做法，双方当事人应本着平等和保护基金份额持有人利益的原则进行协商。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（4）法律法规、中国证监会和基金合同认定的其他情形。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w:t>
      </w:r>
      <w:r>
        <w:rPr>
          <w:rFonts w:ascii="宋体" w:hAnsi="宋体"/>
          <w:sz w:val="24"/>
        </w:rPr>
        <w:lastRenderedPageBreak/>
        <w:t>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加密传真的方式或双方商定的其他方式进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不低于法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本协议适用中华人民共和国法律（不含港澳台地区法律）并从其解释。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本协议双方当事人经协商一致，可以对协议进行修改。修改后的新协议，其内容不得与基金合同的规定有任何冲突。基金托管协议的变更报应报中国证监会备案。</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26" w:name="_Toc231982094"/>
      <w:r>
        <w:rPr>
          <w:rFonts w:ascii="Times New Roman" w:hAnsi="Times New Roman"/>
          <w:sz w:val="30"/>
        </w:rPr>
        <w:lastRenderedPageBreak/>
        <w:t>二十三、对基金份额持有人的服务</w:t>
      </w:r>
      <w:bookmarkEnd w:id="26"/>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本公司暂不开展网上直销后端A类基金份额的申购业务，通过转托管转入网上直销账户的后端收费模式的A类基金份额只能办理赎回业务。通过网上直销交易平台办理本基金前端A类基金份额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申购、定期定额投资及转换费率表或相关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在条件成熟的时候，本基金管理人将根据基金网上直销业务的发展状况，适时调整可用于网上直销交易平台的银行卡种类，敬请投资者留意相关公告。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申购、赎回等交易情况、分红方式状态、基金账户余额、基金产品与服务等信息，请拨打本基金管理人客户服务电话（400-700-5000，021-61055000）或登录本基金管理人网站（www.fund001.com）进行咨询、查询。</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本基金管理人为投资者预设基金查询密码，预设的基金查询密码为投资者开户证件号码的后6位数字，不足6位数字的，前面加“0”补足。基金查询密码用于投</w:t>
      </w:r>
      <w:r>
        <w:rPr>
          <w:rFonts w:ascii="宋体" w:hAnsi="宋体"/>
          <w:sz w:val="24"/>
        </w:rPr>
        <w:lastRenderedPageBreak/>
        <w:t>资者通过客户服务电话查询基金账户下的账户和交易信息。投资者请在其知晓基金账号后，及时拨打本基金管理人客户服务电话修改基金查询密码。</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投资者可以拨打本基金管理人客户服务电话投诉直销机构的人员和服务。</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相应类别的基金份额进行再投资，若投资人不选择，本基金默认的收益分配方式是现金分红。再投资红利按红利再投日（即除息日）除息后的基金份额净值自动转为基金份额，并免收申购费用。</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本基金可开通定期定额投资计划，具体实施方法请参见相关公告。</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基金管理人的互联网地址及电子信箱</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w:t>
      </w:r>
      <w:r w:rsidRPr="00BB248E">
        <w:rPr>
          <w:rFonts w:ascii="宋体" w:hAnsi="宋体" w:hint="eastAsia"/>
          <w:kern w:val="0"/>
          <w:sz w:val="24"/>
        </w:rPr>
        <w:t>如本招募说明书存在任何您/贵机构无法理解的内容，请通过上述方式联系基金管理人。请确保投资前，您/贵机构已经全面理解了本招募说明书。</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27" w:name="_Toc231982095"/>
      <w:r>
        <w:rPr>
          <w:rFonts w:ascii="Times New Roman" w:hAnsi="Times New Roman"/>
          <w:sz w:val="30"/>
        </w:rPr>
        <w:lastRenderedPageBreak/>
        <w:t>二十四、其他应披露事项</w:t>
      </w:r>
      <w:bookmarkEnd w:id="27"/>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交银施罗德基金管理有限公司关于交银施罗德先进制造混合型证券投资基金基金经理变更公告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2025-09-15</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2025-09-18</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2025-09-18</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2025-09-18</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交银施罗德基金管理有限公司关于交银施罗德先进制造混合型证券投资基金基金经理变更公告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2025-09-20</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交银施罗德基金管理有限公司关于旗下部分基金开通同一基金不同类别基金份额转换业务并修改基金合同的公告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交银施罗德基金管理有限公司关于终止方正中期期货有限公司办理相关销售业务的公告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2025-11-14</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25</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0F0F8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交银施罗德先进制造混合型证券投资基金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F0F8C" w:rsidRDefault="00F47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28" w:name="_Toc231982096"/>
      <w:r>
        <w:rPr>
          <w:rFonts w:ascii="Times New Roman" w:hAnsi="Times New Roman"/>
          <w:sz w:val="30"/>
        </w:rPr>
        <w:lastRenderedPageBreak/>
        <w:t>二十五、招募说明书的存放及查阅方式</w:t>
      </w:r>
      <w:bookmarkEnd w:id="28"/>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F47B4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F0F8C" w:rsidRDefault="00F47B44">
      <w:pPr>
        <w:pStyle w:val="1"/>
        <w:snapToGrid w:val="0"/>
        <w:spacing w:beforeLines="0" w:before="240" w:after="240"/>
        <w:rPr>
          <w:rFonts w:ascii="宋体" w:hAnsi="宋体"/>
          <w:szCs w:val="30"/>
        </w:rPr>
      </w:pPr>
      <w:bookmarkStart w:id="29" w:name="_Toc231982097"/>
      <w:r>
        <w:rPr>
          <w:rFonts w:ascii="Times New Roman" w:hAnsi="Times New Roman"/>
          <w:sz w:val="30"/>
        </w:rPr>
        <w:lastRenderedPageBreak/>
        <w:t>二十六、备查文件</w:t>
      </w:r>
      <w:bookmarkEnd w:id="29"/>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（一）中国证监会核准交银施罗德先进制造股票证券投资基金募集的文件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（二）中国证监会准予交银施罗德先进制造混合型证券投资基金变更注册的文件</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（三）《交银施罗德先进制造混合型证券投资基金基金合同》</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（四）《交银施罗德先进制造混合型证券投资基金托管协议》</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（五）基金管理人业务资格批件、营业执照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（六）基金托管人业务资格批件、营业执照</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（七）关于申请募集交银施罗德先进制造股票证券投资基金之法律意见书</w:t>
      </w:r>
    </w:p>
    <w:p w:rsidR="000F0F8C" w:rsidRDefault="00F47B4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（八）关于申请变更注册交银施罗德先进制造混合型证券投资基金的法律意见书</w:t>
      </w:r>
    </w:p>
    <w:sectPr w:rsidR="000F0F8C">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0485" w:rsidRDefault="00F47B44">
      <w:r>
        <w:separator/>
      </w:r>
    </w:p>
  </w:endnote>
  <w:endnote w:type="continuationSeparator" w:id="0">
    <w:p w:rsidR="00670485" w:rsidRDefault="00F47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F8C" w:rsidRDefault="000F0F8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F8C" w:rsidRDefault="00782B8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0F0F8C" w:rsidRDefault="00F47B44">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82B8F">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F8C" w:rsidRDefault="000F0F8C">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F8C" w:rsidRDefault="00782B8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0F0F8C" w:rsidRDefault="00F47B44">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82B8F">
                  <w:rPr>
                    <w:rFonts w:ascii="Times New Roman" w:hAnsi="Times New Roman"/>
                    <w:noProof/>
                    <w:kern w:val="0"/>
                    <w:sz w:val="18"/>
                    <w:szCs w:val="18"/>
                  </w:rPr>
                  <w:t>181</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0485" w:rsidRDefault="00F47B44">
      <w:r>
        <w:separator/>
      </w:r>
    </w:p>
  </w:footnote>
  <w:footnote w:type="continuationSeparator" w:id="0">
    <w:p w:rsidR="00670485" w:rsidRDefault="00F47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F8C" w:rsidRDefault="000F0F8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F8C" w:rsidRDefault="00F47B44">
    <w:pPr>
      <w:pStyle w:val="a3"/>
      <w:jc w:val="right"/>
      <w:rPr>
        <w:rFonts w:ascii="宋体" w:hAnsi="宋体"/>
      </w:rPr>
    </w:pPr>
    <w:r>
      <w:rPr>
        <w:rFonts w:ascii="宋体" w:hAnsi="宋体" w:hint="eastAsia"/>
      </w:rPr>
      <w:t>交银施罗德先进制造混合型证券投资基金招募说明书更新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F8C" w:rsidRDefault="000F0F8C">
    <w:pPr>
      <w:pStyle w:val="10"/>
      <w:jc w:val="right"/>
    </w:pPr>
  </w:p>
  <w:p w:rsidR="000F0F8C" w:rsidRDefault="000F0F8C">
    <w:pPr>
      <w:pStyle w:val="10"/>
      <w:jc w:val="right"/>
    </w:pPr>
  </w:p>
  <w:p w:rsidR="000F0F8C" w:rsidRDefault="000F0F8C">
    <w:pPr>
      <w:pStyle w:val="a3"/>
      <w:jc w:val="right"/>
    </w:pPr>
  </w:p>
  <w:p w:rsidR="000F0F8C" w:rsidRDefault="00F47B44">
    <w:pPr>
      <w:pStyle w:val="a3"/>
      <w:jc w:val="right"/>
      <w:rPr>
        <w:rFonts w:ascii="宋体" w:hAnsi="宋体"/>
      </w:rPr>
    </w:pPr>
    <w:r>
      <w:rPr>
        <w:rFonts w:ascii="宋体" w:hAnsi="宋体" w:hint="eastAsia"/>
      </w:rPr>
      <w:t>交银施罗德先进制造混合型证券投资基金招募说明书更新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F8C" w:rsidRDefault="000F0F8C">
    <w:pPr>
      <w:pStyle w:val="a3"/>
      <w:jc w:val="right"/>
    </w:pPr>
  </w:p>
  <w:p w:rsidR="000F0F8C" w:rsidRDefault="000F0F8C">
    <w:pPr>
      <w:pStyle w:val="a3"/>
      <w:jc w:val="right"/>
    </w:pPr>
  </w:p>
  <w:p w:rsidR="000F0F8C" w:rsidRDefault="000F0F8C">
    <w:pPr>
      <w:pStyle w:val="a3"/>
      <w:jc w:val="right"/>
    </w:pPr>
  </w:p>
  <w:p w:rsidR="000F0F8C" w:rsidRDefault="00F47B44">
    <w:pPr>
      <w:pStyle w:val="a3"/>
      <w:jc w:val="right"/>
      <w:rPr>
        <w:rFonts w:ascii="宋体" w:hAnsi="宋体"/>
      </w:rPr>
    </w:pPr>
    <w:r>
      <w:rPr>
        <w:rFonts w:ascii="宋体" w:hAnsi="宋体" w:hint="eastAsia"/>
      </w:rPr>
      <w:t>交银施罗德先进制造混合型证券投资基金招募说明书更新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0F8C"/>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0485"/>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2B8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47B44"/>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636AE3EA-F584-45DC-82C8-7BA2D966E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182</Pages>
  <Words>18967</Words>
  <Characters>108115</Characters>
  <Application>Microsoft Office Word</Application>
  <DocSecurity>0</DocSecurity>
  <Lines>900</Lines>
  <Paragraphs>253</Paragraphs>
  <ScaleCrop>false</ScaleCrop>
  <Company>Microsoft</Company>
  <LinksUpToDate>false</LinksUpToDate>
  <CharactersWithSpaces>126829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2026-06-10T03:07:00Z</dcterms:created>
  <dcterms:modified xsi:type="dcterms:W3CDTF">2026-06-10T03:07:00Z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