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交银施罗德启嘉混合型证券投资基金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基金托管人：招商银行股份有限公司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二〇二六年五月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496884613"/>
      <w:bookmarkStart w:id="1" w:name="_Toc324920538"/>
      <w:bookmarkStart w:id="2" w:name="_Toc231305775"/>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交银施罗德启嘉混合型证券投资基金（以下简称“本基金”）经2023年4月10日中国证券监督管理委员会（以下简称“中国证监会”）证监许可【2023】762号文准予募集注册。本基金基金合同于2023年8月2日正式生效。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港股通标的股票的特定风险；投资科创板股票的特定风险；投资存托凭证的特定风险；连续50个工作日出现基金份额持有人数量不满200人或基金资产净值低于5000万元情形时基金合同终止的风险；本基金法律文件风险收益特征表述与销售机构基金风险评价可能不一致的风险；投资本基金的其他风险等等。本基金是一只混合型基金，其预期风险和预期收益理论上高于债券型基金和货币市场基金，低于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本招募说明书所载内容截止日为2026年05月14日，有关财务数据和净值表现截止日为2026年03月31日。本招募说明书所载的财务数据未经审计。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"_Toc231305775"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_Toc231305775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"_Toc231305776"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_Toc231305776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"_Toc231305777"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_Toc231305777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"_Toc231305778"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_Toc231305778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"_Toc231305779"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_Toc231305779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"_Toc231305780"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_Toc231305780 \h </w:instrText>
      </w:r>
      <w:r>
        <w:rPr>
          <w:rFonts w:ascii="宋体" w:hAnsi="宋体"/>
          <w:sz w:val="24"/>
        </w:rPr>
        <w:fldChar w:fldCharType="separate"/>
      </w:r>
      <w:r>
        <w:rPr>
          <w:rFonts w:ascii="宋体" w:hAnsi="宋体"/>
          <w:sz w:val="24"/>
        </w:rPr>
        <w:t>25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"_Toc231305781"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_Toc231305781 \h </w:instrText>
      </w:r>
      <w:r>
        <w:rPr>
          <w:rFonts w:ascii="宋体" w:hAnsi="宋体"/>
          <w:sz w:val="24"/>
        </w:rPr>
        <w:fldChar w:fldCharType="separate"/>
      </w:r>
      <w:r>
        <w:rPr>
          <w:rFonts w:ascii="宋体" w:hAnsi="宋体"/>
          <w:sz w:val="24"/>
        </w:rPr>
        <w:t>50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"_Toc231305782"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_Toc231305782 \h </w:instrText>
      </w:r>
      <w:r>
        <w:rPr>
          <w:rFonts w:ascii="宋体" w:hAnsi="宋体"/>
          <w:sz w:val="24"/>
        </w:rPr>
        <w:fldChar w:fldCharType="separate"/>
      </w:r>
      <w:r>
        <w:rPr>
          <w:rFonts w:ascii="宋体" w:hAnsi="宋体"/>
          <w:sz w:val="24"/>
        </w:rPr>
        <w:t>51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"_Toc231305783"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_Toc231305783 \h </w:instrText>
      </w:r>
      <w:r>
        <w:rPr>
          <w:rFonts w:ascii="宋体" w:hAnsi="宋体"/>
          <w:sz w:val="24"/>
        </w:rPr>
        <w:fldChar w:fldCharType="separate"/>
      </w:r>
      <w:r>
        <w:rPr>
          <w:rFonts w:ascii="宋体" w:hAnsi="宋体"/>
          <w:sz w:val="24"/>
        </w:rPr>
        <w:t>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"_Toc231305784"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_Toc231305784 \h </w:instrText>
      </w:r>
      <w:r>
        <w:rPr>
          <w:rFonts w:ascii="宋体" w:hAnsi="宋体"/>
          <w:sz w:val="24"/>
        </w:rPr>
        <w:fldChar w:fldCharType="separate"/>
      </w:r>
      <w:r>
        <w:rPr>
          <w:rFonts w:ascii="宋体" w:hAnsi="宋体"/>
          <w:sz w:val="24"/>
        </w:rPr>
        <w:t>66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"_Toc231305785"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_Toc231305785 \h </w:instrText>
      </w:r>
      <w:r>
        <w:rPr>
          <w:rFonts w:ascii="宋体" w:hAnsi="宋体"/>
          <w:sz w:val="24"/>
        </w:rPr>
        <w:fldChar w:fldCharType="separate"/>
      </w:r>
      <w:r>
        <w:rPr>
          <w:rFonts w:ascii="宋体" w:hAnsi="宋体"/>
          <w:sz w:val="24"/>
        </w:rPr>
        <w:t>73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"_Toc231305786"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_Toc231305786 \h </w:instrText>
      </w:r>
      <w:r>
        <w:rPr>
          <w:rFonts w:ascii="宋体" w:hAnsi="宋体"/>
          <w:sz w:val="24"/>
        </w:rPr>
        <w:fldChar w:fldCharType="separate"/>
      </w:r>
      <w:r>
        <w:rPr>
          <w:rFonts w:ascii="宋体" w:hAnsi="宋体"/>
          <w:sz w:val="24"/>
        </w:rPr>
        <w:t>85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"_Toc231305787"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_Toc231305787 \h </w:instrText>
      </w:r>
      <w:r>
        <w:rPr>
          <w:rFonts w:ascii="宋体" w:hAnsi="宋体"/>
          <w:sz w:val="24"/>
        </w:rPr>
        <w:fldChar w:fldCharType="separate"/>
      </w:r>
      <w:r>
        <w:rPr>
          <w:rFonts w:ascii="宋体" w:hAnsi="宋体"/>
          <w:sz w:val="24"/>
        </w:rPr>
        <w:t>87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"_Toc231305788"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_Toc231305788 \h </w:instrText>
      </w:r>
      <w:r>
        <w:rPr>
          <w:rFonts w:ascii="宋体" w:hAnsi="宋体"/>
          <w:sz w:val="24"/>
        </w:rPr>
        <w:fldChar w:fldCharType="separate"/>
      </w:r>
      <w:r>
        <w:rPr>
          <w:rFonts w:ascii="宋体" w:hAnsi="宋体"/>
          <w:sz w:val="24"/>
        </w:rPr>
        <w:t>88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"_Toc231305789"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_Toc231305789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"_Toc231305790"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_Toc231305790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"_Toc231305791"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_Toc231305791 \h </w:instrText>
      </w:r>
      <w:r>
        <w:rPr>
          <w:rFonts w:ascii="宋体" w:hAnsi="宋体"/>
          <w:sz w:val="24"/>
        </w:rPr>
        <w:fldChar w:fldCharType="separate"/>
      </w:r>
      <w:r>
        <w:rPr>
          <w:rFonts w:ascii="宋体" w:hAnsi="宋体"/>
          <w:sz w:val="24"/>
        </w:rPr>
        <w:t>100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"_Toc231305792"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_Toc231305792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"_Toc231305793"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_Toc231305793 \h </w:instrText>
      </w:r>
      <w:r>
        <w:rPr>
          <w:rFonts w:ascii="宋体" w:hAnsi="宋体"/>
          <w:sz w:val="24"/>
        </w:rPr>
        <w:fldChar w:fldCharType="separate"/>
      </w:r>
      <w:r>
        <w:rPr>
          <w:rFonts w:ascii="宋体" w:hAnsi="宋体"/>
          <w:sz w:val="24"/>
        </w:rPr>
        <w:t>108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"_Toc231305794"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_Toc231305794 \h </w:instrText>
      </w:r>
      <w:r>
        <w:rPr>
          <w:rFonts w:ascii="宋体" w:hAnsi="宋体"/>
          <w:sz w:val="24"/>
        </w:rPr>
        <w:fldChar w:fldCharType="separate"/>
      </w:r>
      <w:r>
        <w:rPr>
          <w:rFonts w:ascii="宋体" w:hAnsi="宋体"/>
          <w:sz w:val="24"/>
        </w:rPr>
        <w:t>111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"_Toc231305795"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_Toc231305795 \h </w:instrText>
      </w:r>
      <w:r>
        <w:rPr>
          <w:rFonts w:ascii="宋体" w:hAnsi="宋体"/>
          <w:sz w:val="24"/>
        </w:rPr>
        <w:fldChar w:fldCharType="separate"/>
      </w:r>
      <w:r>
        <w:rPr>
          <w:rFonts w:ascii="宋体" w:hAnsi="宋体"/>
          <w:sz w:val="24"/>
        </w:rPr>
        <w:t>121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"_Toc231305796"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_Toc231305796 \h </w:instrText>
      </w:r>
      <w:r>
        <w:rPr>
          <w:rFonts w:ascii="宋体" w:hAnsi="宋体"/>
          <w:sz w:val="24"/>
        </w:rPr>
        <w:fldChar w:fldCharType="separate"/>
      </w:r>
      <w:r>
        <w:rPr>
          <w:rFonts w:ascii="宋体" w:hAnsi="宋体"/>
          <w:sz w:val="24"/>
        </w:rPr>
        <w:t>123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"_Toc231305797"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_Toc231305797 \h </w:instrText>
      </w:r>
      <w:r>
        <w:rPr>
          <w:rFonts w:ascii="宋体" w:hAnsi="宋体"/>
          <w:sz w:val="24"/>
        </w:rPr>
        <w:fldChar w:fldCharType="separate"/>
      </w:r>
      <w:r>
        <w:rPr>
          <w:rFonts w:ascii="宋体" w:hAnsi="宋体"/>
          <w:sz w:val="24"/>
        </w:rPr>
        <w:t>140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"_Toc231305798"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_Toc231305798 \h </w:instrText>
      </w:r>
      <w:r>
        <w:rPr>
          <w:rFonts w:ascii="宋体" w:hAnsi="宋体"/>
          <w:sz w:val="24"/>
        </w:rPr>
        <w:fldChar w:fldCharType="separate"/>
      </w:r>
      <w:r>
        <w:rPr>
          <w:rFonts w:ascii="宋体" w:hAnsi="宋体"/>
          <w:sz w:val="24"/>
        </w:rPr>
        <w:t>158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"_Toc231305799"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_Toc231305799 \h </w:instrText>
      </w:r>
      <w:r>
        <w:rPr>
          <w:rFonts w:ascii="宋体" w:hAnsi="宋体"/>
          <w:sz w:val="24"/>
        </w:rPr>
        <w:fldChar w:fldCharType="separate"/>
      </w:r>
      <w:r>
        <w:rPr>
          <w:rFonts w:ascii="宋体" w:hAnsi="宋体"/>
          <w:sz w:val="24"/>
        </w:rPr>
        <w:t>160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"_Toc231305800"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_Toc231305800 \h </w:instrText>
      </w:r>
      <w:r>
        <w:rPr>
          <w:rFonts w:ascii="宋体" w:hAnsi="宋体"/>
          <w:sz w:val="24"/>
        </w:rPr>
        <w:fldChar w:fldCharType="separate"/>
      </w:r>
      <w:r>
        <w:rPr>
          <w:rFonts w:ascii="宋体" w:hAnsi="宋体"/>
          <w:sz w:val="24"/>
        </w:rPr>
        <w:t>162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"_Toc231305801"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_Toc231305801 \h </w:instrText>
      </w:r>
      <w:r>
        <w:rPr>
          <w:rFonts w:ascii="宋体" w:hAnsi="宋体"/>
          <w:sz w:val="24"/>
        </w:rPr>
        <w:fldChar w:fldCharType="separate"/>
      </w:r>
      <w:r>
        <w:rPr>
          <w:rFonts w:ascii="宋体" w:hAnsi="宋体"/>
          <w:sz w:val="24"/>
        </w:rPr>
        <w:t>163</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1305776"/>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启嘉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启嘉混合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1305777"/>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1、基金或本基金：指交银施罗德启嘉混合型证券投资基金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4、基金合同：指《交银施罗德启嘉混合型证券投资基金基金合同》及对基金合同的任何有效修订和补充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5、托管协议：指基金管理人与基金托管人就本基金签订之《交银施罗德启嘉混合型证券投资基金托管协议》及对该托管协议的任何有效修订和补充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6、招募说明书或本招募说明书：指《交银施罗德启嘉混合型证券投资基金招募说明书》及其更新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7、基金产品资料概要：指《交银施罗德启嘉混合型证券投资基金基金产品资料概要》及其更新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8、基金份额发售公告：指《交银施罗德启嘉混合型证券投资基金基金份额发售公告》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16、银行业监督管理机构：指中国人民银行和/或中国银行保险监督管理委员会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38、《业务规则》：指中国证券登记结算有限责任公司相关业务规则及其不时做出的修订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48、基金资产总值：指基金拥有的各类有价证券、股指期货合约、银行存款本息、基金应收款项及其他资产的价值总和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52、港股通：指内地投资者委托内地证券公司，经由内地证券交易所在香港设立的证券交易服务公司，向香港联合交易所进行申报，买卖规定范围内的香港联合交易所上市的股票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54、A类基金份额：指在投资人认购/申购时收取认购/申购费用、赎回时收取赎回费用且不从本类别基金资产中计提销售服务费的基金份额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55、C类基金份额：指在投资人认购/申购时不收取认购/申购费用、赎回时收取赎回费用，并从本类别基金资产中计提销售服务费的基金份额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1305778"/>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黄鼎先生:</w:t>
      </w:r>
      <w:bookmarkStart w:id="29" w:name="_GoBack"/>
      <w:bookmarkEnd w:id="29"/>
      <w:r>
        <w:rPr>
          <w:rFonts w:ascii="宋体" w:hAnsi="宋体"/>
          <w:sz w:val="24"/>
        </w:rPr>
        <w:t>基金经理。上海交通大学经济学硕士，13年证券投资行业从业经验。2013年至2015年任博时基金管理有限公司研究员。2015年加入交银施罗德基金管理有限公司，历任行业分析师。现任交银施罗德定期支付双息平衡混合型证券投资基金(2021年09月29日至今)、交银施罗德启嘉混合型证券投资基金(2023年08月02日至今)、交银施罗德瑞安混合型证券投资基金(2025年06月24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1305779"/>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名称：招商银行股份有限公司（以下简称“招商银行”）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设立日期：1987年3月31日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注册资本：252.20亿元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行长：王良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资产托管业务批准文号：证监基金字[2002]83号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资产托管部信息披露负责人：张姗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2、发展概况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12月31日，本集团总资产130,705.23亿元人民币，高级法下资本充足率18.24%，权重法下资本充足率15.00%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260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截至2025年12月31日，招商银行股份有限公司累计托管1759只证券投资基金。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招商银行资产托管业务建立三级内部控制及风险防范体系：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内部控制原则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（1）全面性原则。内部控制覆盖各项业务过程和操作环节、覆盖所有团队和岗位，并由全部人员参与。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（7）重要性原则。内部控制在实现全面控制的基础上，关注重要托管业务重要事项和高风险环节。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内部控制措施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1305780"/>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（10）名称：山西证券股份有限公司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（13）名称：财通证券股份有限公司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沈继宁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陶志华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办公地址：上海市银城中路68号时代金融中心18-20楼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1305781"/>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本基金由基金管理人依照《基金法》、《运作办法》、《销售办法》、基金合同及其他有关规定，并经中国证监会2023年4月10日证监许可【2023】762号文准予募集注册。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本基金2023年7月10日至2023年7月28日进行发售，本基金设立募集期共募集494,103,267.02份基金份额，有效认购户数为6,746户。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1305782"/>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根据有关规定，本基金满足基金合同生效条件，基金合同已于2023年8月2日正式生效。自基金合同生效之日起，本基金管理人正式开始管理本基金。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1305783"/>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本基金已于2023年11月1日起开放申购、赎回业务。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1000万元以上（含1000万元）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1000万元以上（含1000万元）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30日（含）—1年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1年（含）—2年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例四：某投资者（非养老金客户）投资100,000元申购本基金A类基金份额，假设申购当日A类基金份额净值为1.0400元，申购费率为1.5%，则其可得到的申购份额为：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净申购金额=100,000/（1+1.5%）=98,522.17元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申购费用=100,000-98,522.17=1477.83元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申购份额=（100,000-1477.83）/1.0400=94,732.86份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即：某投资者（非养老金客户）投资100,000元申购本基金A类基金份额，假设申购当日A类基金份额净值为1.0400元，则其可得到94,732.86份A类基金份额。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例五：某养老金客户投资1,000,000元通过基金管理人的直销柜台申购本基金A类基金份额，假设申购当日A类基金份额净值为1.0400元，申购费率为0.6%，则其可得到的申购份额为：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净申购金额=1,000,000/（1+0.6%）=994,035.79元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申购费用=1,000,000-994,035.79=5,964.21元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申购份额=（1,000,000-5,964.21）/1.0400=955,803.64份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即：该养老金客户投资1,000,000元通过基金管理人的直销柜台申购本基金A类基金份额，假设申购当日A类基金份额净值为1.0400元，则其可得到955,803.64份A类基金份额。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如果投资者赎回A类基金份额，则赎回金额的计算方法如下：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例七：某投资者赎回持有的10,000份A类基金份额，持有期限为30日，对应的赎回费率为0.5%，假设赎回当日A类基金份额净值是1.0160元，则其可得到的赎回金额为：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即：该投资者赎回本基金10,000份A类基金份额，持有期限为30日，对应的赎回费率为0.5%，假设赎回当日A类基金份额净值是1.0160元，则其可得到的赎回金额为10,109.20元。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例八：某投资者赎回持有的10,000份C类基金份额，持有时间为20日，对应的赎回费率为0.5%，假设赎回当日C类基金份额净值是1.0160元，则其可得到的赎回金额为：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即：投资者赎回本基金10,000份C类基金份额，持有时间为20日，对应的赎回费率为0.5%，假设赎回当日C类基金份额净值是1.0160元，则其可得到的赎回金额为10,109.20元。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份额净值的计算，均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7、港股通交易每日额度不足。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本基金2023年10月27日刊登公告自2023年11月1日起开通定期定额投资计划业务，具体开通销售机构名单和业务规则参见相关公告。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1305784"/>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本基金2023年10月27日刊登公告自2023年11月1日起开放日常转换业务。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1305785"/>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本基金在严格控制风险的前提下，充分发挥专业研究与管理能力，力争为投资者提供长期稳健的投资回报。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■经营效率指标：如净资产收益率（ROE）、资产收益率（ROA）、经营资产回报率（Return on operating assets）等；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■财务状况指标：如资产负债率（D/A）、流动比率等；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■研发投入指标：如研发投入与营业收入比率、科研人员数量及占比、专利数量及在同行业的占比等。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（3）港股通标的股票投资策略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5、股指期货投资策略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沪深300指数收益率×70%+恒生指数收益率×5%+中证综合债券指数收益率×25%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本基金托管人招商银行股份有限公司根据本基金合同规定，于2026年04月20日复核了本报告中的财务指标、净值表现和投资组合报告等内容，保证复核内容不存在虚假记载、误导性陈述或者重大遗漏。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本投资组合报告期为2026年01月01日至03月31日。所载财务数据未经审计师审计。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151,801,973.67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89.74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151,801,973.67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89.74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17,279,020.66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84,394.57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169,165,388.90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注：本基金本报告期末通过港股通机制投资香港股票的公允价值为40,927,140.27元，占基金资产净值比例为24.96%。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7,570,220.67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85,473,577.64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52.13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2,003,096.00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1,582,443.00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799,468.92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7,030,970.31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262,817.86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4,525,129.00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1,627,110.00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110,874,833.40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67.63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9,102,049.01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7,832,813.85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5,934,568.97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5,480,036.23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4,227,564.60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3,780,509.37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1,693,056.63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1,504,490.29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1,372,051.32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0.84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40,927,140.27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24.96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注：本报告采用中证CICS一级分类标准编制。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13,763,467.20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9,907,734.00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永鼎股份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165,800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4,599,292.00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东山精密</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4,483,220.00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00883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中国海洋石油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171,000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4,227,564.60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06869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长飞光纤光缆</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24,796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4,006,533.96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亨通光电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75,100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3,954,766.00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01347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华虹半导体</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3,431,412.87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01818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招金矿业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117,000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3,278,905.46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300191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潜能恒信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83,500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3,208,905.00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64,964.52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19,430.05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84,394.57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1305786"/>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（1）交银启嘉混合A：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46.04%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2023年度（自基金合同生效日起至2023年12月31日）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（2）交银启嘉混合C：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44.88%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2023年度（自基金合同生效日起至2023年12月31日）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交银施罗德启嘉混合型证券投资基金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（2023年8月2日至2026年03月31日）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（1）交银启嘉混合A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（2）交银启嘉混合C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1305787"/>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1305788"/>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基金所拥有的股票、债券、资产支持证券、衍生工具和其他投资等持续以公允价值计量的金融资产及负债。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5、估值计算中涉及港币对人民币汇率的，将依据下列信息提供机构所提供的汇率为基准：当日中国人民银行或其授权机构当日公布的人民币与港币的中间价。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1305789"/>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1305790"/>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本基金的管理费按前一日基金资产净值的1.2%年费率计提。管理费的计算方法如下：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本基金A类基金份额不收取销售服务费，C类基金份额的销售服务费按前一日C类基金资产净值的0.8%年费率计提。计算方法如下：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H＝E×0.8%÷当年天数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C类基金份额的销售服务费将专门用于本基金的市场推广、销售与基金份额持有人服务。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1305791"/>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1305792"/>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w:t>
      </w:r>
      <w:r>
        <w:rPr>
          <w:rFonts w:hint="eastAsia" w:ascii="宋体" w:hAnsi="宋体"/>
          <w:kern w:val="0"/>
          <w:sz w:val="24"/>
        </w:rPr>
        <w:t>本基金的信息披露应符合《基金法》、《运作办法》、《信息披露办法》、《流动性风险管理规定》、《基金合同》及其他有关规定。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w:t>
      </w:r>
      <w:r>
        <w:rPr>
          <w:rFonts w:hint="eastAsia" w:ascii="宋体" w:hAnsi="宋体"/>
          <w:kern w:val="0"/>
          <w:sz w:val="24"/>
        </w:rPr>
        <w:t>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13、基金投资股指期货情况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14、基金投资港股通标的股票情况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1305793"/>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1、本基金实施侧袋机制的，管理费和托管费等按主袋账户基金资产净值作为基数计提。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1305794"/>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（六）投资股指期货的特定风险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（2）流动性风险是指由于股指期货合约无法及时变现所带来的风险。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（5）信用风险是指期货经纪公司违约而产生损失的风险。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（九）投资港股通标的股票的特定风险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w:t>
      </w:r>
      <w:r>
        <w:rPr>
          <w:rFonts w:hint="eastAsia" w:ascii="宋体" w:hAnsi="宋体"/>
          <w:b/>
          <w:kern w:val="0"/>
          <w:sz w:val="24"/>
        </w:rPr>
        <w:t>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1305795"/>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1305796"/>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5）调整基金管理人、基金托管人的报酬标准或提高销售服务费；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（2）在法律法规规定和《基金合同》约定的范围内且对基金份额持有人利益无实质性不利影响的前提下，以下情况可由基金管理人和基金托管人协商后修改，在履行适当程序后，不需召开基金份额持有人大会：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1305797"/>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邮政编码：518040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批准设立机关和批准设立文号：中国人民银行银复字（1986）175号文、银复（1987）86号文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基金托管业务批准文号：证监基金字[2002]83号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注册资本：人民币252.20亿元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（1）本基金的投资范围为：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（2）本基金各类品种的投资比例、投资限制为：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（3）本基金财产不得用于以下投资或者活动：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3、基金投资银行存款协议的签订、账户开设与管理、投资指令与资金划付、账目核对、到期兑付、提前支取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（1）基金投资银行存款协议的签订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1）基金管理人应与符合资格的存款银行总行或其授权分行签订《存款协议书》。《存款协议书》的格式范本由基金托管人、基金管理人、存款银行总行或其授权分行共同商定。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2）基金托管人依据相关法规对《存款协议书》的内容进行复核，审查存款银行资格等。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（2）基金投资银行存款时的账户开设与管理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1）基金投资于银行存款时，基金管理人应当依据基金管理人与存款银行签订的《存款协议书》等，以基金的名义在存款银行总行或授权分行指定的分支机构开立银行账户。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2）基金投资于银行存款时的预留印鉴由基金托管人保管和使用。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（3）存款凭证传递、账目核对及到期兑付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1）存款证实书等存款凭证传递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2）存款凭证的遗失补办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3）账目核对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每个工作日，基金管理人应与基金托管人核对各项银行存款投资余额及应计利息。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存款协议书》中规定，对于存期超过3个月的定期存款，基金托管人于每季度向存款银行发起查询查复，存款银行应按照人行查询查复的有关时限要求及时回复。因存款银行未及时回复造成的资金被挪用、盗取的责任由存款银行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4）到期兑付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（4）提前支取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提前支取的具体事项按照基金管理人与存款银行签订的《存款协议书》执行。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（5）基金投资银行存款的监督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与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本基金不得投资未经中国证监会批准的非公开发行证券。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本基金不得投资有锁定期但锁定期不明确的证券。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由于基金管理人未及时提供有关证券的具体的必要的信息，致使基金托管人无法审核认购指令而影响认购款项划拨的，基金托管人免于承担责任。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应在基金投资非公开发行股票后两个交易日内，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11、基金托管人发现基金管理人有重大违规行为，应及时报告中国证监会，同时通知基金管理人限期纠正。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结算账户等投资所需账户、复核基金管理人计算的各类基金份额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（3）基金托管人按照规定开设基金财产的资金账户、证券账户和期货结算账户等投资所需的相关账户。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启嘉混合型证券投资基金”，预留印鉴为基金托管人印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（3）基金资金账户的开立和管理应符合法律法规及银行业监督管理机构的有关规定。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（五）基金资产净值计算、估值和会计核算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1、基金资产净值的计算、复核与完成的时间及程序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五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基金管理人于每个工作日分别计算各类基金份额的基金资产净值、基金份额净值，经基金托管人复核，按规定公告，但基金管理人根据法律法规或基金合同的规定暂停估值时除外。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基金管理人及基金托管人应当按照《基金合同》的约定进行估值。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3、基金份额净值错误的处理方式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基金管理人及基金托管人应当按照《基金合同》的约定处理份额净值错误。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6、基金财务报表与报告的编制和复核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基金财务报表由基金管理人编制，基金托管人复核。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（3）财务报表的编制与复核时间安排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7、在有需要时，基金管理人应每季度向基金托管人提供基金业绩比较基准的基础数据和编制结果。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本协议受中华人民共和国法律（不含港澳台地区法律）管辖。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（八）托管协议的变更、终止与基金财产的清算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（4）发生法律法规或《基金合同》规定的其他终止事项。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基金管理人与基金托管人按照《基金合同》的约定处理基金财产的清算。</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1305798"/>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转换等业务等。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1305799"/>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1305800"/>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1305801"/>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（一）中国证监会准予交银施罗德启嘉混合型证券投资基金募集注册的文件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（二）《交银施罗德启嘉混合型证券投资基金基金合同》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（三）《交银施罗德启嘉混合型证券投资基金托管协议》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（六）关于申请募集注册交银施罗德启嘉混合型证券投资基金的法律意见书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163</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交银施罗德启嘉混合型证券投资基金招募说明书更新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交银施罗德启嘉混合型证券投资基金招募说明书更新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交银施罗德启嘉混合型证券投资基金招募说明书更新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060FC"/>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592"/>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0757"/>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677C9"/>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0C2C4A25"/>
    <w:rsid w:val="1A113708"/>
    <w:rsid w:val="2B802581"/>
    <w:rsid w:val="4D8212ED"/>
    <w:rsid w:val="57564C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164</Pages>
  <Words>17333</Words>
  <Characters>98802</Characters>
  <Lines>823</Lines>
  <Paragraphs>231</Paragraphs>
  <TotalTime>69</TotalTime>
  <ScaleCrop>false</ScaleCrop>
  <LinksUpToDate>false</LinksUpToDate>
  <CharactersWithSpaces>115904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2026-06-02T07:15:00Z</dcterms:created>
  <dc:creator>系统用户</dc:creator>
  <cp:lastModifiedBy>haotingting</cp:lastModifiedBy>
  <cp:lastPrinted>2013-02-18T03:10:00Z</cp:lastPrinted>
  <dcterms:modified xsi:type="dcterms:W3CDTF">2026-06-03T07:46:06Z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130446D951D74731B82C9B2ABCDDC33E</vt:lpwstr>
  </property>
</Properties>
</file>