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72090">
      <w:pPr>
        <w:rPr>
          <w:sz w:val="32"/>
        </w:rPr>
      </w:pPr>
    </w:p>
    <w:p w:rsidR="00C92FC0" w:rsidRPr="00EB07BC" w:rsidRDefault="00472090">
      <w:pPr>
        <w:rPr>
          <w:sz w:val="32"/>
        </w:rPr>
      </w:pPr>
    </w:p>
    <w:p w:rsidR="00C92FC0" w:rsidRPr="00EB07BC" w:rsidRDefault="00472090">
      <w:pPr>
        <w:rPr>
          <w:sz w:val="32"/>
        </w:rPr>
      </w:pPr>
    </w:p>
    <w:p w:rsidR="00840C7D" w:rsidRDefault="00840C7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40C7D" w:rsidRDefault="00840C7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40C7D" w:rsidRDefault="00840C7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40C7D" w:rsidRDefault="0067068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交银施罗德成长</w:t>
      </w:r>
      <w:r>
        <w:rPr>
          <w:rFonts w:ascii="Times New Roman" w:hAnsi="Times New Roman"/>
          <w:b/>
          <w:spacing w:val="2"/>
          <w:w w:val="99"/>
          <w:kern w:val="0"/>
          <w:position w:val="-4"/>
          <w:sz w:val="44"/>
          <w:szCs w:val="44"/>
        </w:rPr>
        <w:t>30</w:t>
      </w:r>
      <w:r>
        <w:rPr>
          <w:rFonts w:ascii="Times New Roman" w:hAnsi="Times New Roman"/>
          <w:b/>
          <w:spacing w:val="2"/>
          <w:w w:val="99"/>
          <w:kern w:val="0"/>
          <w:position w:val="-4"/>
          <w:sz w:val="44"/>
          <w:szCs w:val="44"/>
        </w:rPr>
        <w:t>混合型证券投资基金</w:t>
      </w:r>
    </w:p>
    <w:p w:rsidR="00840C7D" w:rsidRDefault="0067068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40C7D" w:rsidRDefault="00840C7D">
      <w:pPr>
        <w:snapToGrid w:val="0"/>
        <w:spacing w:line="360" w:lineRule="auto"/>
        <w:jc w:val="center"/>
        <w:rPr>
          <w:rFonts w:ascii="宋体" w:hAnsi="宋体"/>
          <w:b/>
          <w:sz w:val="30"/>
          <w:szCs w:val="30"/>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67068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40C7D" w:rsidRDefault="0067068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840C7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40C7D" w:rsidRDefault="0067068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840C7D" w:rsidRDefault="00840C7D">
      <w:pPr>
        <w:autoSpaceDE w:val="0"/>
        <w:autoSpaceDN w:val="0"/>
        <w:adjustRightInd w:val="0"/>
        <w:snapToGrid w:val="0"/>
        <w:spacing w:line="360" w:lineRule="auto"/>
        <w:ind w:left="1347" w:rightChars="6" w:right="13"/>
        <w:rPr>
          <w:rFonts w:ascii="宋体" w:hAnsi="宋体"/>
          <w:kern w:val="0"/>
          <w:sz w:val="32"/>
          <w:szCs w:val="32"/>
        </w:rPr>
        <w:sectPr w:rsidR="00840C7D">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40C7D" w:rsidRDefault="00670685">
      <w:pPr>
        <w:pStyle w:val="1"/>
        <w:snapToGrid w:val="0"/>
        <w:spacing w:beforeLines="0" w:before="240" w:after="240"/>
        <w:rPr>
          <w:rFonts w:ascii="宋体" w:hAnsi="宋体"/>
          <w:kern w:val="0"/>
        </w:rPr>
      </w:pPr>
      <w:bookmarkStart w:id="0" w:name="_Toc324920538"/>
      <w:bookmarkStart w:id="1" w:name="_Toc496884613"/>
      <w:bookmarkStart w:id="2" w:name="_Toc231995019"/>
      <w:r>
        <w:rPr>
          <w:rFonts w:ascii="Times New Roman" w:hAnsi="Times New Roman"/>
          <w:kern w:val="0"/>
        </w:rPr>
        <w:lastRenderedPageBreak/>
        <w:t>重要提示</w:t>
      </w:r>
      <w:bookmarkEnd w:id="0"/>
      <w:bookmarkEnd w:id="1"/>
      <w:bookmarkEnd w:id="2"/>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交银施罗德成长</w:t>
      </w:r>
      <w:r>
        <w:rPr>
          <w:rFonts w:ascii="Times New Roman" w:hAnsi="Times New Roman"/>
          <w:kern w:val="0"/>
          <w:sz w:val="24"/>
        </w:rPr>
        <w:t>30</w:t>
      </w:r>
      <w:r>
        <w:rPr>
          <w:rFonts w:ascii="Times New Roman" w:hAnsi="Times New Roman"/>
          <w:kern w:val="0"/>
          <w:sz w:val="24"/>
        </w:rPr>
        <w:t>混合型证券投资基金由交银施罗德成长</w:t>
      </w:r>
      <w:r>
        <w:rPr>
          <w:rFonts w:ascii="Times New Roman" w:hAnsi="Times New Roman"/>
          <w:kern w:val="0"/>
          <w:sz w:val="24"/>
        </w:rPr>
        <w:t>30</w:t>
      </w:r>
      <w:r>
        <w:rPr>
          <w:rFonts w:ascii="Times New Roman" w:hAnsi="Times New Roman"/>
          <w:kern w:val="0"/>
          <w:sz w:val="24"/>
        </w:rPr>
        <w:t>股票型证券投资基金变更而来，交银施罗德成长</w:t>
      </w:r>
      <w:r>
        <w:rPr>
          <w:rFonts w:ascii="Times New Roman" w:hAnsi="Times New Roman"/>
          <w:kern w:val="0"/>
          <w:sz w:val="24"/>
        </w:rPr>
        <w:t>30</w:t>
      </w:r>
      <w:r>
        <w:rPr>
          <w:rFonts w:ascii="Times New Roman" w:hAnsi="Times New Roman"/>
          <w:kern w:val="0"/>
          <w:sz w:val="24"/>
        </w:rPr>
        <w:t>股票型证券投资基金经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日中国证券监督管理委员会证监许可【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255</w:t>
      </w:r>
      <w:r>
        <w:rPr>
          <w:rFonts w:ascii="Times New Roman" w:hAnsi="Times New Roman"/>
          <w:kern w:val="0"/>
          <w:sz w:val="24"/>
        </w:rPr>
        <w:t>号文核准募集。其基金基金合同于</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日正式生效。</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基金管理人保证招募说明书的内容真实、准确、完整。本招募说明书经中国证监会核准，但中国证监会对交银施罗德成长</w:t>
      </w:r>
      <w:r>
        <w:rPr>
          <w:rFonts w:ascii="Times New Roman" w:hAnsi="Times New Roman"/>
          <w:kern w:val="0"/>
          <w:sz w:val="24"/>
        </w:rPr>
        <w:t>30</w:t>
      </w:r>
      <w:r>
        <w:rPr>
          <w:rFonts w:ascii="Times New Roman" w:hAnsi="Times New Roman"/>
          <w:kern w:val="0"/>
          <w:sz w:val="24"/>
        </w:rPr>
        <w:t>股票型证券投资基金募集的核准，并不表明其对本基金的价值和收益作出实质性判断或保证，也不表明投资于本基金没有风险。</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集中持股策略风险；投资股指期货的特定风险；投资科创板股票的特定风险；投资本基金特有的其他风险等等。本基金是一只混合型基金，以成长型股票为主要投资对象，其风险和预期收益高于债券型基金和货币市场基金，低于股票型基金。属于承担较高风险、预期收益较高的证券投资基金品种。</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投资有风险，投资者在投资本基金前应认真阅读本基金的招募说明书、基金合同、基金产品资料概要。基金的过往业绩并不代表其未来表现。基金管理人管理的其他基金的业绩并不构成新基金业绩表现的保证。</w:t>
      </w:r>
    </w:p>
    <w:p w:rsidR="00840C7D" w:rsidRDefault="006706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840C7D" w:rsidRDefault="00840C7D">
      <w:pPr>
        <w:autoSpaceDE w:val="0"/>
        <w:autoSpaceDN w:val="0"/>
        <w:adjustRightInd w:val="0"/>
        <w:snapToGrid w:val="0"/>
        <w:spacing w:before="51" w:line="360" w:lineRule="auto"/>
        <w:ind w:left="120" w:rightChars="6" w:right="13" w:firstLine="480"/>
        <w:rPr>
          <w:rFonts w:ascii="宋体" w:hAnsi="宋体"/>
          <w:kern w:val="0"/>
          <w:szCs w:val="24"/>
        </w:rPr>
        <w:sectPr w:rsidR="00840C7D">
          <w:headerReference w:type="default" r:id="rId14"/>
          <w:pgSz w:w="11920" w:h="16840"/>
          <w:pgMar w:top="1440" w:right="1680" w:bottom="280" w:left="1680" w:header="0" w:footer="1073" w:gutter="0"/>
          <w:pgNumType w:start="1"/>
          <w:cols w:space="720"/>
        </w:sectPr>
      </w:pPr>
    </w:p>
    <w:p w:rsidR="00472090" w:rsidRPr="00472090" w:rsidRDefault="00670685" w:rsidP="00472090">
      <w:pPr>
        <w:pStyle w:val="ad"/>
        <w:snapToGrid w:val="0"/>
        <w:spacing w:after="240" w:line="360" w:lineRule="auto"/>
        <w:jc w:val="center"/>
        <w:rPr>
          <w:rFonts w:ascii="宋体" w:hAnsi="宋体"/>
          <w:noProof/>
          <w:sz w:val="24"/>
        </w:rPr>
      </w:pPr>
      <w:r w:rsidRPr="00472090">
        <w:rPr>
          <w:rFonts w:ascii="宋体" w:hAnsi="宋体"/>
          <w:color w:val="000000"/>
          <w:position w:val="-4"/>
          <w:sz w:val="24"/>
          <w:szCs w:val="30"/>
        </w:rPr>
        <w:lastRenderedPageBreak/>
        <w:t>目</w:t>
      </w:r>
      <w:r w:rsidRPr="00472090">
        <w:rPr>
          <w:rFonts w:ascii="宋体" w:hAnsi="宋体"/>
          <w:color w:val="000000"/>
          <w:position w:val="-4"/>
          <w:sz w:val="24"/>
          <w:szCs w:val="30"/>
        </w:rPr>
        <w:tab/>
        <w:t>录</w:t>
      </w:r>
      <w:r w:rsidR="00472090" w:rsidRPr="00472090">
        <w:rPr>
          <w:rFonts w:ascii="宋体" w:hAnsi="宋体"/>
          <w:color w:val="000000"/>
          <w:position w:val="-4"/>
          <w:sz w:val="24"/>
          <w:szCs w:val="30"/>
        </w:rPr>
        <w:fldChar w:fldCharType="begin"/>
      </w:r>
      <w:r w:rsidR="00472090" w:rsidRPr="00472090">
        <w:rPr>
          <w:rFonts w:ascii="宋体" w:hAnsi="宋体"/>
          <w:color w:val="000000"/>
          <w:position w:val="-4"/>
          <w:sz w:val="24"/>
          <w:szCs w:val="30"/>
        </w:rPr>
        <w:instrText xml:space="preserve"> TOC \o "1-3" \f - \h \t "-1" </w:instrText>
      </w:r>
      <w:r w:rsidR="00472090" w:rsidRPr="00472090">
        <w:rPr>
          <w:rFonts w:ascii="宋体" w:hAnsi="宋体"/>
          <w:color w:val="000000"/>
          <w:position w:val="-4"/>
          <w:sz w:val="24"/>
          <w:szCs w:val="30"/>
        </w:rPr>
        <w:fldChar w:fldCharType="separate"/>
      </w:r>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19" w:history="1">
        <w:r w:rsidRPr="00472090">
          <w:rPr>
            <w:rStyle w:val="aa"/>
            <w:rFonts w:ascii="宋体" w:hAnsi="宋体" w:hint="eastAsia"/>
            <w:noProof/>
            <w:kern w:val="0"/>
            <w:sz w:val="24"/>
          </w:rPr>
          <w:t>重要提示</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_Toc231995019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0" w:history="1">
        <w:r w:rsidRPr="00472090">
          <w:rPr>
            <w:rStyle w:val="aa"/>
            <w:rFonts w:ascii="宋体" w:hAnsi="宋体" w:hint="eastAsia"/>
            <w:noProof/>
            <w:sz w:val="24"/>
          </w:rPr>
          <w:t>一、绪言</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_Toc231995020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4</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1" w:history="1">
        <w:r w:rsidRPr="00472090">
          <w:rPr>
            <w:rStyle w:val="aa"/>
            <w:rFonts w:ascii="宋体" w:hAnsi="宋体" w:hint="eastAsia"/>
            <w:noProof/>
            <w:sz w:val="24"/>
          </w:rPr>
          <w:t>二、释义</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_Toc231995021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5</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2" w:history="1">
        <w:r w:rsidRPr="00472090">
          <w:rPr>
            <w:rStyle w:val="aa"/>
            <w:rFonts w:ascii="宋体" w:hAnsi="宋体" w:hint="eastAsia"/>
            <w:noProof/>
            <w:sz w:val="24"/>
          </w:rPr>
          <w:t>三、基金管理人</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_Toc231995022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3" w:history="1">
        <w:r w:rsidRPr="00472090">
          <w:rPr>
            <w:rStyle w:val="aa"/>
            <w:rFonts w:ascii="宋体" w:hAnsi="宋体" w:hint="eastAsia"/>
            <w:noProof/>
            <w:sz w:val="24"/>
          </w:rPr>
          <w:t>四、基金托管人</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_Toc231995023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17</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4" w:history="1">
        <w:r w:rsidRPr="00472090">
          <w:rPr>
            <w:rStyle w:val="aa"/>
            <w:rFonts w:ascii="宋体" w:hAnsi="宋体" w:hint="eastAsia"/>
            <w:noProof/>
            <w:sz w:val="24"/>
          </w:rPr>
          <w:t>五、相关服务机构</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_Toc231995024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20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5" w:history="1">
        <w:r w:rsidRPr="00472090">
          <w:rPr>
            <w:rStyle w:val="aa"/>
            <w:rFonts w:ascii="宋体" w:hAnsi="宋体" w:hint="eastAsia"/>
            <w:noProof/>
            <w:sz w:val="24"/>
          </w:rPr>
          <w:t>六、基金的历史沿革</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_Toc231995025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54</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6" w:history="1">
        <w:r w:rsidRPr="00472090">
          <w:rPr>
            <w:rStyle w:val="aa"/>
            <w:rFonts w:ascii="宋体" w:hAnsi="宋体" w:hint="eastAsia"/>
            <w:noProof/>
            <w:sz w:val="24"/>
          </w:rPr>
          <w:t>七、基金的存续</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_Toc231995026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55</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7" w:history="1">
        <w:r w:rsidRPr="00472090">
          <w:rPr>
            <w:rStyle w:val="aa"/>
            <w:rFonts w:ascii="宋体" w:hAnsi="宋体" w:hint="eastAsia"/>
            <w:noProof/>
            <w:sz w:val="24"/>
          </w:rPr>
          <w:t>八、基金份额的申购与赎回</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_Toc231995027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56</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8" w:history="1">
        <w:r w:rsidRPr="00472090">
          <w:rPr>
            <w:rStyle w:val="aa"/>
            <w:rFonts w:ascii="宋体" w:hAnsi="宋体" w:hint="eastAsia"/>
            <w:noProof/>
            <w:sz w:val="24"/>
          </w:rPr>
          <w:t>九、基金的转换</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_Toc231995028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68</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29" w:history="1">
        <w:r w:rsidRPr="00472090">
          <w:rPr>
            <w:rStyle w:val="aa"/>
            <w:rFonts w:ascii="宋体" w:hAnsi="宋体" w:hint="eastAsia"/>
            <w:noProof/>
            <w:sz w:val="24"/>
          </w:rPr>
          <w:t>十、基金的投资</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_Toc231995029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75</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0" w:history="1">
        <w:r w:rsidRPr="00472090">
          <w:rPr>
            <w:rStyle w:val="aa"/>
            <w:rFonts w:ascii="宋体" w:hAnsi="宋体" w:hint="eastAsia"/>
            <w:noProof/>
            <w:sz w:val="24"/>
          </w:rPr>
          <w:t>十一、基金的业绩</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_Toc231995030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87</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1" w:history="1">
        <w:r w:rsidRPr="00472090">
          <w:rPr>
            <w:rStyle w:val="aa"/>
            <w:rFonts w:ascii="宋体" w:hAnsi="宋体" w:hint="eastAsia"/>
            <w:noProof/>
            <w:sz w:val="24"/>
          </w:rPr>
          <w:t>十二、基金的财产</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_Toc231995031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89</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2" w:history="1">
        <w:r w:rsidRPr="00472090">
          <w:rPr>
            <w:rStyle w:val="aa"/>
            <w:rFonts w:ascii="宋体" w:hAnsi="宋体" w:hint="eastAsia"/>
            <w:noProof/>
            <w:sz w:val="24"/>
          </w:rPr>
          <w:t>十三、基金资产的估值</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_Toc231995032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90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3" w:history="1">
        <w:r w:rsidRPr="00472090">
          <w:rPr>
            <w:rStyle w:val="aa"/>
            <w:rFonts w:ascii="宋体" w:hAnsi="宋体" w:hint="eastAsia"/>
            <w:noProof/>
            <w:sz w:val="24"/>
          </w:rPr>
          <w:t>十四、基金的收益与分配</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_Toc231995033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95</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4" w:history="1">
        <w:r w:rsidRPr="00472090">
          <w:rPr>
            <w:rStyle w:val="aa"/>
            <w:rFonts w:ascii="宋体" w:hAnsi="宋体" w:hint="eastAsia"/>
            <w:noProof/>
            <w:sz w:val="24"/>
          </w:rPr>
          <w:t>十五、基金的费用与税收</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_Toc231995034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97</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5" w:history="1">
        <w:r w:rsidRPr="00472090">
          <w:rPr>
            <w:rStyle w:val="aa"/>
            <w:rFonts w:ascii="宋体" w:hAnsi="宋体" w:hint="eastAsia"/>
            <w:noProof/>
            <w:sz w:val="24"/>
          </w:rPr>
          <w:t>十六、基金的会计与审计</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_Toc231995035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100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6" w:history="1">
        <w:r w:rsidRPr="00472090">
          <w:rPr>
            <w:rStyle w:val="aa"/>
            <w:rFonts w:ascii="宋体" w:hAnsi="宋体" w:hint="eastAsia"/>
            <w:noProof/>
            <w:sz w:val="24"/>
          </w:rPr>
          <w:t>十七、基金的信息披露</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_Toc231995036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101</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7" w:history="1">
        <w:r w:rsidRPr="00472090">
          <w:rPr>
            <w:rStyle w:val="aa"/>
            <w:rFonts w:ascii="宋体" w:hAnsi="宋体" w:hint="eastAsia"/>
            <w:noProof/>
            <w:sz w:val="24"/>
          </w:rPr>
          <w:t>十八、风险揭示</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_Toc231995037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107</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8" w:history="1">
        <w:r w:rsidRPr="00472090">
          <w:rPr>
            <w:rStyle w:val="aa"/>
            <w:rFonts w:ascii="宋体" w:hAnsi="宋体" w:hint="eastAsia"/>
            <w:noProof/>
            <w:sz w:val="24"/>
          </w:rPr>
          <w:t>十九、基金合同的终止与基金财产的清算</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_Toc231995038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114</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39" w:history="1">
        <w:r w:rsidRPr="00472090">
          <w:rPr>
            <w:rStyle w:val="aa"/>
            <w:rFonts w:ascii="宋体" w:hAnsi="宋体" w:hint="eastAsia"/>
            <w:noProof/>
            <w:sz w:val="24"/>
          </w:rPr>
          <w:t>二十、基金合同内容摘要</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_Toc231995039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116</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40" w:history="1">
        <w:r w:rsidRPr="00472090">
          <w:rPr>
            <w:rStyle w:val="aa"/>
            <w:rFonts w:ascii="宋体" w:hAnsi="宋体" w:hint="eastAsia"/>
            <w:noProof/>
            <w:sz w:val="24"/>
          </w:rPr>
          <w:t>二十一、托管协议的内容摘要</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_Toc231995040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130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41" w:history="1">
        <w:r w:rsidRPr="00472090">
          <w:rPr>
            <w:rStyle w:val="aa"/>
            <w:rFonts w:ascii="宋体" w:hAnsi="宋体" w:hint="eastAsia"/>
            <w:noProof/>
            <w:sz w:val="24"/>
          </w:rPr>
          <w:t>二十二、对基金份额持有人的服务</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_Toc231995041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148</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42" w:history="1">
        <w:r w:rsidRPr="00472090">
          <w:rPr>
            <w:rStyle w:val="aa"/>
            <w:rFonts w:ascii="宋体" w:hAnsi="宋体" w:hint="eastAsia"/>
            <w:noProof/>
            <w:sz w:val="24"/>
          </w:rPr>
          <w:t>二十三、其他应披露事项</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_Toc231995042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150</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43" w:history="1">
        <w:r w:rsidRPr="00472090">
          <w:rPr>
            <w:rStyle w:val="aa"/>
            <w:rFonts w:ascii="宋体" w:hAnsi="宋体" w:hint="eastAsia"/>
            <w:noProof/>
            <w:sz w:val="24"/>
          </w:rPr>
          <w:t>二十四、招募说明书的存放及查阅方式</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_Toc231995043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152</w:t>
        </w:r>
        <w:r w:rsidRPr="00472090">
          <w:rPr>
            <w:rFonts w:ascii="宋体" w:hAnsi="宋体"/>
            <w:noProof/>
            <w:sz w:val="24"/>
          </w:rPr>
          <w:fldChar w:fldCharType="end"/>
        </w:r>
      </w:hyperlink>
    </w:p>
    <w:p w:rsidR="00472090" w:rsidRPr="00472090" w:rsidRDefault="00472090" w:rsidP="00472090">
      <w:pPr>
        <w:pStyle w:val="10"/>
        <w:tabs>
          <w:tab w:val="right" w:leader="dot" w:pos="8550"/>
        </w:tabs>
        <w:spacing w:line="360" w:lineRule="auto"/>
        <w:rPr>
          <w:rFonts w:ascii="宋体" w:hAnsi="宋体" w:cstheme="minorBidi"/>
          <w:noProof/>
          <w:sz w:val="24"/>
        </w:rPr>
      </w:pPr>
      <w:hyperlink w:anchor="_Toc231995044" w:history="1">
        <w:r w:rsidRPr="00472090">
          <w:rPr>
            <w:rStyle w:val="aa"/>
            <w:rFonts w:ascii="宋体" w:hAnsi="宋体" w:hint="eastAsia"/>
            <w:noProof/>
            <w:sz w:val="24"/>
          </w:rPr>
          <w:t>二十五、备查文件</w:t>
        </w:r>
        <w:r w:rsidRPr="00472090">
          <w:rPr>
            <w:rFonts w:ascii="宋体" w:hAnsi="宋体"/>
            <w:noProof/>
            <w:sz w:val="24"/>
          </w:rPr>
          <w:tab/>
        </w:r>
        <w:r w:rsidRPr="00472090">
          <w:rPr>
            <w:rFonts w:ascii="宋体" w:hAnsi="宋体"/>
            <w:noProof/>
            <w:sz w:val="24"/>
          </w:rPr>
          <w:fldChar w:fldCharType="begin"/>
        </w:r>
        <w:r w:rsidRPr="00472090">
          <w:rPr>
            <w:rFonts w:ascii="宋体" w:hAnsi="宋体"/>
            <w:noProof/>
            <w:sz w:val="24"/>
          </w:rPr>
          <w:instrText xml:space="preserve"> PAGEREF _Toc231995044 \h </w:instrText>
        </w:r>
        <w:r w:rsidRPr="00472090">
          <w:rPr>
            <w:rFonts w:ascii="宋体" w:hAnsi="宋体"/>
            <w:noProof/>
            <w:sz w:val="24"/>
          </w:rPr>
        </w:r>
        <w:r w:rsidRPr="00472090">
          <w:rPr>
            <w:rFonts w:ascii="宋体" w:hAnsi="宋体"/>
            <w:noProof/>
            <w:sz w:val="24"/>
          </w:rPr>
          <w:fldChar w:fldCharType="separate"/>
        </w:r>
        <w:r w:rsidRPr="00472090">
          <w:rPr>
            <w:rFonts w:ascii="宋体" w:hAnsi="宋体"/>
            <w:noProof/>
            <w:sz w:val="24"/>
          </w:rPr>
          <w:t>153</w:t>
        </w:r>
        <w:r w:rsidRPr="00472090">
          <w:rPr>
            <w:rFonts w:ascii="宋体" w:hAnsi="宋体"/>
            <w:noProof/>
            <w:sz w:val="24"/>
          </w:rPr>
          <w:fldChar w:fldCharType="end"/>
        </w:r>
      </w:hyperlink>
    </w:p>
    <w:p w:rsidR="00840C7D" w:rsidRPr="00472090" w:rsidRDefault="00472090" w:rsidP="00472090">
      <w:pPr>
        <w:pStyle w:val="ad"/>
        <w:snapToGrid w:val="0"/>
        <w:spacing w:after="240" w:line="360" w:lineRule="auto"/>
        <w:jc w:val="center"/>
        <w:rPr>
          <w:rFonts w:ascii="宋体" w:hAnsi="宋体"/>
          <w:color w:val="000000"/>
          <w:sz w:val="24"/>
        </w:rPr>
      </w:pPr>
      <w:r w:rsidRPr="00472090">
        <w:rPr>
          <w:rFonts w:ascii="宋体" w:hAnsi="宋体"/>
          <w:color w:val="000000"/>
          <w:position w:val="-4"/>
          <w:sz w:val="24"/>
          <w:szCs w:val="30"/>
        </w:rPr>
        <w:fldChar w:fldCharType="end"/>
      </w:r>
      <w:bookmarkStart w:id="3" w:name="_GoBack"/>
      <w:bookmarkEnd w:id="3"/>
    </w:p>
    <w:p w:rsidR="00840C7D" w:rsidRDefault="00840C7D">
      <w:pPr>
        <w:autoSpaceDE w:val="0"/>
        <w:autoSpaceDN w:val="0"/>
        <w:adjustRightInd w:val="0"/>
        <w:snapToGrid w:val="0"/>
        <w:spacing w:line="360" w:lineRule="auto"/>
        <w:ind w:left="120" w:rightChars="6" w:right="13"/>
        <w:rPr>
          <w:rFonts w:ascii="宋体" w:hAnsi="宋体"/>
          <w:kern w:val="0"/>
          <w:szCs w:val="24"/>
        </w:rPr>
        <w:sectPr w:rsidR="00840C7D">
          <w:pgSz w:w="11920" w:h="16840"/>
          <w:pgMar w:top="1480" w:right="1680" w:bottom="280" w:left="1680" w:header="0" w:footer="1073" w:gutter="0"/>
          <w:cols w:space="720"/>
        </w:sectPr>
      </w:pPr>
    </w:p>
    <w:p w:rsidR="00840C7D" w:rsidRDefault="00670685">
      <w:pPr>
        <w:pStyle w:val="1"/>
        <w:snapToGrid w:val="0"/>
        <w:spacing w:beforeLines="0" w:before="240" w:after="240"/>
        <w:rPr>
          <w:rFonts w:ascii="宋体" w:hAnsi="宋体"/>
          <w:szCs w:val="30"/>
        </w:rPr>
      </w:pPr>
      <w:bookmarkStart w:id="4" w:name="_Toc231995020"/>
      <w:r>
        <w:rPr>
          <w:rFonts w:ascii="Times New Roman" w:hAnsi="Times New Roman"/>
          <w:sz w:val="30"/>
        </w:rPr>
        <w:lastRenderedPageBreak/>
        <w:t>一、绪言</w:t>
      </w:r>
      <w:bookmarkEnd w:id="4"/>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成长30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成长30混合型证券投资基金基金合同》（以下简称“基金合同”）编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5" w:name="_Toc231995021"/>
      <w:r>
        <w:rPr>
          <w:rFonts w:ascii="Times New Roman" w:hAnsi="Times New Roman"/>
          <w:sz w:val="30"/>
        </w:rPr>
        <w:lastRenderedPageBreak/>
        <w:t>二、释义</w:t>
      </w:r>
      <w:bookmarkEnd w:id="5"/>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1、基金或本基金：指交银施罗德成长30混合型证券投资基金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3、基金托管人或本基金托管人：指中国建设银行股份有限公司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4、基金合同或《基金合同》：指《交银施罗德成长30混合型证券投资基金基金合同》及对该基金合同的任何有效修订和补充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5、托管协议：指基金管理人与基金托管人就本基金签订之《交银施罗德成长30混合型证券投资基金托管协议》及对该托管协议的任何有效修订和补充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6、招募说明书、《招募说明书》或本招募说明书：指《交银施罗德成长30混合型证券投资基金招募说明书》及其更新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7、基金份额发售公告：指《交银施罗德成长30股票型证券投资基金基金份额发售公告》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8、基金产品资料概要：指《交银施罗德成长30混合型证券投资基金基金产品资料概要》及其更新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以及可通过上海证券交易所开放式基金销售系统办理基金销售业务的会员单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具有开放式基金代销资格，经上海证券交易所和中国证券登记结算有限责任公司认可的、可通过上海证券交易所开放式基金销售系统办理开放式基金的认购、申购、赎回和转托管等业务的上海证券交易所会员单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28、销售机构：指直销机构和代销机构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30、登记机构：指办理登记业务的机构。基金的登记机构为交银施罗德基金管</w:t>
      </w:r>
      <w:r>
        <w:rPr>
          <w:rFonts w:ascii="宋体" w:hAnsi="宋体"/>
          <w:sz w:val="24"/>
        </w:rPr>
        <w:lastRenderedPageBreak/>
        <w:t>理有限公司或接受交银施罗德基金管理有限公司委托代为办理登记业务的机构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31、开放式基金账户：指登记机构为投资人开立的、记录其持有的、基金管理人所管理的基金份额余额及其变动情况的账户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32、基金交易账户：指销售机构为投资人开立的、记录投资人通过该销售机构办理认购、申购、赎回、转换及转托管等业务而引起的基金份额变动及结余情况的账户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简称“A股账户”)或证券投资基金账户(简称“基金账户”)，投资人通过上海证券交易所开放式基金销售系统办理申购、赎回等业务时需持有上海证券账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国证券登记结算有限责任公司场内业务有关规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w:t>
      </w:r>
      <w:r>
        <w:rPr>
          <w:rFonts w:ascii="宋体" w:hAnsi="宋体"/>
          <w:sz w:val="24"/>
        </w:rPr>
        <w:lastRenderedPageBreak/>
        <w:t>购买基金份额的行为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51、基金转换：指基金份额持有人按照本基金合同和基金管理人届时有效公告规定的条件，申请将其持有基金管理人管理的、某一基金的基金份额转换为基金管理人管理的其他基金基金份额的行为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52、转托管：指基金份额持有人在本基金的不同销售机构之间实施的变更所持基金份额销售机构的操作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55、元：指人民币元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56、基金收益：指基金投资所得红利、股息、债券利息、买卖证券价差、银行存款利息、已实现的其他合法收入及因运用基金财产带来的成本和费用的节约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57、基金资产总值：指基金拥有的各类有价证券、银行存款本息、基金应收申购款及其他资产的价值总和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58、基金资产净值：指基金资产总值减去基金负债后的价值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59、基金份额净值：指计算日基金资产净值除以计算日基金份额总数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60、基金资产估值：指计算评估基金资产和负债的价值，以确定基金资产净值和基金份额净值的过程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62、指定媒介：指中国证监会指定的用以进行信息披露的全国性报刊及指定互联网网站（包括基金管理人网站、基金托管人网站、中国证监会基金电子披露网站）等媒介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63、不可抗力：指本基金合同当事人不能预见、不能避免且不能克服的客观事件</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6" w:name="_Toc231995022"/>
      <w:r>
        <w:rPr>
          <w:rFonts w:ascii="Times New Roman" w:hAnsi="Times New Roman"/>
          <w:sz w:val="30"/>
        </w:rPr>
        <w:lastRenderedPageBreak/>
        <w:t>三、基金管理人</w:t>
      </w:r>
      <w:bookmarkEnd w:id="6"/>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郭斐先生:基金经理。复旦大学经济学学士，17年证券投资行业从业经验。2009年至2014年于高盛（亚洲）有限责任公司/高华证券公司任职。2014年加入交银施罗德基金管理有限公司，曾任研究部行业分析师，现任权益部基金经理。现任交银施罗德成长30混合型证券投资基金(2017年09月26日至今)、交银施罗德经济新动力混合型证券投资基金(2018年06月02日至今)、交银施罗德创新领航混合型证券投资基金(2020年02月27日至今)、交银施罗德瑞卓三年持有期混合型证券投资基金(2021年09月24日至今)的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管华雨先生(2013年06月05日至2014年10月21日)；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王少成先生(2013年07月02日至2019年06月17日)。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7" w:name="_Toc231995023"/>
      <w:r>
        <w:rPr>
          <w:rFonts w:ascii="Times New Roman" w:hAnsi="Times New Roman"/>
          <w:sz w:val="30"/>
        </w:rPr>
        <w:lastRenderedPageBreak/>
        <w:t>四、基金托管人</w:t>
      </w:r>
      <w:bookmarkEnd w:id="7"/>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8" w:name="_Toc231995024"/>
      <w:r>
        <w:rPr>
          <w:rFonts w:ascii="Times New Roman" w:hAnsi="Times New Roman"/>
          <w:sz w:val="30"/>
        </w:rPr>
        <w:lastRenderedPageBreak/>
        <w:t>五、相关服务机构</w:t>
      </w:r>
      <w:bookmarkEnd w:id="8"/>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具有基金代销资格的上海证券交易所场内会员单位。（具体名单见基金份额发售公告）。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（2）名称：中国建设银行股份有限公司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（5）名称：江苏常熟农村商业银行股份有限公司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办公地址：江苏省常熟市新世纪大道58号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（6）名称：东莞农村商业银行股份有限公司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传真：0755-82080406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（10）名称：中国光大银行股份有限公司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（11）名称：中国邮政储蓄银行股份有限公司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（12）名称：光大证券股份有限公司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住所：上海市静安区新闸路1508号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（15）名称：山西证券股份有限公司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客户服务电话：400-666-1618、95573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（16）名称：华福证券股份有限公司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（17）名称：方正证券股份有限公司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（18）名称：德邦证券股份有限公司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（19）名称：国投证券股份有限公司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（20）名称：东莞证券股份有限公司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（21）名称：中航证券有限公司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（22）名称：中信建投证券股份有限公司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（23）名称：东方财富证券股份有限公司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（24）名称：国信证券股份有限公司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（25）名称：金融街证券股份有限公司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（26）名称：兴业证券股份有限公司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办公地址：上海市浦东新区长柳路36号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（27）名称：中国银河证券股份有限公司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（28）名称：申万宏源证券有限公司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（29）名称：国都证券股份有限公司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（30）名称：平安证券股份有限公司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办公地址：深圳市福田区金田路大中华国际交易广场裙楼8楼(518048)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（31）名称：中信证券（山东）有限责任公司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（32）名称：申万宏源西部证券有限公司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（33）名称：中泰证券股份有限公司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传真：（0531）68889752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（34）名称：江海证券有限公司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（35）名称：中国国际金融股份有限公司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（36）名称：瑞银证券有限责任公司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（37）名称：长城证券有限责任公司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住所：深圳市福田区深南大道6008号特区报业大厦14、16、17层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（38）名称：国金证券股份有限公司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（39）名称：渤海证券股份有限公司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（40）名称：信达证券股份有限公司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传真：（010）63081344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（41）名称：西南证券股份有限公司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（42）名称：国新证券股份有限公司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（43）名称：粤开证券股份有限公司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（44）名称：华西证券股份有限公司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办公地址：四川省成都市高新区天府二街198号华西证券大厦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（45）名称：第一创业证券股份有限公司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（46）名称：联储证券有限责任公司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（47）名称：中信证券华南股份有限公司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联系人：郭杏燕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（48）名称：国泰海通证券股份有限公司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（49）名称：招商证券股份有限公司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（50）名称：长城国瑞证券有限公司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（51）名称：华宝证券股份有限公司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（52）名称：万联证券股份有限公司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（53）名称：华龙证券股份有限公司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（54）名称：国联民生证券股份有限公司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联系电话：0510-82832051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（55）名称：天风证券股份有限公司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（56）名称：东兴证券股份有限公司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（57）名称：西部证券股份有限公司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（58）名称：开源证券股份有限公司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注册地址：陕西省西安市高新区锦业路一号都市之门B座5层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（59）名称：民生证券股份有限公司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（60）名称：北京广源达信基金销售有限公司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（61）名称：大连网金基金销售有限公司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传真：（0411-39027835）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（62）名称：阳光人寿保险股份有限公司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（63）名称：玄元保险代理有限公司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（64）名称：京东肯特瑞基金销售有限公司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（65）名称：上海大智慧基金销售有限公司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（66）名称：珠海盈米基金销售有限公司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（67）名称：上海华夏财富投资管理有限公司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（68）名称：北京度小满基金销售有限公司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法定代表人：葛新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（69）名称：南京苏宁基金销售有限公司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（70）名称：嘉实财富管理有限公司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（71）名称：北京汇成基金销售有限公司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传真：（010）62680827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（72）名称：上海利得基金销售有限公司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（73）名称：北京虹点基金销售有限公司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（74）名称：上海陆金所基金销售有限公司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网址：www.lufunds.com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（75）名称：上海挖财基金销售有限公司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（76）名称：万家财富基金销售（天津）有限公司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（77）名称：上海万得基金销售有限公司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（78）名称：格上富信投资顾问有限公司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住所：北京市朝阳区东三环北路19号楼701内09室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（79）名称：深圳市金斧子基金销售有限公司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（80）名称：北京雪球基金销售有限公司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（81）名称：北京新浪仓石基金销售有限公司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w:t>
      </w:r>
      <w:r>
        <w:rPr>
          <w:rFonts w:ascii="宋体" w:hAnsi="宋体"/>
          <w:sz w:val="24"/>
        </w:rPr>
        <w:lastRenderedPageBreak/>
        <w:t>新浪总部科研楼5层518室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（82）名称：中证金牛（北京）基金销售有限公司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（83）名称：上海证达通基金销售有限公司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（84）名称：北京创金启富基金销售有限公司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魏素清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（85）名称：奕丰基金销售有限公司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（86）名称：上海天天基金销售有限公司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（87）名称：和讯信息科技有限公司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（88）名称：诺亚正行基金销售有限公司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（89）名称：上海好买基金销售有限公司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（90）名称：上海长量基金销售有限公司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（91）名称：深圳众禄基金销售股份有限公司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法定代表人：薛峰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（92）名称：蚂蚁（杭州）基金销售有限公司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（93）名称：中信期货有限公司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（94）名称：天相投资顾问有限公司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电话：（010）66045529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（95）名称：上海基煜基金销售有限公司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（96）名称：浙江同花顺基金销售有限公司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（97）名称：宜信普泽（北京）基金销售有限公司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联系人：蒋凯帆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（98）名称：上海联泰基金销售有限公司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（99）名称：中国人寿保险股份有限公司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（100）名称：泛华普益基金销售有限公司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（101）名称：北京展恒基金销售股份有限公司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（102）名称：深圳市新兰德证券投资咨询有限公司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（103）名称：和耕传承基金销售有限公司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（104）名称：上海中欧财富基金销售有限公司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传真：021-33830351</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（105）名称：腾安基金销售（深圳）有限公司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（106）名称：济安财富（北京）基金销售有限公司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（107）名称：博时财富基金销售有限公司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（108）名称：深圳前海微众银行股份有限公司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住所：北京市东城区东长安街1号东方广场2座办公楼8层</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9" w:name="_Toc231995025"/>
      <w:r>
        <w:rPr>
          <w:rFonts w:ascii="Times New Roman" w:hAnsi="Times New Roman"/>
          <w:sz w:val="30"/>
        </w:rPr>
        <w:lastRenderedPageBreak/>
        <w:t>六、基金的历史沿革</w:t>
      </w:r>
      <w:bookmarkEnd w:id="9"/>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成长30混合型证券投资基金由交银施罗德成长30股票型证券投资基金变更而来，交银施罗德成长30股票型证券投资基金由基金管理人依照《基金法》、《运作办法》、基金合同及其他有关规定，并经中国证监会证监许可[2013]255号文核准募集发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交银施罗德成长30股票型证券投资基金为契约型开放式股票型基金。基金存续期间为不定期。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本基金自2013年5月6日至2013年5月31日进行发售。本基金设立募集期共募集2,024,955,437.39份基金份额，有效认购户数为14,946户。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成长30混合型证券投资基金，由《交银施罗德成长30股票型证券投资基金基金合同》修订而成的《交银施罗德成长30混合型证券投资基金基金合同》自该日起生效。</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0" w:name="_Toc231995026"/>
      <w:r>
        <w:rPr>
          <w:rFonts w:ascii="Times New Roman" w:hAnsi="Times New Roman"/>
          <w:sz w:val="30"/>
        </w:rPr>
        <w:lastRenderedPageBreak/>
        <w:t>七、基金的存续</w:t>
      </w:r>
      <w:bookmarkEnd w:id="10"/>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1" w:name="_Toc231995027"/>
      <w:r>
        <w:rPr>
          <w:rFonts w:ascii="Times New Roman" w:hAnsi="Times New Roman"/>
          <w:sz w:val="30"/>
        </w:rPr>
        <w:lastRenderedPageBreak/>
        <w:t>八、基金份额的申购与赎回</w:t>
      </w:r>
      <w:bookmarkEnd w:id="11"/>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个人投资者可以通过基金管理人网上直销交易平台办理开户、本基金的申购、赎回、定期定额投资、转换等业务，具体交易细则请参阅本基金管理人网站。网上直销交易平台网址：www.fund001.com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2、通过上海证券交易所开放式基金销售系统办理相关业务的上海证券交易所会员单位，目前场内交易只支持前端基金份额的申购。具体名单详见上海证券交易所网站。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本基金场外代销机构参见本招募说明书“五、相关服务机构”章节或拨打本公司客户服务电话进行咨询。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投资者可通过上述销售机构办理基金销售业务的营业场所或按上述销售机构提供的其他方式进行申购或赎回。本基金管理人可根据情况变更或增减基金场外代销机构，并在管理人网站公示。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本基金已于2013年8月30日起开放场内、场外申购业务。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本基金已于2013年8月30日起开放场内、场外赎回业务。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5、投资人通过上海证券交易所开放式基金销售系统办理本基金的场内申购、赎回业务时，需遵守上海证券交易所的相关业务规则。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6、基金管理人可在法律法规允许的情况下，对上述原则进行调整。基金管理人必须在新规则开始实施前依照《信息披露办法》的有关规定在指定媒介上公告。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场外申购时，场外代销机构单笔申购的最低金额为单笔1元，如果代销机构业务规则规定的最低单笔认购金额高于1元，以代销机构的规定为准。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通过本公司网上直销交易平台办理基金申购业务的不受直销机构单笔申购最低金额的限制，申购最低金额为单笔1元。本基金直销机构单笔申购最低金额可由基金管理人酌情调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w:t>
      </w:r>
      <w:r>
        <w:rPr>
          <w:rFonts w:ascii="宋体" w:hAnsi="宋体"/>
          <w:sz w:val="24"/>
        </w:rPr>
        <w:lastRenderedPageBreak/>
        <w:t>回申请无效。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投资人申购基金份额时，必须全额交付申购款项，若申购资金在规定时间内未全额到账则申购不成功。</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投资人赎回申请成功后，基金管理人将在T＋7日（包括该日) 内支付赎回款项。在发生巨额赎回时，款项的支付办法参照本基金合同有关条款处理。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 (包括该日) 到销售网点柜台或以销售机构规定的其他方式查询申请的确认情况。若申购不成功，则申购款项退还给投资人。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（六）申购与赎回的注册登记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日申购基金成功后，正常情况下，登记机构在T＋1 日为投资者增加权益并办理注册登记手续，投资者自T＋2 日（包括该日）起有权赎回该部分基金份额。投资者应及时查询有关申请的确认情况。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日赎回基金成功后，正常情况下，登记机构在T＋1 日为投资者扣除权益并办理相应的注册登记手续。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3、基金管理人可在法律法规允许的范围内，对上述注册登记办理时间进行调整，并最迟于开始实施前按照《信息披露办法》的有关规定在指定媒介上公告。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（七）基金的申购费和赎回费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本基金提供两种申购费用的支付模式。投资者可以选择前端收费模式，即在申购时支付申购费用；也可以选择后端收费模式，即在赎回时才支付相应的申购费</w:t>
      </w:r>
      <w:r>
        <w:rPr>
          <w:rFonts w:ascii="宋体" w:hAnsi="宋体"/>
          <w:sz w:val="24"/>
        </w:rPr>
        <w:lastRenderedPageBreak/>
        <w:t>用，该费用随基金份额的持有时间递减。场外申购可以采取前端收费模式和后端收费模式，场内申购目前只支持前端收费模式。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本基金的申购费用由基金申购人承担，不列入基金财产，主要用于本基金的市场推广、销售、注册登记等各项费用。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40C7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840C7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赎回基金份额的基金份额持有人承担，在基金份额持有人赎回基金份额时收取，赎回费用的25%归基金财产，其余用于支付注册登记费和其他必要的手续费。其中，对持续持有期少于7日的基金份额持有人收取不低于1.5%的赎回费并全额计入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40C7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840C7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40C7D" w:rsidRDefault="00840C7D">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反法律法规规定及基金合同约定的情形下根据市场情况制定基金促销计划，针对投资人定期或不定期地开展基金促销活动。在基金促销活动期间，按相关监管部门要求履行必要手续后，基金管理人可以适当调低基金申购费率、基金赎回费率和转换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（八）申购和赎回的数额和价格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为净申购金额除以当日的基金份额净值，有效份额单位为份，场外申购有效份额的计算按四舍五入方法，保留到小数点后两位，由此产生的收益或损失由基金财产承担。场内申购有效份额的计算保留到整数位，剩余部分折回金额返回投资人，折回金额的计算保留到小数点后2位，小数点2位以后的部分四舍五入，由此产生的收益或损失由基金财产承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当日基金份额净值并扣除相应的费用，赎回金额计算结果保留到小数点后2位，小数点后两位以后的部分四舍五入，由此产生的收益或损失由基金财产承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场外申购可以采取前端收费模式和后端收费模式，场内申购目前只支持前端收费模式。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场内申购金额的有效份额保留到整数位，剩余部分对应申购资金返还投资者。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例一：某投资者投资40,000元申购本基金，假设申购当日基金份额净值为1.040元，如果其选择前端收费方式，申购费率为1.5%，则其可得到的申购份额为：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如果投资者是场外申购，申购份额为37,893.14份。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如果投资者是场内申购，则申购份额为37,893份，其余0.14份对应金额返回给投资者。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例二：某投资者投资40,000元申购本基金，假设申购当日基金份额净值为1.040元，如果其选择后端收费方式，则其可得到的申购份额为：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 ＝ 38,461.54份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即：投资者投资40,000元申购本基金，假设申购当日基金份额净值为1.040元，则可得到38,461.54份基金份额，但其在赎回时需根据其持有时间按对应的后端申购费率交纳后端申购费用。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（1）如果投资者在认（申）购时选择交纳前端认（申）购费用，则赎回金额的计算方法如下：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例三：某投资者赎回通过前端认购（申购）持有的10,000份基金份额，对应的</w:t>
      </w:r>
      <w:r>
        <w:rPr>
          <w:rFonts w:ascii="宋体" w:hAnsi="宋体"/>
          <w:sz w:val="24"/>
        </w:rPr>
        <w:lastRenderedPageBreak/>
        <w:t>赎回费率为0.5%，假设赎回当日基金份额净值是1.016元，则其可得到的赎回金额为：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即：投资者赎回本基金10,000份基金份额，假设赎回当日基金份额净值是1.016元，则其可得到的赎回金额为10,109.20元。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（2）如果投资者在认（申）购时选择交纳后端认（申）购费用，则赎回金额的计算方法如下：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例四：某投资者赎回通过后端认购持有的10,000份基金份额，对应的后端认购费率为1.6%，赎回费率为0.5%，假设赎回当日基金份额净值是1.016元，则其可得到的赎回金额为：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10,000×1.00×1.6% = 160.00元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10,000×1.016-160.00-50.80 ＝ 9,949.20元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基金份额，对应的赎回费率为0.5%，假设赎回当日基金份额净值是1.016元，投资者对应的后端认购费率是1.6%，认购时的基金份额初始面值为1.00元，则其可得到的赎回金额为9,949.20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例五：某投资者赎回通过后端申购持有的10,000份基金份额，对应的后端申购费率是1.8%，赎回费率为0.5%，假设赎回当日基金份额净值是1.016元，申购时的基金份额净值为1.010元，则其可得到的赎回金额为：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赎回总额=10,000×1.016=10,160元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后端申购费用=10,000×1.010×1.8%=181.80元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即：投资者赎回本基金10,000份基金份额，对应的赎回费率为0.5%，假设赎回当日基金份额净值是1.016元，投资者对应的后端申购费率是1.8%，申购时的基金净值为1.010元，则其可得到的赎回金额为9,927.40元。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净值的计算，保留到小数点后3位，小数点后第4位四舍五入，由此误差产生的收益或损失由基金财产承担。本基金T日的基金份额净值在当天收市后计算，并在T＋1日内公告。遇特殊情况，经中国证监会同意，可以适当延迟计算或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（九）拒绝或暂停申购的情形及处理方式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6、基金管理人接受某笔或者某些申购申请有可能导致单一投资者持有基金份额的比例超过50%，或者变相规避50%集中度的情形。出现上述情形时，基金管理人有权将上述申购申请全部或部分确认失败。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7、8项暂停申购情形之一且基金管理人决定暂停接受投资人的申购申请时，基金管理人应当根据有关规定在指定媒介上刊登暂停申购公告。如果投资人的申购申请被拒绝，被拒绝的申购款项将退还给投资人。在暂停申</w:t>
      </w:r>
      <w:r>
        <w:rPr>
          <w:rFonts w:ascii="宋体" w:hAnsi="宋体"/>
          <w:sz w:val="24"/>
        </w:rPr>
        <w:lastRenderedPageBreak/>
        <w:t>购的情况消除时，基金管理人应及时恢复申购业务的办理。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（十）暂停赎回或者延缓支付赎回款项的情形及处理方式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（十一）巨额赎回的情形及处理方式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 发生巨额赎回，如基金管理人认为有必要，可暂停接受基金的赎回申请；已经接受的赎回申请可以延缓支付赎回款项，但不得超过20个工作日，并应当在指定媒介上进行公告。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（十二）暂停申购或赎回的公告和重新开放申购或赎回的公告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2、暂停结束，基金重新开放申购或赎回时，基金管理人应依照《信息披露管理办法》的有关规定，不迟于重新开放日在指定媒介上刊登基金重新开放申购或赎回公告，并公告最近1个开放日的基金份额净值。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2013年8月27日刊登公告自2013年8月30日起开通定期定额投资计划业务，具体开通销售机构名单和业务规则参见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2" w:name="_Toc231995028"/>
      <w:r>
        <w:rPr>
          <w:rFonts w:ascii="Times New Roman" w:hAnsi="Times New Roman"/>
          <w:sz w:val="30"/>
        </w:rPr>
        <w:lastRenderedPageBreak/>
        <w:t>九、基金的转换</w:t>
      </w:r>
      <w:bookmarkEnd w:id="12"/>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本基金2013年8月27日刊登公告自2013年8月30日起开放日常转换业务。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3" w:name="_Toc231995029"/>
      <w:r>
        <w:rPr>
          <w:rFonts w:ascii="Times New Roman" w:hAnsi="Times New Roman"/>
          <w:sz w:val="30"/>
        </w:rPr>
        <w:lastRenderedPageBreak/>
        <w:t>十、基金的投资</w:t>
      </w:r>
      <w:bookmarkEnd w:id="13"/>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本基金属于成长型混合基金，主要通过投资于不超过30只精选的成长型上市公司股票，在适度控制风险并保持基金资产良好流动性的前提下，为基金份额持有人谋求长期、稳定的资本增值。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其中投资于经过严格品质筛选、成长质量优良的成长型股票的资产比例不低于股票资产的80%；其余资产投资于债券、中期票据、货币市场工具、现金、权证、资产支持证券以及法律法规或中国证监会允许基金投资的其他证券品种；基金保留的现金或者投资于到期日在一年以内的政府债券的比例合计不低于基金资产净值的5%，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在分析和判断宏观经济运行和行业景气变化以及上市公司成长潜力的基础上，精选业务聚焦型、在所属行业内数一数二的成长型上市公司股票，并通过持有不超过30只股票的集中持股策略，为基金资产谋求长期稳健增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形成对不同资产市场表现的预测和判断，确定基金资产在股票、债券及货币市场工具等各类别资产间的分配比例，并随着各类证券风险收益特征的相对变化，动态调整组合中各类资产的比例，以规避或控制市场风险，提高基金收益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具体操作中，基金管理人采用经济周期理论下的资产配置模型，通过对宏观经</w:t>
      </w:r>
      <w:r>
        <w:rPr>
          <w:rFonts w:ascii="宋体" w:hAnsi="宋体"/>
          <w:sz w:val="24"/>
        </w:rPr>
        <w:lastRenderedPageBreak/>
        <w:t>济运行指标、利率和货币政策等相关因素的分析，对中国的宏观经济运行情况进行判断和预测，然后利用经济周期理论确定基金资产在各类别资产间的战略配置策略。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对象重点为经过严格品质筛选和价值评估，具有完善的治理结构、较大的发展潜力、良好的行业景气度、成长质量优良、业务聚焦型、在所属行业内数一数二的成长型上市公司。本基金将综合运用施罗德集团的股票研究分析方法和其它投资分析工具，充分发挥研究团队自下而上的选股能力，精选不超过30只股票构建股票投资组合。具体分以下几个层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（2）行业及成长性评估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定量与定性相结合的评价方法，评估其行业地位和业绩成长性。本基金在全球经济的框架下，通过对宏观经济运行趋势、产业环境、产业政策和行业竞争格局等多因素的分析和预测，确定宏观及行业经济变量的变动对不同行业的潜在影响，得出各行业的相对投资价值与投资时机。具体操作中，本基金从经济周期因素评估、行业政策因素评估和行业基本面指标评估（包括行业生命周期、行业发展趋势和发展空间、行业内竞争态势、行业收入及利润增长情况等）三个方面评估行业成长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充分的行业评估之下，本基金将进一步结合交银施罗德企业成长性评价体系从宏观环境、行业前景、公司质量和成长性质量四个方面对企业的成长性进行综合评价。同时，本基金将选择出满足以下条件的上市公司为主要投资对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1）未来两年预期主营业务收入和行业市占率处于行业前列，或者公司在技术上或商业模式上具有突出的创新，代表行业发展的方向；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2）公司业务聚焦。公司主营业务组合（考虑到产业链的延伸）清晰，主营业务组合销售收入占公司整体销售收入比重突出；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3）公司主营业务具有数一数二的行业地位。本基金主要依据公司主营业务的市场份额来定义公司行业地位，其中：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典型的周期性行业中，技术和商业模式领先的公司能有效的规避行业同质化竞争，可以理解为数一数二；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在缺乏相关权威、公认的行业统计数据的情形下，本基金将依据交银施罗德研究团队对该行业和相关企业的竞争力评估形成判断，相关的考虑因素包括但不限于技术上的明显领先、商业模式的创新、草根行业调研结论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4）公司所处行业不存在重大退化风险。随着经济不断发展，产业变迁速度越来越快，经常发生行业退化的情形。因此，本基金关注的数一数二的公司只能根植于整体附加值不衰退的行业之中。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本基金投资于满足上述条件的股票占全部股票投资组合市值的比例不低于80%。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对上述核心股票池中的重点上市公司进行内在价值的评估和成长性跟踪研究，在明确的价值评估基础上选择定价相对合理且成长性可持续的投资标的。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想匹配的投资收益，以实现在一定程度上规避股票市场的系统性风险和保证基金资产的流动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w:t>
      </w:r>
      <w:r>
        <w:rPr>
          <w:rFonts w:ascii="宋体" w:hAnsi="宋体"/>
          <w:sz w:val="24"/>
        </w:rPr>
        <w:lastRenderedPageBreak/>
        <w:t>理估值水平，以主动式的科学投资管理为手段，充分考虑权证资产的收益性、流动性及风险性特征，通过资产配置、品种与类属选择，追求基金资产稳定的当期收益。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60%-95%，其中投资于经过严格品质筛选、成长质量优良的成长型股票的资产比例不低于股票资产的80%；其余资产投资于债券、中期票据、货币市场工具、现金、权证、资产支持证券以及法律法规或中国证监会允许基金投资的其他证券品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（6）本基金管理人管理的全部基金持有的同一权证，不得超过该权证的 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（15）本基金在任何交易日日终，持有的买入股指期货合约价值，不得超过基金资产净值的10%；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（17）本基金在任何交易日日终，持有的卖出期货合约价值不得超过基金持有的股票总市值的20%；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（18）本基金所持有的股票市值和买入、卖出股指期货合约价值，合计（轧差计算）占基金资产的60%-95%；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（19）本基金在任何交易日内交易（不包括平仓）的股指期货合约的成交金额</w:t>
      </w:r>
      <w:r>
        <w:rPr>
          <w:rFonts w:ascii="宋体" w:hAnsi="宋体"/>
          <w:sz w:val="24"/>
        </w:rPr>
        <w:lastRenderedPageBreak/>
        <w:t>不得超过上一交易日基金资产净值的20%；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（20）本基金每个交易日日终在扣除股指期货合约需缴纳的交易保证金后，应当保持不低于基金资产净值5%的现金或到期日在一年以内的政府债券，其中现金不包括结算备付金、存出保证金、应收申购款等；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（23）本基金与私募类证券资管产品及中国证监会认定的其他主体为交易对手开展逆回购交易的，可接受质押品的资质要求应当与基金合同约定的投资范围保持一致；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（24）本基金投资存托凭证的比例限制依照境内上市交易的股票执行；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（25）法律法规及中国证监会规定的和《基金合同》约定的其他投资限制。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22）、（23）项以外，因证券、期货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75%富时中国A600成长指数收益率+25%中证综合债券指数收益率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其中股票投资比较基准为富时中国A600成长指数，债券投资比较基准为中证综合债券指数。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本基金采用富时中国A600成长指数作为股票投资部分的业绩比较基准主要基于以下原因：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富时中国A600成长指数是富时依据国际指数编制标准，结合中国的实际情况为中国资本市场编制的富时中国风格指数系列之一，旨在反映以收益和收入增长特征为主的、具有可识别成长特点的股票投资组合。富时中国风格指数系列于2003年12月12日开始计算，于2004年4月30日正式发布。富时中国A600成长指数具有以下特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1、本基金的股票投资对象是具有高成长特性的行业和股票，而富时中国A600成长指数具有相似的风格；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2、该指数遵循富时指数一致的基本编制方法，保证全球范围内的可比性；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3、该指数编制方法的透明度高；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4、该指数遵循全球行业分类标准（GICS），容易被全球投资者广泛接受。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此，富时中国A600成长指数是目前衡量本基金股票投资业绩的理想基准。同时，根据本基金的目标资产配置比例来分配权重，本基金的业绩比较基准中加入了中证综合债券指数并按照本基金的目标资产配置比例来安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w:t>
      </w:r>
      <w:r>
        <w:rPr>
          <w:rFonts w:ascii="宋体" w:hAnsi="宋体"/>
          <w:sz w:val="24"/>
        </w:rPr>
        <w:lastRenderedPageBreak/>
        <w:t>或者市场推出更具权威、且更能够表征本基金风险收益特征的指数，则本基金管理人可与本基金托管人协商一致后，调整或变更本基金的业绩比较基准并及时公告，而无需召开基金份额持有人大会。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以成长型股票为主要投资对象，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（八）基金管理人代表基金行使股东及债权人权利的处理原则及方法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452,653,693.28</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71.19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452,653,693.28</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71.19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182,408,723.29</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28.69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737,088.97</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635,799,505.54</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21,179,656.00</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3.37</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409,258,509.28</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65.04</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6,273,280.00</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15,942,248.00</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2.53</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P</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452,653,693.28</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71.94</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468,673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61,611,752.58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9.79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600887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伊利股份</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1,131,300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29,809,755.00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4.74</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锦浪科技</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241,100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24,085,890.00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3.83</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恒立液压</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244,500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23,472,000.00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3.73</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647,300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21,179,656.00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3.37</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44,085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19,705,995.00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3.13</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688390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固德威</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202,314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19,128,788.70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32,100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18,278,061.00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2.90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41,000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18,156,440.00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2.89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66,400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17,949,912.00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2.85</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9、报告期末本基金投资的股指期货交易情况说明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284,286.51</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144,979.95</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307,822.51</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right"/>
              <w:rPr>
                <w:rFonts w:ascii="宋体" w:hAnsi="宋体"/>
                <w:color w:val="000000"/>
                <w:kern w:val="0"/>
                <w:sz w:val="25"/>
                <w:szCs w:val="24"/>
              </w:rPr>
            </w:pPr>
            <w:r>
              <w:rPr>
                <w:rFonts w:ascii="Times New Roman" w:hAnsi="Times New Roman"/>
                <w:color w:val="000000"/>
                <w:kern w:val="0"/>
                <w:sz w:val="25"/>
                <w:szCs w:val="24"/>
              </w:rPr>
              <w:t>737,088.97</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4" w:name="_Toc231995030"/>
      <w:r>
        <w:rPr>
          <w:rFonts w:ascii="Times New Roman" w:hAnsi="Times New Roman"/>
          <w:sz w:val="30"/>
        </w:rPr>
        <w:lastRenderedPageBreak/>
        <w:t>十一、基金的业绩</w:t>
      </w:r>
      <w:bookmarkEnd w:id="14"/>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3.84%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5.86%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13.21%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19.42%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-6.21%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13.80%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-11.70%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-13.33%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-18.88%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-19.40%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8.79%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8.31%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61.28%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33.43%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27.85%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99.88%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36.62%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63.26%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-24.34%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-23.70%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10.32%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-10.51%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-9.13%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-14.95%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5.82%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46.80%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2.74%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16.29%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30.51%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11.75%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21.01%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-9.26%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840C7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6.78%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r>
    </w:tbl>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75%×富时中国A600成长指数收益率+25%×中信标普全债指数收益率”变更为“75%×富时中国A600成长指数收益率+25%×中证综合债券指数收益率”，下图同。详情见本基金管理人于2015年9月28日发布的《交银施罗德基金管理有限公司关于旗下部分基金业绩比较基准变更并修改基金合同相关内容的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w:t>
      </w:r>
      <w:r>
        <w:rPr>
          <w:rFonts w:ascii="宋体" w:hAnsi="宋体"/>
          <w:sz w:val="24"/>
        </w:rPr>
        <w:lastRenderedPageBreak/>
        <w:t>准收益率变动的比较</w:t>
      </w:r>
    </w:p>
    <w:p w:rsidR="00840C7D" w:rsidRDefault="0067068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交银施罗德成长30混合型证券投资基金</w:t>
      </w:r>
    </w:p>
    <w:p w:rsidR="00840C7D" w:rsidRDefault="0067068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40C7D" w:rsidRDefault="0067068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（2013年6月5日至2026年03月31日）</w:t>
      </w:r>
    </w:p>
    <w:p w:rsidR="00840C7D" w:rsidRDefault="00472090">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5" w:name="_Toc231995031"/>
      <w:r>
        <w:rPr>
          <w:rFonts w:ascii="Times New Roman" w:hAnsi="Times New Roman"/>
          <w:sz w:val="30"/>
        </w:rPr>
        <w:lastRenderedPageBreak/>
        <w:t>十二、基金的财产</w:t>
      </w:r>
      <w:bookmarkEnd w:id="15"/>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6" w:name="_Toc231995032"/>
      <w:r>
        <w:rPr>
          <w:rFonts w:ascii="Times New Roman" w:hAnsi="Times New Roman"/>
          <w:sz w:val="30"/>
        </w:rPr>
        <w:lastRenderedPageBreak/>
        <w:t>十三、基金资产的估值</w:t>
      </w:r>
      <w:bookmarkEnd w:id="16"/>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基金所拥有的股票、权证、债券、股指期货和银行存款本息、应收款项、其它投资等资产及负债。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1、基金份额净值是按照每个工作日闭市后，基金资产净值除以当日基金份额的余额数量计算，精确到0.001元，小数点后第四位四舍五入。国家另有规定的，从其规定。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w:t>
      </w:r>
      <w:r>
        <w:rPr>
          <w:rFonts w:ascii="宋体" w:hAnsi="宋体"/>
          <w:sz w:val="24"/>
        </w:rPr>
        <w:lastRenderedPageBreak/>
        <w:t>基金份额净值结果发送基金托管人，经基金托管人复核无误后，由基金管理人依据基金合同和相关法律法规的规定对外公布。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基金管理人和基金托管人将采取必要、适当、合理的措施确保基金资产估值的准确性、及时性。当基金份额净值小数点后第3位以内（含第3位) 发生估值错误时，视为基金份额净值错误。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因不可抗力原因出现估值错误的当事人不对其他当事人承担赔偿责任，但因该估值错误取得不当得利的当事人仍应负有返还不当得利的义务。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w:t>
      </w:r>
      <w:r>
        <w:rPr>
          <w:rFonts w:ascii="宋体" w:hAnsi="宋体"/>
          <w:sz w:val="24"/>
        </w:rPr>
        <w:lastRenderedPageBreak/>
        <w:t>给受损方，则受损方应当将其已经获得的赔偿额加上已经获得的不当得利返还的总和超过其实际损失的差额部分支付给估值错误责任方。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（3）前述内容如法律法规或监管部门另有规定的，从其规定处理。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2、因不可抗力或基金合同约定的其他情形致使基金管理人、基金托管人无法准确评估基金资产价值时；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4、当前一估值日基金资产净值50%以上的资产出现无可参考的活跃市场价格且采用估值技术仍导致公允价值存在重大不确定性时，经与基金托管人协商一致的，</w:t>
      </w:r>
      <w:r>
        <w:rPr>
          <w:rFonts w:ascii="宋体" w:hAnsi="宋体"/>
          <w:sz w:val="24"/>
        </w:rPr>
        <w:lastRenderedPageBreak/>
        <w:t>基金管理人应当暂停估值；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基金管理人或基金托管人按估值方法的第6项进行估值时，所造成的误差不作为基金资产估值错误处理。</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7" w:name="_Toc231995033"/>
      <w:r>
        <w:rPr>
          <w:rFonts w:ascii="Times New Roman" w:hAnsi="Times New Roman"/>
          <w:sz w:val="30"/>
        </w:rPr>
        <w:lastRenderedPageBreak/>
        <w:t>十四、基金的收益与分配</w:t>
      </w:r>
      <w:bookmarkEnd w:id="17"/>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1、在符合有关基金分红条件的前提下，本基金每年收益分配次数最多为10次，每次收益分配比例不得低于该次可供分配利润的10%，若《基金合同》生效不满3个月可不进行收益分配；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5、法律法规或监管部门另有规定的，从其规定。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（六）收益分配中发生的费用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w:t>
      </w:r>
      <w:r>
        <w:rPr>
          <w:rFonts w:ascii="宋体" w:hAnsi="宋体"/>
          <w:sz w:val="24"/>
        </w:rPr>
        <w:lastRenderedPageBreak/>
        <w:t>者的现金红利小于一定金额，不足以支付银行转账或其他手续费用时，登记机构可将基金份额持有人的现金红利自动转为基金份额。红利再投资的计算方法，依照《业务规则》执行。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投资者同一日多次申报分红方式变更的，按照《业务规则》执行，最终确认的分红方式以登记机构记录为准。</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8" w:name="_Toc231995034"/>
      <w:r>
        <w:rPr>
          <w:rFonts w:ascii="Times New Roman" w:hAnsi="Times New Roman"/>
          <w:sz w:val="30"/>
        </w:rPr>
        <w:lastRenderedPageBreak/>
        <w:t>十五、基金的费用与税收</w:t>
      </w:r>
      <w:bookmarkEnd w:id="18"/>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基金托管人协商解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基金托管人协商解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等相关费率。降低基金管理费率、基金托管费率，无须召开基金份额持有人大会。基金管理人必须依照有关规定于新的费率实施日前在指定媒介和基金管理人网站上刊登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（五）基金税收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19" w:name="_Toc231995035"/>
      <w:r>
        <w:rPr>
          <w:rFonts w:ascii="Times New Roman" w:hAnsi="Times New Roman"/>
          <w:sz w:val="30"/>
        </w:rPr>
        <w:lastRenderedPageBreak/>
        <w:t>十六、基金的会计与审计</w:t>
      </w:r>
      <w:bookmarkEnd w:id="19"/>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（一）基金的会计政策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0" w:name="_Toc231995036"/>
      <w:r>
        <w:rPr>
          <w:rFonts w:ascii="Times New Roman" w:hAnsi="Times New Roman"/>
          <w:sz w:val="30"/>
        </w:rPr>
        <w:lastRenderedPageBreak/>
        <w:t>十七、基金的信息披露</w:t>
      </w:r>
      <w:bookmarkEnd w:id="20"/>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w:t>
      </w:r>
      <w:r>
        <w:rPr>
          <w:rFonts w:ascii="宋体" w:hAnsi="宋体"/>
          <w:sz w:val="24"/>
        </w:rPr>
        <w:lastRenderedPageBreak/>
        <w:t>金份额累计净值。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w:t>
      </w:r>
      <w:r>
        <w:rPr>
          <w:rFonts w:ascii="宋体" w:hAnsi="宋体"/>
          <w:sz w:val="24"/>
        </w:rPr>
        <w:lastRenderedPageBreak/>
        <w:t>产生重大影响的其他事项或中国证监会规定的其他事项。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本基金投资了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基金管理人、基金托管人应当在指定报刊中选择一家报刊披露本基金信息。基金管理人、基金托管人应当向中国证监会基金电子披露网站报送拟披露的基金信息，并保证相关报送信息的真实、准确、完整、及时。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1" w:name="_Toc231995037"/>
      <w:r>
        <w:rPr>
          <w:rFonts w:ascii="Times New Roman" w:hAnsi="Times New Roman"/>
          <w:sz w:val="30"/>
        </w:rPr>
        <w:lastRenderedPageBreak/>
        <w:t>十八、风险揭示</w:t>
      </w:r>
      <w:bookmarkEnd w:id="21"/>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作出投资决策后，基金运营状况与基金净值变化引致的投资风险，由投资者自行负</w:t>
      </w:r>
      <w:r>
        <w:rPr>
          <w:rFonts w:ascii="宋体" w:hAnsi="宋体"/>
          <w:sz w:val="24"/>
        </w:rPr>
        <w:lastRenderedPageBreak/>
        <w:t>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市场风险是指证券市场价格因受到经济因素、政治因素、投资心理和交易制度等各种因素的影响而引起的波动，对基金收益水平产生的潜在风险，主要包括：</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本基金投资于债券和债券回购，其收益水平会受到利率变化和货币市场供求状况的影响。例如当市场利率上升时，基金所持有的债券价格将下降，若基金组合久期较长，则基金资产面临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w:t>
      </w:r>
      <w:r>
        <w:rPr>
          <w:rFonts w:ascii="宋体" w:hAnsi="宋体"/>
          <w:sz w:val="24"/>
        </w:rPr>
        <w:lastRenderedPageBreak/>
        <w:t>较大，本基金可能因为基金管理人的因素而影响基金收益水平。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本基金的投资市场主要为证券交易所、全国银行间债券市场等流动性较好的规范型交易场所，主要投资对象为具有良好流动性的金融工具，综合评估在正常市场环境下本基金的流动性风险适中。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w:t>
      </w:r>
      <w:r>
        <w:rPr>
          <w:rFonts w:ascii="宋体" w:hAnsi="宋体"/>
          <w:sz w:val="24"/>
        </w:rPr>
        <w:lastRenderedPageBreak/>
        <w:t>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（四）投资本基金特有的风险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1、本基金为混合型基金，将维持较高的股票持仓比例，如果股票市场出现整体下跌，本基金的净值表现将受到影响。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2、对宏观经济趋势、政策以及上市公司基本面研究是否准确、深入，以及对成长型股票的优选和判断是否科学、准确将影响本基金的收益。基本面研究及上市</w:t>
      </w:r>
      <w:r>
        <w:rPr>
          <w:rFonts w:ascii="宋体" w:hAnsi="宋体"/>
          <w:sz w:val="24"/>
        </w:rPr>
        <w:lastRenderedPageBreak/>
        <w:t>公司分析的错误均可能导致所选择的证券不能完全符合本基金的预期目标。同时，本基金股票组合采用不超过30只股票的集中持股策略，使得上述单个股票的股价波动对基金净值的影响较普通股票基金更大。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（五）投资科创板股票的特定风险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（六）投资存托凭证的特定风险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（八）其他风险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2" w:name="_Toc231995038"/>
      <w:r>
        <w:rPr>
          <w:rFonts w:ascii="Times New Roman" w:hAnsi="Times New Roman"/>
          <w:sz w:val="30"/>
        </w:rPr>
        <w:lastRenderedPageBreak/>
        <w:t>十九、基金合同的终止与基金财产的清算</w:t>
      </w:r>
      <w:bookmarkEnd w:id="22"/>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（一）基金合同的终止事由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清算费用是指基金财产清算小组在进行基金清算过程中发生的所有合理费用，清算费用由基金财产清算小组优先从基金财产中支付。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（四）基金财产清算剩余资产的分配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（五）基金财产清算的公告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（六）基金财产清算账册及文件的保存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3" w:name="_Toc231995039"/>
      <w:r>
        <w:rPr>
          <w:rFonts w:ascii="Times New Roman" w:hAnsi="Times New Roman"/>
          <w:sz w:val="30"/>
        </w:rPr>
        <w:lastRenderedPageBreak/>
        <w:t>二十、基金合同内容摘要</w:t>
      </w:r>
      <w:bookmarkEnd w:id="23"/>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（16）在符合有关法律、法规的前提下，制定和调整有关基金认购、申购、赎回、转换和非交易过户等的业务规则；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严格按照《基金法》、《基金合同》及其他有关规定，履行信息披露及报告义务；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（4）根据相关市场规则，为基金开设证券账户、协助开立股指期货业务相关账户及交易编码、为基金办理证券交易资金清算；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（6）按规定开设基金财产的资金账户和证券账户,协助开立股指期货业务相关账户及交易编码，按照《基金合同》的约定，根据基金管理人的投资指令，及时办理清算、交割事宜；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申购、赎回价格、基金业绩数据等；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5）提高基金管理人、基金托管人的报酬标准，但法律法规要求提高该等报酬标准的除外；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5）对《基金合同》的修改对基金份额持有人利益无实质性不利影响或修改不涉及《基金合同》当事人权利义务关系发生变化；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6）在法律法规和《基金合同》规定的范围内调整本基金份额类别的设置；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（1）召开基金份额持有人大会，召集人应于会议召开前30日，在指定媒介公告。基金份额持有人大会通知应至少载明以下内容：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基金份额持有人大会可通过现场开会方式、通讯开会方式或法律法规和监管部门允许的其他方式召开，会议的召开方式由会议召集人确定。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w:t>
      </w:r>
      <w:r>
        <w:rPr>
          <w:rFonts w:ascii="宋体" w:hAnsi="宋体"/>
          <w:sz w:val="24"/>
        </w:rPr>
        <w:lastRenderedPageBreak/>
        <w:t>的基金份额不少于本基金在权益登记日基金总份额的50%（含50%）。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（3）在法律法规或监管部门允许的情况下，本基金亦可采用网络、电话等其他非书面方式由基金份额持有人向其授权代表进行授权。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（4）在法律法规和监管部门允许的情况下，本基金亦可采用网络、电话等其他非现场方式或者以非现场方式与现场方式结合的方式召开基金份额持有人大会，会议程序比照现场开会和通讯方式开会的程序进行。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基金份额持有人大会的决议自中国证监会依法核准或者出具无异议意见之日起生效。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9、法律法规或监管部门对基金份额持有人大会另有规定的，从其规定。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w:t>
      </w:r>
      <w:r>
        <w:rPr>
          <w:rFonts w:ascii="宋体" w:hAnsi="宋体"/>
          <w:sz w:val="24"/>
        </w:rPr>
        <w:lastRenderedPageBreak/>
        <w:t>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1、《基金合同》正本一式六份，除上报有关监管机构一式二份外，基金管理人、基金托管人各持有二份，每份具有同等的法律效力。</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2、《基金合同》可印制成册，供投资者在基金管理人、基金托管人、销售机构的办公场所和营业场所查阅，但应以《基金合同》正本为准。</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4" w:name="_Toc231995040"/>
      <w:r>
        <w:rPr>
          <w:rFonts w:ascii="Times New Roman" w:hAnsi="Times New Roman"/>
          <w:sz w:val="30"/>
        </w:rPr>
        <w:lastRenderedPageBreak/>
        <w:t>二十一、托管协议的内容摘要</w:t>
      </w:r>
      <w:bookmarkEnd w:id="24"/>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张宏良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的相关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其中投资于经过严格品质筛选、成长质量优良的成长型股票的资产比例不低于股票资产的80%；其余资产投资于债券、中期票据、货币市场工具、现金、权证、资产支持证券以及法律法规或中国证监会允许基金投资的其他证券品种；基金保留的现金或者投资于到期日在一年以内的政府债券的比例合计不低于基金资产净值的5%，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（1）股票资产（含存托凭证）占基金资产的60%-95%；其余资产投资于债券、中期票据、货币市场工具、现金、权证、资产支持证券以及法律法规或中国证监会允许基金投资的其他证券品种；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（5）本基金在任何交易日买入权证的总金额，不得超过上一交易日基金资产净值的0.5％；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（7）本基金持有的全部资产支持证券，其市值不得超过基金资产净值的20％；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（12）本基金持有的所有流通受限证券，其公允价值不得超过本基金资产净值的15%；本基金持有的同一流通受限证券，其公允价值不得超过本基金资产净值的2%；</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（13）本基金在任何交易日日终，持有的买入股指期货合约价值，不得超过基金资产净值的10%；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（14）本基金在任何交易日日终，持有的买入期货合约价值与有价证券市值之和,不得超过基金资产净值的95%；</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其中，有价证券指股票、债券（不含到期日在一年以内的政府债券）、权证、资产支持证券、买入返售金融资产（不含质押式回购）等；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（15）本基金在任何交易日日终，持有的卖出期货合约价值不得超过基金持有的股票总市值的20%；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（16）本基金所持有的股票市值和买入、卖出股指期货合约价值，合计（轧差计算）应当符合《基金合同》关于股票投资比例的有关约定；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（17）本基金在任何交易日内交易（不包括平仓）的股指期货合约的成交金额不得超过上一交易日基金资产净值的20%；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（18）本基金每个交易日日终在扣除股指期货合约需缴纳的交易保证金后，应当保持不低于基金资产净值5%的现金或到期日在一年以内的政府债券，其中现金不包括结算备付金、存出保证金、应收申购款等；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本基金在开始进行股指期货投资之前，应与基金托管人就股指期货开户、清</w:t>
      </w:r>
      <w:r>
        <w:rPr>
          <w:rFonts w:ascii="宋体" w:hAnsi="宋体"/>
          <w:sz w:val="24"/>
        </w:rPr>
        <w:lastRenderedPageBreak/>
        <w:t>算、估值、交收等事宜另行具体协商；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如果法律法规对上述投资组合比例限制进行变更的，以变更后的规定为准。法律法规或监管部门取消上述限制，如适用于本基金，则本基金投资不再受相关限制。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基金管理人应当自基金合同生效之日起6个月内使基金的投资组合比例符合基金合同的有关约定。基金托管人对基金的投资的监督与检查自基金合同生效之日起开始。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18）、（20）、（21）项以外，因证券、期货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w:t>
      </w:r>
      <w:r>
        <w:rPr>
          <w:rFonts w:ascii="宋体" w:hAnsi="宋体"/>
          <w:sz w:val="24"/>
        </w:rPr>
        <w:lastRenderedPageBreak/>
        <w:t>责及时将更新后的名单发送给对方。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w:t>
      </w:r>
      <w:r>
        <w:rPr>
          <w:rFonts w:ascii="宋体" w:hAnsi="宋体"/>
          <w:sz w:val="24"/>
        </w:rPr>
        <w:lastRenderedPageBreak/>
        <w:t>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本基金投资受限证券，不得预付任何形式的保证金。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w:t>
      </w:r>
      <w:r>
        <w:rPr>
          <w:rFonts w:ascii="宋体" w:hAnsi="宋体"/>
          <w:sz w:val="24"/>
        </w:rPr>
        <w:lastRenderedPageBreak/>
        <w:t>括但不限于：</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体披露所投资非公开发行股票的名称、数量、总成本、账面价值，以及总成本和账面价值占基金资产净值的比例、锁定期等信息。</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1）本基金投资受限证券时的法律法规遵守情况。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2）在基金投资受限证券管理工作方面有关制度、流动性风险处置预案的建立与完善情况。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（6）相关法律法规对基金投资受限证券有新规定的，从其规定。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w:t>
      </w:r>
      <w:r>
        <w:rPr>
          <w:rFonts w:ascii="宋体" w:hAnsi="宋体"/>
          <w:sz w:val="24"/>
        </w:rPr>
        <w:lastRenderedPageBreak/>
        <w:t>告中国证监会。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w:t>
      </w:r>
      <w:r>
        <w:rPr>
          <w:rFonts w:ascii="宋体" w:hAnsi="宋体"/>
          <w:sz w:val="24"/>
        </w:rPr>
        <w:lastRenderedPageBreak/>
        <w:t>办理退款等事宜。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持有人账户和资金结算账户，并代表基金进行银行间市场债券的结算。基金管理人和</w:t>
      </w:r>
      <w:r>
        <w:rPr>
          <w:rFonts w:ascii="宋体" w:hAnsi="宋体"/>
          <w:sz w:val="24"/>
        </w:rPr>
        <w:lastRenderedPageBreak/>
        <w:t>基金托管人共同代表基金签订全国银行间债券市场债券回购主协议。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0.001元，小数点后第四位四舍五入。国家另有规定的，从其规定。</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基金管理人每个工作日对基金资产估值后，将基金份额净值结果发送基金托管人，经基金托管人复核无误后，由基金管理人依</w:t>
      </w:r>
      <w:r>
        <w:rPr>
          <w:rFonts w:ascii="宋体" w:hAnsi="宋体"/>
          <w:sz w:val="24"/>
        </w:rPr>
        <w:lastRenderedPageBreak/>
        <w:t>据基金合同和相关法律法规的规定对外公布。月末、年中和年末估值复核与基金会计账目的核对同时进行。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基金所拥有的股票、权证、债券、股指期货和银行存款本息、应收款项、其它投资等资产及负债。</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 交易所市场上市交易或挂牌转让的固定收益品种（另有规定的除外），选取第三方估值机构提供的相应品种当日的估值净价进行估值；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w:t>
      </w:r>
      <w:r>
        <w:rPr>
          <w:rFonts w:ascii="宋体" w:hAnsi="宋体"/>
          <w:sz w:val="24"/>
        </w:rPr>
        <w:lastRenderedPageBreak/>
        <w:t>市的同一股票的估值方法估值；非公开发行有明确锁定期的股票，按监管机构或行业协会有关规定确定公允价值。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5)本基金投资股指期货合约，一般以估值当日结算价进行估值，估值当日无结算价的，且最近交易日后经济环境未发生重大变化的，采用最近交易日结算价估值。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基金管理人、基金托管人按估值方法的第(6)项进行估值时，所造成的误差不作为基金份额净值错误处理。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w:t>
      </w:r>
      <w:r>
        <w:rPr>
          <w:rFonts w:ascii="宋体" w:hAnsi="宋体"/>
          <w:sz w:val="24"/>
        </w:rPr>
        <w:lastRenderedPageBreak/>
        <w:t>人负责处理，由此给基金份额持有人和基金造成损失的，应由基金管理人先行赔付，基金管理人按差错情形，有权向其他当事人追偿。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4)由于基金管理人提供的信息错误（包括但不限于基金申购或赎回金额等），进而导致基金份额净值计算错误而引起的基金份额持有人和基金财产的损失，由基金管理人负责赔付。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（2）因不可抗力或基金合同约定的其他情形致使基金管理人、基金托管人无法准确评估基金资产价值时；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w:t>
      </w:r>
      <w:r>
        <w:rPr>
          <w:rFonts w:ascii="宋体" w:hAnsi="宋体"/>
          <w:sz w:val="24"/>
        </w:rPr>
        <w:lastRenderedPageBreak/>
        <w:t>投资人的利益，决定延迟估值；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（4）当前一估值日基金资产净值50%以上的资产出现无可参考的活跃市场价格且采用估值技术仍导致公允价值存在重大不确定性时，经与基金托管人协商一致的，基金管理人应当暂停估值；</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w:t>
      </w:r>
      <w:r>
        <w:rPr>
          <w:rFonts w:ascii="宋体" w:hAnsi="宋体"/>
          <w:sz w:val="24"/>
        </w:rPr>
        <w:lastRenderedPageBreak/>
        <w:t>明原因，进行调整，调整以国家有关规定为准。</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基金管理人应留足充分的时间，便于基金托管人复核相关报表及报告。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8、基金管理人应在编制季度报告、半年度报告或者年度报告之前及时向基金托管人提供基金业绩比较基准的基础数据和编制结果。</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（六）基金份额持有人名册的的登记与保管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w:t>
      </w:r>
      <w:r>
        <w:rPr>
          <w:rFonts w:ascii="宋体" w:hAnsi="宋体"/>
          <w:sz w:val="24"/>
        </w:rPr>
        <w:lastRenderedPageBreak/>
        <w:t>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6)将清算结果报中国证监会备案并公告；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w:t>
      </w:r>
      <w:r>
        <w:rPr>
          <w:rFonts w:ascii="宋体" w:hAnsi="宋体"/>
          <w:sz w:val="24"/>
        </w:rPr>
        <w:lastRenderedPageBreak/>
        <w:t>比例进行分配。</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（8）基金财产清算的公告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（9）基金财产清算账册及文件的保存</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5" w:name="_Toc231995041"/>
      <w:r>
        <w:rPr>
          <w:rFonts w:ascii="Times New Roman" w:hAnsi="Times New Roman"/>
          <w:sz w:val="30"/>
        </w:rPr>
        <w:lastRenderedPageBreak/>
        <w:t>二十二、对基金份额持有人的服务</w:t>
      </w:r>
      <w:bookmarkEnd w:id="25"/>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6" w:name="_Toc231995042"/>
      <w:r>
        <w:rPr>
          <w:rFonts w:ascii="Times New Roman" w:hAnsi="Times New Roman"/>
          <w:sz w:val="30"/>
        </w:rPr>
        <w:lastRenderedPageBreak/>
        <w:t>二十三、其他应披露事项</w:t>
      </w:r>
      <w:bookmarkEnd w:id="26"/>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40C7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交银施罗德成长</w:t>
            </w:r>
            <w:r>
              <w:rPr>
                <w:rFonts w:ascii="Times New Roman" w:hAnsi="Times New Roman"/>
                <w:color w:val="000000"/>
                <w:kern w:val="0"/>
                <w:sz w:val="25"/>
                <w:szCs w:val="24"/>
              </w:rPr>
              <w:t>30</w:t>
            </w:r>
            <w:r>
              <w:rPr>
                <w:rFonts w:ascii="Times New Roman" w:hAnsi="Times New Roman"/>
                <w:color w:val="000000"/>
                <w:kern w:val="0"/>
                <w:sz w:val="25"/>
                <w:szCs w:val="24"/>
              </w:rPr>
              <w:t>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40C7D" w:rsidRDefault="0067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7" w:name="_Toc231995043"/>
      <w:r>
        <w:rPr>
          <w:rFonts w:ascii="Times New Roman" w:hAnsi="Times New Roman"/>
          <w:sz w:val="30"/>
        </w:rPr>
        <w:lastRenderedPageBreak/>
        <w:t>二十四、招募说明书的存放及查阅方式</w:t>
      </w:r>
      <w:bookmarkEnd w:id="27"/>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6706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40C7D" w:rsidRDefault="00670685">
      <w:pPr>
        <w:pStyle w:val="1"/>
        <w:snapToGrid w:val="0"/>
        <w:spacing w:beforeLines="0" w:before="240" w:after="240"/>
        <w:rPr>
          <w:rFonts w:ascii="宋体" w:hAnsi="宋体"/>
          <w:szCs w:val="30"/>
        </w:rPr>
      </w:pPr>
      <w:bookmarkStart w:id="28" w:name="_Toc231995044"/>
      <w:r>
        <w:rPr>
          <w:rFonts w:ascii="Times New Roman" w:hAnsi="Times New Roman"/>
          <w:sz w:val="30"/>
        </w:rPr>
        <w:lastRenderedPageBreak/>
        <w:t>二十五、备查文件</w:t>
      </w:r>
      <w:bookmarkEnd w:id="28"/>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（一）中国证监会核准交银施罗德成长30股票型证券投资基金募集的文件</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（二）《交银施罗德成长30混合型证券投资基金基金合同》</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（三）《交银施罗德成长30混合型证券投资基金托管协议》</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40C7D" w:rsidRDefault="006706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（六）关于申请募集交银施罗德成长30股票型证券投资基金之法律意见书</w:t>
      </w:r>
    </w:p>
    <w:sectPr w:rsidR="00840C7D">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609" w:rsidRDefault="00670685">
      <w:r>
        <w:separator/>
      </w:r>
    </w:p>
  </w:endnote>
  <w:endnote w:type="continuationSeparator" w:id="0">
    <w:p w:rsidR="00A70609" w:rsidRDefault="00670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840C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47209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40C7D" w:rsidRDefault="0067068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2090">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840C7D">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472090">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40C7D" w:rsidRDefault="0067068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72090">
                  <w:rPr>
                    <w:rFonts w:ascii="Times New Roman" w:hAnsi="Times New Roman"/>
                    <w:noProof/>
                    <w:kern w:val="0"/>
                    <w:sz w:val="18"/>
                    <w:szCs w:val="18"/>
                  </w:rPr>
                  <w:t>153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609" w:rsidRDefault="00670685">
      <w:r>
        <w:separator/>
      </w:r>
    </w:p>
  </w:footnote>
  <w:footnote w:type="continuationSeparator" w:id="0">
    <w:p w:rsidR="00A70609" w:rsidRDefault="00670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840C7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670685">
    <w:pPr>
      <w:pStyle w:val="a3"/>
      <w:jc w:val="right"/>
      <w:rPr>
        <w:rFonts w:ascii="宋体" w:hAnsi="宋体"/>
      </w:rPr>
    </w:pPr>
    <w:r>
      <w:rPr>
        <w:rFonts w:ascii="宋体" w:hAnsi="宋体" w:hint="eastAsia"/>
      </w:rPr>
      <w:t>交银施罗德成长30混合型证券投资基金招募说明书更新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840C7D">
    <w:pPr>
      <w:pStyle w:val="10"/>
      <w:jc w:val="right"/>
    </w:pPr>
  </w:p>
  <w:p w:rsidR="00840C7D" w:rsidRDefault="00840C7D">
    <w:pPr>
      <w:pStyle w:val="10"/>
      <w:jc w:val="right"/>
    </w:pPr>
  </w:p>
  <w:p w:rsidR="00840C7D" w:rsidRDefault="00840C7D">
    <w:pPr>
      <w:pStyle w:val="a3"/>
      <w:jc w:val="right"/>
    </w:pPr>
  </w:p>
  <w:p w:rsidR="00840C7D" w:rsidRDefault="00670685">
    <w:pPr>
      <w:pStyle w:val="a3"/>
      <w:jc w:val="right"/>
      <w:rPr>
        <w:rFonts w:ascii="宋体" w:hAnsi="宋体"/>
      </w:rPr>
    </w:pPr>
    <w:r>
      <w:rPr>
        <w:rFonts w:ascii="宋体" w:hAnsi="宋体" w:hint="eastAsia"/>
      </w:rPr>
      <w:t>交银施罗德成长30混合型证券投资基金招募说明书更新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C7D" w:rsidRDefault="00840C7D">
    <w:pPr>
      <w:pStyle w:val="a3"/>
      <w:jc w:val="right"/>
    </w:pPr>
  </w:p>
  <w:p w:rsidR="00840C7D" w:rsidRDefault="00840C7D">
    <w:pPr>
      <w:pStyle w:val="a3"/>
      <w:jc w:val="right"/>
    </w:pPr>
  </w:p>
  <w:p w:rsidR="00840C7D" w:rsidRDefault="00840C7D">
    <w:pPr>
      <w:pStyle w:val="a3"/>
      <w:jc w:val="right"/>
    </w:pPr>
  </w:p>
  <w:p w:rsidR="00840C7D" w:rsidRDefault="00670685">
    <w:pPr>
      <w:pStyle w:val="a3"/>
      <w:jc w:val="right"/>
      <w:rPr>
        <w:rFonts w:ascii="宋体" w:hAnsi="宋体"/>
      </w:rPr>
    </w:pPr>
    <w:r>
      <w:rPr>
        <w:rFonts w:ascii="宋体" w:hAnsi="宋体" w:hint="eastAsia"/>
      </w:rPr>
      <w:t>交银施罗德成长30混合型证券投资基金招募说明书更新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090"/>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0685"/>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0C7D"/>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609"/>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2C8065EE-1250-4A63-AB4D-25D274AE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15506</Words>
  <Characters>88386</Characters>
  <Application>Microsoft Office Word</Application>
  <DocSecurity>0</DocSecurity>
  <Lines>736</Lines>
  <Paragraphs>207</Paragraphs>
  <ScaleCrop>false</ScaleCrop>
  <Company>Microsoft</Company>
  <LinksUpToDate>false</LinksUpToDate>
  <CharactersWithSpaces>103685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2026-06-10T06:43:00Z</dcterms:created>
  <dcterms:modified xsi:type="dcterms:W3CDTF">2026-06-10T06:43:00Z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