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交银施罗德持续成长主题混合型证券投资基金（C类份额）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交银持续成长主题混合C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017859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2018-01-12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2018-01-12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本基金自2023年3月29日起增设C类份额。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本基金在有效控制组合风险并保持良好流动性的前提下，把握市场发展趋势，通过专业化研究分析，重点投资具备充分成长空间和拥有持续成长性的上市公司，力争实现基金资产的长期稳定增值。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相关规定)。　</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　</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其中投资于港股通标的股票的比例占股票资产的0%-50%；本基金投资于持续成长主题相关股票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　</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定量与定性相结合的评价方法，评估其行业的持续成长性。通过对消费者需求变化趋势、产业结构变迁、全球技术创新和商业模式演化等多因素的分析和预测，得出各行业的相对投资价值与投资时机。除行业的持续成长性评估之外，本基金将基于对相关个股深入的基本面研究和细致的实地调研，结合交银施罗德企业成长性评价体系从行业前景、公司质量和成长性质量等方面对上市公司的持续成长性进行综合评价，精选个股，力争实现基金资产的长期稳定增值。</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70%×沪深300指数收益率+10%×恒生指数收益率+20%×中证综合债券指数收益率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详见《交银施罗德持续成长主题混合型证券投资基金招募说明书》“基金的投资”。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2、本基金自2023年3月29日起，开始销售C类份额，基金份额类别首次确认当年净值增长率按实际存续期计算。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●《交银施罗德持续成长主题混合型证券投资基金基金合同》、</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《交银施罗德持续成长主题混合型证券投资基金托管协议》、</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0399C"/>
    <w:rsid w:val="00F75715"/>
    <w:rsid w:val="00F811C4"/>
    <w:rsid w:val="00FC2918"/>
    <w:rsid w:val="22760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803</Words>
  <Characters>4580</Characters>
  <Lines>38</Lines>
  <Paragraphs>10</Paragraphs>
  <TotalTime>0</TotalTime>
  <ScaleCrop>false</ScaleCrop>
  <LinksUpToDate>false</LinksUpToDate>
  <CharactersWithSpaces>5373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2026-05-21T05:54:13Z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C330BB12DF5946E5905F4DDCD7D019FD</vt:lpwstr>
  </property>
</Properties>
</file>