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交银施罗德境尚收益债券型证券投资基金（A类份额）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交银境尚收益债券A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519784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2017-03-03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2026-01-08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在严格控制风险的前提下,力求获得高于业绩基准的投资收益。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次级债、资产支持证券、短期融资券、超级短期融资券、中小企业私募债、中期票据、债券回购、银行存款、同业存单、货币市场工具等固定收益类资产和法律法规允许投资的其他金融工具。本基金不投资于股票、权证等权益类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基金的投资组合比例为投资于债券资产的比例不低于基金资产的80%，但在封闭期结束前三个月和转开放后三个月内，基金投资不受上述债券资产投资比例限制。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本基金转为开放式运作后，现金或到期日在一年以内的政府债券的比例合计不低于基金资产净值的5%，其中现金不包括结算备付金、存出保证金和应收申购款等。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杠杆放大策略；5、信用债券投资策略；6、资产支持证券（含资产收益计划）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详见《交银施罗德境尚收益债券型证券投资基金招募说明书》“基金的投资”。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2、本基金合同于2017年3月3日生效，合同生效当年净值增长率按实际存续期计算。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3、本基金业绩比较基准自2019年3月5日起，由“两年期银行定期存款税后收益率+1.25%”变更为“中债综合全价指数收益率”。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投资资产支持证券，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●《交银施罗德境尚收益债券型证券投资基金基金合同》、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《交银施罗德境尚收益债券型证券投资基金托管协议》、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《交银施罗德境尚收益债券型证券投资基金招募说明书》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17A96"/>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F34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666</Words>
  <Characters>3799</Characters>
  <Lines>31</Lines>
  <Paragraphs>8</Paragraphs>
  <TotalTime>6</TotalTime>
  <ScaleCrop>false</ScaleCrop>
  <LinksUpToDate>false</LinksUpToDate>
  <CharactersWithSpaces>4457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2026-05-21T07:04:50Z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9939ADF1DE844105B3ACADF6E4CEA037</vt:lpwstr>
  </property>
</Properties>
</file>