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E04D9">
      <w:pPr>
        <w:rPr>
          <w:sz w:val="32"/>
        </w:rPr>
      </w:pPr>
    </w:p>
    <w:p w:rsidR="00C92FC0" w:rsidRPr="00EB07BC" w:rsidRDefault="009E04D9">
      <w:pPr>
        <w:rPr>
          <w:sz w:val="32"/>
        </w:rPr>
      </w:pPr>
    </w:p>
    <w:p w:rsidR="00C92FC0" w:rsidRPr="00EB07BC" w:rsidRDefault="009E04D9">
      <w:pPr>
        <w:rPr>
          <w:sz w:val="32"/>
        </w:rPr>
      </w:pPr>
    </w:p>
    <w:p w:rsidR="003C75F7" w:rsidRDefault="003C75F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C75F7" w:rsidRDefault="003C75F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C75F7" w:rsidRDefault="003C75F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C75F7" w:rsidRDefault="0017542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交银施罗德恒生港股通创新药精选指数型证券投资基金</w:t>
      </w:r>
    </w:p>
    <w:p w:rsidR="003C75F7" w:rsidRDefault="0017542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C75F7" w:rsidRDefault="003C75F7">
      <w:pPr>
        <w:snapToGrid w:val="0"/>
        <w:spacing w:line="360" w:lineRule="auto"/>
        <w:jc w:val="center"/>
        <w:rPr>
          <w:rFonts w:ascii="宋体" w:hAnsi="宋体"/>
          <w:b/>
          <w:sz w:val="30"/>
          <w:szCs w:val="30"/>
        </w:rPr>
      </w:pP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17542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C75F7" w:rsidRDefault="0017542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3C75F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C75F7" w:rsidRDefault="0017542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3C75F7" w:rsidRDefault="003C75F7">
      <w:pPr>
        <w:autoSpaceDE w:val="0"/>
        <w:autoSpaceDN w:val="0"/>
        <w:adjustRightInd w:val="0"/>
        <w:snapToGrid w:val="0"/>
        <w:spacing w:line="360" w:lineRule="auto"/>
        <w:ind w:left="1347" w:rightChars="6" w:right="13"/>
        <w:rPr>
          <w:rFonts w:ascii="宋体" w:hAnsi="宋体"/>
          <w:kern w:val="0"/>
          <w:sz w:val="32"/>
          <w:szCs w:val="32"/>
        </w:rPr>
        <w:sectPr w:rsidR="003C75F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3C75F7" w:rsidRDefault="00175422">
      <w:pPr>
        <w:pStyle w:val="1"/>
        <w:snapToGrid w:val="0"/>
        <w:spacing w:beforeLines="0" w:before="240" w:after="240"/>
        <w:rPr>
          <w:rFonts w:ascii="宋体" w:hAnsi="宋体"/>
          <w:kern w:val="0"/>
        </w:rPr>
      </w:pPr>
      <w:bookmarkStart w:id="0" w:name="_Toc324920538"/>
      <w:bookmarkStart w:id="1" w:name="_Toc496884613"/>
      <w:bookmarkStart w:id="2" w:name="_Toc231370437"/>
      <w:r>
        <w:rPr>
          <w:rFonts w:ascii="Times New Roman" w:hAnsi="Times New Roman"/>
          <w:kern w:val="0"/>
        </w:rPr>
        <w:lastRenderedPageBreak/>
        <w:t>重要提示</w:t>
      </w:r>
      <w:bookmarkEnd w:id="0"/>
      <w:bookmarkEnd w:id="1"/>
      <w:bookmarkEnd w:id="2"/>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交银施罗德恒生港股通创新药精选指数型证券投资基金（以下简称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2025</w:t>
      </w:r>
      <w:r>
        <w:rPr>
          <w:rFonts w:ascii="Times New Roman" w:hAnsi="Times New Roman"/>
          <w:kern w:val="0"/>
          <w:sz w:val="24"/>
        </w:rPr>
        <w:t>】</w:t>
      </w:r>
      <w:r>
        <w:rPr>
          <w:rFonts w:ascii="Times New Roman" w:hAnsi="Times New Roman"/>
          <w:kern w:val="0"/>
          <w:sz w:val="24"/>
        </w:rPr>
        <w:t>1374</w:t>
      </w:r>
      <w:r>
        <w:rPr>
          <w:rFonts w:ascii="Times New Roman" w:hAnsi="Times New Roman"/>
          <w:kern w:val="0"/>
          <w:sz w:val="24"/>
        </w:rPr>
        <w:t>号文准予募集注册。本基金基金合同于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日正式生效。</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本基金法律文件风险收益特征表述与销售机构基金风险评价可能不一致的风险；投资本基金的其他风险等等。</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本基金是一只股票型基金，其预期风险和预期收益理论上高于混合型基金、债券型基金和货币市场基金。</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本基金为指数型基金，主要采用完全复制法跟踪恒生港股通创新药精选指数，具有与标的指数相似的风险收益特征。</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本基金为指数基金，投资者投资于本基金面临跟踪误差控制未达约定目标、指数编制机构停止服务、成份股停牌等潜在风险。</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本基金标的指数为恒生港股通创新药精选指数。</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、选股范畴</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合资格在互联互通下交易的恒生综合指数成份股及</w:t>
      </w:r>
      <w:r>
        <w:rPr>
          <w:rFonts w:ascii="Times New Roman" w:hAnsi="Times New Roman"/>
          <w:kern w:val="0"/>
          <w:sz w:val="24"/>
        </w:rPr>
        <w:t>AH</w:t>
      </w:r>
      <w:r>
        <w:rPr>
          <w:rFonts w:ascii="Times New Roman" w:hAnsi="Times New Roman"/>
          <w:kern w:val="0"/>
          <w:sz w:val="24"/>
        </w:rPr>
        <w:t>公司</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2</w:t>
      </w:r>
      <w:r>
        <w:rPr>
          <w:rFonts w:ascii="Times New Roman" w:hAnsi="Times New Roman"/>
          <w:kern w:val="0"/>
          <w:sz w:val="24"/>
        </w:rPr>
        <w:t>、候选资格</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）流动性要求</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投资类指数的换手率测试</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）行业要求</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被分类为以下恒生行业分类系统的业务子类别：</w:t>
      </w:r>
    </w:p>
    <w:p w:rsidR="003C75F7" w:rsidRDefault="003C75F7">
      <w:pPr>
        <w:autoSpaceDE w:val="0"/>
        <w:autoSpaceDN w:val="0"/>
        <w:adjustRightInd w:val="0"/>
        <w:snapToGrid w:val="0"/>
        <w:spacing w:line="360" w:lineRule="auto"/>
        <w:ind w:leftChars="50" w:left="105" w:firstLineChars="200" w:firstLine="480"/>
        <w:rPr>
          <w:rFonts w:ascii="宋体" w:hAnsi="宋体"/>
          <w:kern w:val="0"/>
          <w:sz w:val="24"/>
        </w:rPr>
      </w:pPr>
    </w:p>
    <w:tbl>
      <w:tblPr>
        <w:tblW w:w="4000" w:type="dxa"/>
        <w:tblCellMar>
          <w:left w:w="0" w:type="dxa"/>
          <w:right w:w="0" w:type="dxa"/>
        </w:tblCellMar>
        <w:tblLook w:val="0000" w:firstRow="0" w:lastRow="0" w:firstColumn="0" w:lastColumn="0" w:noHBand="0" w:noVBand="0"/>
      </w:tblPr>
      <w:tblGrid>
        <w:gridCol w:w="2000"/>
        <w:gridCol w:w="2000"/>
      </w:tblGrid>
      <w:tr w:rsidR="003C75F7">
        <w:trPr>
          <w:cantSplit/>
          <w:trHeight w:val="375"/>
        </w:trPr>
        <w:tc>
          <w:tcPr>
            <w:tcW w:w="2000" w:type="dxa"/>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代号</w:t>
            </w:r>
          </w:p>
        </w:tc>
        <w:tc>
          <w:tcPr>
            <w:tcW w:w="2000" w:type="dxa"/>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子业务类别</w:t>
            </w:r>
          </w:p>
        </w:tc>
      </w:tr>
      <w:tr w:rsidR="003C75F7">
        <w:trPr>
          <w:cantSplit/>
          <w:trHeight w:val="375"/>
        </w:trPr>
        <w:tc>
          <w:tcPr>
            <w:tcW w:w="2000" w:type="dxa"/>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281010</w:t>
            </w:r>
          </w:p>
        </w:tc>
        <w:tc>
          <w:tcPr>
            <w:tcW w:w="2000" w:type="dxa"/>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药品</w:t>
            </w:r>
          </w:p>
        </w:tc>
      </w:tr>
      <w:tr w:rsidR="003C75F7">
        <w:trPr>
          <w:cantSplit/>
          <w:trHeight w:val="375"/>
        </w:trPr>
        <w:tc>
          <w:tcPr>
            <w:tcW w:w="2000" w:type="dxa"/>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281020</w:t>
            </w:r>
          </w:p>
        </w:tc>
        <w:tc>
          <w:tcPr>
            <w:tcW w:w="2000" w:type="dxa"/>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生物技术</w:t>
            </w:r>
          </w:p>
        </w:tc>
      </w:tr>
    </w:tbl>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主营业务在</w:t>
      </w:r>
      <w:r>
        <w:rPr>
          <w:rFonts w:ascii="Times New Roman" w:hAnsi="Times New Roman"/>
          <w:kern w:val="0"/>
          <w:sz w:val="24"/>
        </w:rPr>
        <w:t xml:space="preserve"> CXO </w:t>
      </w:r>
      <w:r>
        <w:rPr>
          <w:rFonts w:ascii="Times New Roman" w:hAnsi="Times New Roman"/>
          <w:kern w:val="0"/>
          <w:sz w:val="24"/>
        </w:rPr>
        <w:t>行业的公司将被剔除，包括委托研究机构（</w:t>
      </w:r>
      <w:r>
        <w:rPr>
          <w:rFonts w:ascii="Times New Roman" w:hAnsi="Times New Roman"/>
          <w:kern w:val="0"/>
          <w:sz w:val="24"/>
        </w:rPr>
        <w:t>CRO</w:t>
      </w:r>
      <w:r>
        <w:rPr>
          <w:rFonts w:ascii="Times New Roman" w:hAnsi="Times New Roman"/>
          <w:kern w:val="0"/>
          <w:sz w:val="24"/>
        </w:rPr>
        <w:t>）、委托生产机构（</w:t>
      </w:r>
      <w:r>
        <w:rPr>
          <w:rFonts w:ascii="Times New Roman" w:hAnsi="Times New Roman"/>
          <w:kern w:val="0"/>
          <w:sz w:val="24"/>
        </w:rPr>
        <w:t>CMO</w:t>
      </w:r>
      <w:r>
        <w:rPr>
          <w:rFonts w:ascii="Times New Roman" w:hAnsi="Times New Roman"/>
          <w:kern w:val="0"/>
          <w:sz w:val="24"/>
        </w:rPr>
        <w:t>）和委托研发生产机构（</w:t>
      </w:r>
      <w:r>
        <w:rPr>
          <w:rFonts w:ascii="Times New Roman" w:hAnsi="Times New Roman"/>
          <w:kern w:val="0"/>
          <w:sz w:val="24"/>
        </w:rPr>
        <w:t>CDMO</w:t>
      </w:r>
      <w:r>
        <w:rPr>
          <w:rFonts w:ascii="Times New Roman" w:hAnsi="Times New Roman"/>
          <w:kern w:val="0"/>
          <w:sz w:val="24"/>
        </w:rPr>
        <w:t>）</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、成份股挑选准则</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）挑选方法</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合资格证券将按其与创新药之业务关联性获得一个相关性分数，相关性分数最高的</w:t>
      </w:r>
      <w:r>
        <w:rPr>
          <w:rFonts w:ascii="Times New Roman" w:hAnsi="Times New Roman"/>
          <w:kern w:val="0"/>
          <w:sz w:val="24"/>
        </w:rPr>
        <w:t xml:space="preserve"> 50 </w:t>
      </w:r>
      <w:r>
        <w:rPr>
          <w:rFonts w:ascii="Times New Roman" w:hAnsi="Times New Roman"/>
          <w:kern w:val="0"/>
          <w:sz w:val="24"/>
        </w:rPr>
        <w:t>只证券会被选为成份股。</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）成份股数目：固定为</w:t>
      </w:r>
      <w:r>
        <w:rPr>
          <w:rFonts w:ascii="Times New Roman" w:hAnsi="Times New Roman"/>
          <w:kern w:val="0"/>
          <w:sz w:val="24"/>
        </w:rPr>
        <w:t>50</w:t>
      </w:r>
      <w:r>
        <w:rPr>
          <w:rFonts w:ascii="Times New Roman" w:hAnsi="Times New Roman"/>
          <w:kern w:val="0"/>
          <w:sz w:val="24"/>
        </w:rPr>
        <w:t>（若合资格候选证券少于</w:t>
      </w:r>
      <w:r>
        <w:rPr>
          <w:rFonts w:ascii="Times New Roman" w:hAnsi="Times New Roman"/>
          <w:kern w:val="0"/>
          <w:sz w:val="24"/>
        </w:rPr>
        <w:t>50</w:t>
      </w:r>
      <w:r>
        <w:rPr>
          <w:rFonts w:ascii="Times New Roman" w:hAnsi="Times New Roman"/>
          <w:kern w:val="0"/>
          <w:sz w:val="24"/>
        </w:rPr>
        <w:t>只，则所有合资格候选证券全部纳入指数）</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3</w:t>
      </w:r>
      <w:r>
        <w:rPr>
          <w:rFonts w:ascii="Times New Roman" w:hAnsi="Times New Roman"/>
          <w:kern w:val="0"/>
          <w:sz w:val="24"/>
        </w:rPr>
        <w:t>）缓冲区</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排名</w:t>
      </w:r>
      <w:r>
        <w:rPr>
          <w:rFonts w:ascii="Times New Roman" w:hAnsi="Times New Roman"/>
          <w:kern w:val="0"/>
          <w:sz w:val="24"/>
        </w:rPr>
        <w:t xml:space="preserve"> 60 </w:t>
      </w:r>
      <w:r>
        <w:rPr>
          <w:rFonts w:ascii="Times New Roman" w:hAnsi="Times New Roman"/>
          <w:kern w:val="0"/>
          <w:sz w:val="24"/>
        </w:rPr>
        <w:t>名以下的现有成份股将从指数中剔除，而排名</w:t>
      </w:r>
      <w:r>
        <w:rPr>
          <w:rFonts w:ascii="Times New Roman" w:hAnsi="Times New Roman"/>
          <w:kern w:val="0"/>
          <w:sz w:val="24"/>
        </w:rPr>
        <w:t xml:space="preserve"> 40 </w:t>
      </w:r>
      <w:r>
        <w:rPr>
          <w:rFonts w:ascii="Times New Roman" w:hAnsi="Times New Roman"/>
          <w:kern w:val="0"/>
          <w:sz w:val="24"/>
        </w:rPr>
        <w:t>名或以上的非成份股将加入指数；</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最终成份股剔除数目和新增数目，将按市值排名决定，以维持成份股总数目于</w:t>
      </w:r>
      <w:r>
        <w:rPr>
          <w:rFonts w:ascii="Times New Roman" w:hAnsi="Times New Roman"/>
          <w:kern w:val="0"/>
          <w:sz w:val="24"/>
        </w:rPr>
        <w:t xml:space="preserve"> 50</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4</w:t>
      </w:r>
      <w:r>
        <w:rPr>
          <w:rFonts w:ascii="Times New Roman" w:hAnsi="Times New Roman"/>
          <w:kern w:val="0"/>
          <w:sz w:val="24"/>
        </w:rPr>
        <w:t>）互联互通交易资格</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南向：有</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5</w:t>
      </w:r>
      <w:r>
        <w:rPr>
          <w:rFonts w:ascii="Times New Roman" w:hAnsi="Times New Roman"/>
          <w:kern w:val="0"/>
          <w:sz w:val="24"/>
        </w:rPr>
        <w:t>）检讨周期</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半年（资料截至每年六月底及十二月底）</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6</w:t>
      </w:r>
      <w:r>
        <w:rPr>
          <w:rFonts w:ascii="Times New Roman" w:hAnsi="Times New Roman"/>
          <w:kern w:val="0"/>
          <w:sz w:val="24"/>
        </w:rPr>
        <w:t>）比重调整周期</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每季</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7</w:t>
      </w:r>
      <w:r>
        <w:rPr>
          <w:rFonts w:ascii="Times New Roman" w:hAnsi="Times New Roman"/>
          <w:kern w:val="0"/>
          <w:sz w:val="24"/>
        </w:rPr>
        <w:t>）加权方法</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自由流通市值加权</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8</w:t>
      </w:r>
      <w:r>
        <w:rPr>
          <w:rFonts w:ascii="Times New Roman" w:hAnsi="Times New Roman"/>
          <w:kern w:val="0"/>
          <w:sz w:val="24"/>
        </w:rPr>
        <w:t>）比重上限</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每只成份股</w:t>
      </w:r>
      <w:r>
        <w:rPr>
          <w:rFonts w:ascii="Times New Roman" w:hAnsi="Times New Roman"/>
          <w:kern w:val="0"/>
          <w:sz w:val="24"/>
        </w:rPr>
        <w:t xml:space="preserve"> 10%</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以上编算方法将于截至</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日之指数检讨时生效，而相关的成份股变动将于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8</w:t>
      </w:r>
      <w:r>
        <w:rPr>
          <w:rFonts w:ascii="Times New Roman" w:hAnsi="Times New Roman"/>
          <w:kern w:val="0"/>
          <w:sz w:val="24"/>
        </w:rPr>
        <w:t>日实施。</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有关标的指数具体编制方案及成份股信息详见恒生指数有限公司网站，网址：</w:t>
      </w:r>
      <w:r>
        <w:rPr>
          <w:rFonts w:ascii="Times New Roman" w:hAnsi="Times New Roman"/>
          <w:kern w:val="0"/>
          <w:sz w:val="24"/>
        </w:rPr>
        <w:t>www.hsi.com.hk</w:t>
      </w:r>
      <w:r>
        <w:rPr>
          <w:rFonts w:ascii="Times New Roman" w:hAnsi="Times New Roman"/>
          <w:kern w:val="0"/>
          <w:sz w:val="24"/>
        </w:rPr>
        <w:t>。</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汇率风险（汇率波动可能对基金的投资收益造成损失）、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w:t>
      </w:r>
      <w:r>
        <w:rPr>
          <w:rFonts w:ascii="Times New Roman" w:hAnsi="Times New Roman"/>
          <w:kern w:val="0"/>
          <w:sz w:val="24"/>
        </w:rPr>
        <w:lastRenderedPageBreak/>
        <w:t>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本基金可根据投资策略需要或市场环境的变化，选择将部分基金资产投资于科创板股票或选择不将基金资产投资于科创板股票，基金资产并非必然投资于科创板股票。</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本基金可参与融资业务，面临的风险包括但不限于市场风险、流动性风险、信用风险等。</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本基金可参与转融通证券出借业务，面临的风险包括但不限于流动性风险、信用风险、市场风险、其他风险等。</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基金合同提前终止风险。《基金合同》生效后，连续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万元情形的，基金合同终止，不需召开基金份额持有人大会。因此，投资者可能面临基金合同提前终止的风险。</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w:t>
      </w:r>
      <w:r>
        <w:rPr>
          <w:rFonts w:ascii="Times New Roman" w:hAnsi="Times New Roman"/>
          <w:kern w:val="0"/>
          <w:sz w:val="24"/>
        </w:rPr>
        <w:lastRenderedPageBreak/>
        <w:t>购赎回。请基金份额持有人仔细阅读相关内容并关注本基金启用侧袋机制时的特定风险。</w:t>
      </w:r>
    </w:p>
    <w:p w:rsidR="003C75F7" w:rsidRDefault="0017542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3C75F7" w:rsidRDefault="003C75F7">
      <w:pPr>
        <w:autoSpaceDE w:val="0"/>
        <w:autoSpaceDN w:val="0"/>
        <w:adjustRightInd w:val="0"/>
        <w:snapToGrid w:val="0"/>
        <w:spacing w:before="51" w:line="360" w:lineRule="auto"/>
        <w:ind w:left="120" w:rightChars="6" w:right="13" w:firstLine="480"/>
        <w:rPr>
          <w:rFonts w:ascii="宋体" w:hAnsi="宋体"/>
          <w:kern w:val="0"/>
          <w:szCs w:val="24"/>
        </w:rPr>
        <w:sectPr w:rsidR="003C75F7">
          <w:headerReference w:type="default" r:id="rId14"/>
          <w:pgSz w:w="11920" w:h="16840"/>
          <w:pgMar w:top="1440" w:right="1680" w:bottom="280" w:left="1680" w:header="0" w:footer="1073" w:gutter="0"/>
          <w:pgNumType w:start="1"/>
          <w:cols w:space="720"/>
        </w:sectPr>
      </w:pPr>
    </w:p>
    <w:p w:rsidR="009E04D9" w:rsidRPr="009E04D9" w:rsidRDefault="00175422" w:rsidP="009E04D9">
      <w:pPr>
        <w:pStyle w:val="ad"/>
        <w:snapToGrid w:val="0"/>
        <w:spacing w:after="240" w:line="360" w:lineRule="auto"/>
        <w:jc w:val="center"/>
        <w:rPr>
          <w:rFonts w:ascii="宋体" w:hAnsi="宋体"/>
          <w:noProof/>
          <w:sz w:val="24"/>
        </w:rPr>
      </w:pPr>
      <w:r w:rsidRPr="009E04D9">
        <w:rPr>
          <w:rFonts w:ascii="宋体" w:hAnsi="宋体"/>
          <w:color w:val="000000"/>
          <w:position w:val="-4"/>
          <w:sz w:val="24"/>
          <w:szCs w:val="30"/>
        </w:rPr>
        <w:lastRenderedPageBreak/>
        <w:t>目</w:t>
      </w:r>
      <w:r w:rsidRPr="009E04D9">
        <w:rPr>
          <w:rFonts w:ascii="宋体" w:hAnsi="宋体"/>
          <w:color w:val="000000"/>
          <w:position w:val="-4"/>
          <w:sz w:val="24"/>
          <w:szCs w:val="30"/>
        </w:rPr>
        <w:tab/>
        <w:t>录</w:t>
      </w:r>
      <w:r w:rsidR="009E04D9" w:rsidRPr="009E04D9">
        <w:rPr>
          <w:rFonts w:ascii="宋体" w:hAnsi="宋体"/>
          <w:color w:val="000000"/>
          <w:position w:val="-4"/>
          <w:sz w:val="24"/>
          <w:szCs w:val="30"/>
        </w:rPr>
        <w:fldChar w:fldCharType="begin"/>
      </w:r>
      <w:r w:rsidR="009E04D9" w:rsidRPr="009E04D9">
        <w:rPr>
          <w:rFonts w:ascii="宋体" w:hAnsi="宋体"/>
          <w:color w:val="000000"/>
          <w:position w:val="-4"/>
          <w:sz w:val="24"/>
          <w:szCs w:val="30"/>
        </w:rPr>
        <w:instrText xml:space="preserve"> TOC \o "1-3" \f - \h \t "-1" </w:instrText>
      </w:r>
      <w:r w:rsidR="009E04D9" w:rsidRPr="009E04D9">
        <w:rPr>
          <w:rFonts w:ascii="宋体" w:hAnsi="宋体"/>
          <w:color w:val="000000"/>
          <w:position w:val="-4"/>
          <w:sz w:val="24"/>
          <w:szCs w:val="30"/>
        </w:rPr>
        <w:fldChar w:fldCharType="separate"/>
      </w:r>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37" w:history="1">
        <w:r w:rsidRPr="009E04D9">
          <w:rPr>
            <w:rStyle w:val="aa"/>
            <w:rFonts w:ascii="宋体" w:hAnsi="宋体" w:hint="eastAsia"/>
            <w:noProof/>
            <w:kern w:val="0"/>
            <w:sz w:val="24"/>
          </w:rPr>
          <w:t>重要提示</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_Toc231370437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38" w:history="1">
        <w:r w:rsidRPr="009E04D9">
          <w:rPr>
            <w:rStyle w:val="aa"/>
            <w:rFonts w:ascii="宋体" w:hAnsi="宋体" w:hint="eastAsia"/>
            <w:noProof/>
            <w:sz w:val="24"/>
          </w:rPr>
          <w:t>一、绪言</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_Toc231370438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7</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39" w:history="1">
        <w:r w:rsidRPr="009E04D9">
          <w:rPr>
            <w:rStyle w:val="aa"/>
            <w:rFonts w:ascii="宋体" w:hAnsi="宋体" w:hint="eastAsia"/>
            <w:noProof/>
            <w:sz w:val="24"/>
          </w:rPr>
          <w:t>二、释义</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_Toc231370439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8</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0" w:history="1">
        <w:r w:rsidRPr="009E04D9">
          <w:rPr>
            <w:rStyle w:val="aa"/>
            <w:rFonts w:ascii="宋体" w:hAnsi="宋体" w:hint="eastAsia"/>
            <w:noProof/>
            <w:sz w:val="24"/>
          </w:rPr>
          <w:t>三、基金管理人</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_Toc231370440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13</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1" w:history="1">
        <w:r w:rsidRPr="009E04D9">
          <w:rPr>
            <w:rStyle w:val="aa"/>
            <w:rFonts w:ascii="宋体" w:hAnsi="宋体" w:hint="eastAsia"/>
            <w:noProof/>
            <w:sz w:val="24"/>
          </w:rPr>
          <w:t>四、基金托管人</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_Toc231370441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21</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2" w:history="1">
        <w:r w:rsidRPr="009E04D9">
          <w:rPr>
            <w:rStyle w:val="aa"/>
            <w:rFonts w:ascii="宋体" w:hAnsi="宋体" w:hint="eastAsia"/>
            <w:noProof/>
            <w:sz w:val="24"/>
          </w:rPr>
          <w:t>五、相关服务机构</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_Toc231370442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24</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3" w:history="1">
        <w:r w:rsidRPr="009E04D9">
          <w:rPr>
            <w:rStyle w:val="aa"/>
            <w:rFonts w:ascii="宋体" w:hAnsi="宋体" w:hint="eastAsia"/>
            <w:noProof/>
            <w:sz w:val="24"/>
          </w:rPr>
          <w:t>六、基金的募集</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_Toc231370443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37</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4" w:history="1">
        <w:r w:rsidRPr="009E04D9">
          <w:rPr>
            <w:rStyle w:val="aa"/>
            <w:rFonts w:ascii="宋体" w:hAnsi="宋体" w:hint="eastAsia"/>
            <w:noProof/>
            <w:sz w:val="24"/>
          </w:rPr>
          <w:t>七、基金合同的生效</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_Toc231370444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38</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5" w:history="1">
        <w:r w:rsidRPr="009E04D9">
          <w:rPr>
            <w:rStyle w:val="aa"/>
            <w:rFonts w:ascii="宋体" w:hAnsi="宋体" w:hint="eastAsia"/>
            <w:noProof/>
            <w:sz w:val="24"/>
          </w:rPr>
          <w:t>八、基金份额的申购与赎回</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_Toc231370445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39</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6" w:history="1">
        <w:r w:rsidRPr="009E04D9">
          <w:rPr>
            <w:rStyle w:val="aa"/>
            <w:rFonts w:ascii="宋体" w:hAnsi="宋体" w:hint="eastAsia"/>
            <w:noProof/>
            <w:sz w:val="24"/>
          </w:rPr>
          <w:t>九、基金的投资</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_Toc231370446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53</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7" w:history="1">
        <w:r w:rsidRPr="009E04D9">
          <w:rPr>
            <w:rStyle w:val="aa"/>
            <w:rFonts w:ascii="宋体" w:hAnsi="宋体" w:hint="eastAsia"/>
            <w:noProof/>
            <w:sz w:val="24"/>
          </w:rPr>
          <w:t>十、基金的业绩</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_Toc231370447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64</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8" w:history="1">
        <w:r w:rsidRPr="009E04D9">
          <w:rPr>
            <w:rStyle w:val="aa"/>
            <w:rFonts w:ascii="宋体" w:hAnsi="宋体" w:hint="eastAsia"/>
            <w:noProof/>
            <w:sz w:val="24"/>
          </w:rPr>
          <w:t>十一、基金的财产</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_Toc231370448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66</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49" w:history="1">
        <w:r w:rsidRPr="009E04D9">
          <w:rPr>
            <w:rStyle w:val="aa"/>
            <w:rFonts w:ascii="宋体" w:hAnsi="宋体" w:hint="eastAsia"/>
            <w:noProof/>
            <w:sz w:val="24"/>
          </w:rPr>
          <w:t>十二、基金资产的估值</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_Toc231370449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67</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0" w:history="1">
        <w:r w:rsidRPr="009E04D9">
          <w:rPr>
            <w:rStyle w:val="aa"/>
            <w:rFonts w:ascii="宋体" w:hAnsi="宋体" w:hint="eastAsia"/>
            <w:noProof/>
            <w:sz w:val="24"/>
          </w:rPr>
          <w:t>十三、基金收益与分配</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_Toc231370450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73</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1" w:history="1">
        <w:r w:rsidRPr="009E04D9">
          <w:rPr>
            <w:rStyle w:val="aa"/>
            <w:rFonts w:ascii="宋体" w:hAnsi="宋体" w:hint="eastAsia"/>
            <w:noProof/>
            <w:sz w:val="24"/>
          </w:rPr>
          <w:t>十四、基金的费用与税收</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_Toc231370451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75</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2" w:history="1">
        <w:r w:rsidRPr="009E04D9">
          <w:rPr>
            <w:rStyle w:val="aa"/>
            <w:rFonts w:ascii="宋体" w:hAnsi="宋体" w:hint="eastAsia"/>
            <w:noProof/>
            <w:sz w:val="24"/>
          </w:rPr>
          <w:t>十五、基金的会计与审计</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_Toc231370452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78</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3" w:history="1">
        <w:r w:rsidRPr="009E04D9">
          <w:rPr>
            <w:rStyle w:val="aa"/>
            <w:rFonts w:ascii="宋体" w:hAnsi="宋体" w:hint="eastAsia"/>
            <w:noProof/>
            <w:sz w:val="24"/>
          </w:rPr>
          <w:t>十六、基金的信息披露</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_Toc231370453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79</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4" w:history="1">
        <w:r w:rsidRPr="009E04D9">
          <w:rPr>
            <w:rStyle w:val="aa"/>
            <w:rFonts w:ascii="宋体" w:hAnsi="宋体" w:hint="eastAsia"/>
            <w:noProof/>
            <w:sz w:val="24"/>
          </w:rPr>
          <w:t>十七、侧袋机制</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_Toc231370454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86</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5" w:history="1">
        <w:r w:rsidRPr="009E04D9">
          <w:rPr>
            <w:rStyle w:val="aa"/>
            <w:rFonts w:ascii="宋体" w:hAnsi="宋体" w:hint="eastAsia"/>
            <w:noProof/>
            <w:sz w:val="24"/>
          </w:rPr>
          <w:t>十八、风险揭示</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_Toc231370455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89</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6" w:history="1">
        <w:r w:rsidRPr="009E04D9">
          <w:rPr>
            <w:rStyle w:val="aa"/>
            <w:rFonts w:ascii="宋体" w:hAnsi="宋体" w:hint="eastAsia"/>
            <w:noProof/>
            <w:sz w:val="24"/>
          </w:rPr>
          <w:t>十九、基金合同的变更、终止与基金财产的清算</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_Toc231370456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104</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7" w:history="1">
        <w:r w:rsidRPr="009E04D9">
          <w:rPr>
            <w:rStyle w:val="aa"/>
            <w:rFonts w:ascii="宋体" w:hAnsi="宋体" w:hint="eastAsia"/>
            <w:noProof/>
            <w:sz w:val="24"/>
          </w:rPr>
          <w:t>二十、基金合同内容摘要</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_Toc231370457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106</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8" w:history="1">
        <w:r w:rsidRPr="009E04D9">
          <w:rPr>
            <w:rStyle w:val="aa"/>
            <w:rFonts w:ascii="宋体" w:hAnsi="宋体" w:hint="eastAsia"/>
            <w:noProof/>
            <w:sz w:val="24"/>
          </w:rPr>
          <w:t>二十一、托管协议的内容摘要</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_Toc231370458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123</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59" w:history="1">
        <w:r w:rsidRPr="009E04D9">
          <w:rPr>
            <w:rStyle w:val="aa"/>
            <w:rFonts w:ascii="宋体" w:hAnsi="宋体" w:hint="eastAsia"/>
            <w:noProof/>
            <w:sz w:val="24"/>
          </w:rPr>
          <w:t>二十二、对基金份额持有人的服务</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_Toc231370459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143</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60" w:history="1">
        <w:r w:rsidRPr="009E04D9">
          <w:rPr>
            <w:rStyle w:val="aa"/>
            <w:rFonts w:ascii="宋体" w:hAnsi="宋体" w:hint="eastAsia"/>
            <w:noProof/>
            <w:sz w:val="24"/>
          </w:rPr>
          <w:t>二十三、其他应披露事项</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_Toc231370460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145</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61" w:history="1">
        <w:r w:rsidRPr="009E04D9">
          <w:rPr>
            <w:rStyle w:val="aa"/>
            <w:rFonts w:ascii="宋体" w:hAnsi="宋体" w:hint="eastAsia"/>
            <w:noProof/>
            <w:sz w:val="24"/>
          </w:rPr>
          <w:t>二十四、招募说明书的存放及查阅方式</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_Toc231370461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147</w:t>
        </w:r>
        <w:r w:rsidRPr="009E04D9">
          <w:rPr>
            <w:rFonts w:ascii="宋体" w:hAnsi="宋体"/>
            <w:noProof/>
            <w:sz w:val="24"/>
          </w:rPr>
          <w:fldChar w:fldCharType="end"/>
        </w:r>
      </w:hyperlink>
    </w:p>
    <w:p w:rsidR="009E04D9" w:rsidRPr="009E04D9" w:rsidRDefault="009E04D9" w:rsidP="009E04D9">
      <w:pPr>
        <w:pStyle w:val="10"/>
        <w:tabs>
          <w:tab w:val="right" w:leader="dot" w:pos="8550"/>
        </w:tabs>
        <w:spacing w:line="360" w:lineRule="auto"/>
        <w:rPr>
          <w:rFonts w:ascii="宋体" w:hAnsi="宋体" w:cstheme="minorBidi"/>
          <w:noProof/>
          <w:sz w:val="24"/>
        </w:rPr>
      </w:pPr>
      <w:hyperlink w:anchor="_Toc231370462" w:history="1">
        <w:r w:rsidRPr="009E04D9">
          <w:rPr>
            <w:rStyle w:val="aa"/>
            <w:rFonts w:ascii="宋体" w:hAnsi="宋体" w:hint="eastAsia"/>
            <w:noProof/>
            <w:sz w:val="24"/>
          </w:rPr>
          <w:t>二十五、备查文件</w:t>
        </w:r>
        <w:r w:rsidRPr="009E04D9">
          <w:rPr>
            <w:rFonts w:ascii="宋体" w:hAnsi="宋体"/>
            <w:noProof/>
            <w:sz w:val="24"/>
          </w:rPr>
          <w:tab/>
        </w:r>
        <w:r w:rsidRPr="009E04D9">
          <w:rPr>
            <w:rFonts w:ascii="宋体" w:hAnsi="宋体"/>
            <w:noProof/>
            <w:sz w:val="24"/>
          </w:rPr>
          <w:fldChar w:fldCharType="begin"/>
        </w:r>
        <w:r w:rsidRPr="009E04D9">
          <w:rPr>
            <w:rFonts w:ascii="宋体" w:hAnsi="宋体"/>
            <w:noProof/>
            <w:sz w:val="24"/>
          </w:rPr>
          <w:instrText xml:space="preserve"> PAGEREF _Toc231370462 \h </w:instrText>
        </w:r>
        <w:r w:rsidRPr="009E04D9">
          <w:rPr>
            <w:rFonts w:ascii="宋体" w:hAnsi="宋体"/>
            <w:noProof/>
            <w:sz w:val="24"/>
          </w:rPr>
        </w:r>
        <w:r w:rsidRPr="009E04D9">
          <w:rPr>
            <w:rFonts w:ascii="宋体" w:hAnsi="宋体"/>
            <w:noProof/>
            <w:sz w:val="24"/>
          </w:rPr>
          <w:fldChar w:fldCharType="separate"/>
        </w:r>
        <w:r w:rsidRPr="009E04D9">
          <w:rPr>
            <w:rFonts w:ascii="宋体" w:hAnsi="宋体"/>
            <w:noProof/>
            <w:sz w:val="24"/>
          </w:rPr>
          <w:t>148</w:t>
        </w:r>
        <w:r w:rsidRPr="009E04D9">
          <w:rPr>
            <w:rFonts w:ascii="宋体" w:hAnsi="宋体"/>
            <w:noProof/>
            <w:sz w:val="24"/>
          </w:rPr>
          <w:fldChar w:fldCharType="end"/>
        </w:r>
      </w:hyperlink>
    </w:p>
    <w:p w:rsidR="003C75F7" w:rsidRPr="009E04D9" w:rsidRDefault="009E04D9" w:rsidP="009E04D9">
      <w:pPr>
        <w:pStyle w:val="ad"/>
        <w:snapToGrid w:val="0"/>
        <w:spacing w:after="240" w:line="360" w:lineRule="auto"/>
        <w:jc w:val="center"/>
        <w:rPr>
          <w:rFonts w:ascii="宋体" w:hAnsi="宋体"/>
          <w:color w:val="000000"/>
          <w:sz w:val="24"/>
        </w:rPr>
      </w:pPr>
      <w:r w:rsidRPr="009E04D9">
        <w:rPr>
          <w:rFonts w:ascii="宋体" w:hAnsi="宋体"/>
          <w:color w:val="000000"/>
          <w:position w:val="-4"/>
          <w:sz w:val="24"/>
          <w:szCs w:val="30"/>
        </w:rPr>
        <w:fldChar w:fldCharType="end"/>
      </w:r>
      <w:bookmarkStart w:id="3" w:name="_GoBack"/>
      <w:bookmarkEnd w:id="3"/>
    </w:p>
    <w:p w:rsidR="003C75F7" w:rsidRDefault="003C75F7">
      <w:pPr>
        <w:autoSpaceDE w:val="0"/>
        <w:autoSpaceDN w:val="0"/>
        <w:adjustRightInd w:val="0"/>
        <w:snapToGrid w:val="0"/>
        <w:spacing w:line="360" w:lineRule="auto"/>
        <w:ind w:left="120" w:rightChars="6" w:right="13"/>
        <w:rPr>
          <w:rFonts w:ascii="宋体" w:hAnsi="宋体"/>
          <w:kern w:val="0"/>
          <w:szCs w:val="24"/>
        </w:rPr>
        <w:sectPr w:rsidR="003C75F7">
          <w:pgSz w:w="11920" w:h="16840"/>
          <w:pgMar w:top="1480" w:right="1680" w:bottom="280" w:left="1680" w:header="0" w:footer="1073" w:gutter="0"/>
          <w:cols w:space="720"/>
        </w:sectPr>
      </w:pPr>
    </w:p>
    <w:p w:rsidR="003C75F7" w:rsidRDefault="00175422">
      <w:pPr>
        <w:pStyle w:val="1"/>
        <w:snapToGrid w:val="0"/>
        <w:spacing w:beforeLines="0" w:before="240" w:after="240"/>
        <w:rPr>
          <w:rFonts w:ascii="宋体" w:hAnsi="宋体"/>
          <w:szCs w:val="30"/>
        </w:rPr>
      </w:pPr>
      <w:bookmarkStart w:id="4" w:name="_Toc231370438"/>
      <w:r>
        <w:rPr>
          <w:rFonts w:ascii="Times New Roman" w:hAnsi="Times New Roman"/>
          <w:sz w:val="30"/>
        </w:rPr>
        <w:lastRenderedPageBreak/>
        <w:t>一、绪言</w:t>
      </w:r>
      <w:bookmarkEnd w:id="4"/>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恒生港股通创新药精选指数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和其他相关法律法规的规定以及《交银施罗德恒生港股通创新药精选指数型证券投资基金基金合同》（以下简称“基金合同”）编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5" w:name="_Toc231370439"/>
      <w:r>
        <w:rPr>
          <w:rFonts w:ascii="Times New Roman" w:hAnsi="Times New Roman"/>
          <w:sz w:val="30"/>
        </w:rPr>
        <w:lastRenderedPageBreak/>
        <w:t>二、释义</w:t>
      </w:r>
      <w:bookmarkEnd w:id="5"/>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1、基金或本基金：指交银施罗德恒生港股通创新药精选指数型证券投资基金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4、基金合同或《基金合同》：指《交银施罗德恒生港股通创新药精选指数型证券投资基金基金合同》及对基金合同的任何有效修订和补充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5、托管协议：指基金管理人与基金托管人就本基金签订之《交银施罗德恒生港股通创新药精选指数型证券投资基金托管协议》及对该托管协议的任何有效修订和补充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6、招募说明书、《招募说明书》或本招募说明书：指《交银施罗德恒生港股通创新药精选指数型证券投资基金招募说明书》及其更新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7、基金份额发售公告：指《交银施罗德恒生港股通创新药精选指数型证券投资基金基金份额发售公告》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8、基金产品资料概要：指《交银施罗德恒生港股通创新药精选指数型证券投资基金基金产品资料概要》及其更新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15、《指数基金指引》：指《公开募集证券投资基金运作指引第3号——指数基</w:t>
      </w:r>
      <w:r>
        <w:rPr>
          <w:rFonts w:ascii="宋体" w:hAnsi="宋体"/>
          <w:sz w:val="24"/>
        </w:rPr>
        <w:lastRenderedPageBreak/>
        <w:t>金指引》及颁布机关对其不时做出的修订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17、银行业监督管理机构：指中国人民银行和/或国家金融监督管理总局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22、投资人、投资者：指个人投资者、机构投资者、合格境外投资者以及法律法规或中国证监会允许购买证券投资基金的其他投资人的合称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w:t>
      </w:r>
      <w:r>
        <w:rPr>
          <w:rFonts w:ascii="宋体" w:hAnsi="宋体"/>
          <w:sz w:val="24"/>
        </w:rPr>
        <w:lastRenderedPageBreak/>
        <w:t>账户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37、开放日：指为投资人办理基金份额申购、赎回或其他业务的工作日（若该工作日为非港股通交易日，则本基金不开放）</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49、基金资产总值：指基金拥有的各类有价证券、股指期货合约、银行存款本息、基金应收款项及其他资产的价值总和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53、港股通标的股票：指内地投资者委托内地证券公司，经由内地证券交易所在香港设立的证券交易服务公司，向香港联合交易所进行申报，买卖规定范围内的香港联合交易所上市的股票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54、规定媒介：指符合中国证监会规定条件的用以进行信息披露的全国性报刊及《信息披露办法》规定的互联网网站（包括基金管理人网站、基金托管人网站、中国证监会基金电子披露网站）等媒介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55、销售服务费：指从基金财产中计提的，用于本基金市场推广、销售以及基金份额持有人服务的费用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56、A类基金份额：指在投资人认购/申购时收取认购/申购费用、不从本类别基金资产中计提销售服务费的基金份额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57、C类基金份额：指在投资人认购/申购时不收取认购/申购费用、从本类别基金资产中计提销售服务费的基金份额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58、标的指数：指恒生港股通创新药精选指数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w:t>
      </w:r>
      <w:r>
        <w:rPr>
          <w:rFonts w:ascii="宋体" w:hAnsi="宋体"/>
          <w:sz w:val="24"/>
        </w:rPr>
        <w:lastRenderedPageBreak/>
        <w:t>定期存款（含协议约定有条件提前支取的银行存款）、停牌股票、流通受限的新股及非公开发行股票、资产支持证券、因发行人债务违约无法进行转让或交易的债券等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63、转融通证券出借业务：指本基金以一定费率通过证券交易所综合业务平台向中国证券金融股份有限公司出借证券，中国证券金融股份有限公司到期归还所借证券及相应权益补偿并支付费用的业务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64、不可抗力：指基金合同当事人不能预见、不能避免且不能克服的客观事件</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6" w:name="_Toc231370440"/>
      <w:r>
        <w:rPr>
          <w:rFonts w:ascii="Times New Roman" w:hAnsi="Times New Roman"/>
          <w:sz w:val="30"/>
        </w:rPr>
        <w:lastRenderedPageBreak/>
        <w:t>三、基金管理人</w:t>
      </w:r>
      <w:bookmarkEnd w:id="6"/>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深证300价值交易型开放式指数证券投资基金联接基金(2021年04月30日至今)、交银施罗德中证海外中国互联网指数型证券投资基金(LOF)(2021年04月30日至今)、交银施罗德创业板50指数型证券投资基金(2021年04月30日至今)、上证180公司治理交易型开放式指数证券投资基金(2021年04月30日至今)、交银施罗德国证新能源指数证券投资基金（LOF）(2021年04月30日至今)、交银施罗德中证环境治理指数型证券投资基金(LOF)(2021年04月30日至今)、深证300价值交易型开放式指数证券投资基金(2021年04月30日至今)、交银施罗德上证180公司治理交易型开放式指数证券投资基金联接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交银施罗德中证港股通央企红利指数型证券投资基金(2025年10月28日至今)、交银施罗德中证智选沪深港科技50交易型开放式指数证券投资基金(2025年12月10日至今)、交银施罗德中证A500指数增强型发起式证券投资基金(2026年02月10日至今)的基金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黄莹洁（固定收益（公募）投资助理总监、基金经理）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（5）侵占、挪用基金财产；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7" w:name="_Toc231370441"/>
      <w:r>
        <w:rPr>
          <w:rFonts w:ascii="Times New Roman" w:hAnsi="Times New Roman"/>
          <w:sz w:val="30"/>
        </w:rPr>
        <w:lastRenderedPageBreak/>
        <w:t>四、基金托管人</w:t>
      </w:r>
      <w:bookmarkEnd w:id="7"/>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8" w:name="_Toc231370442"/>
      <w:r>
        <w:rPr>
          <w:rFonts w:ascii="Times New Roman" w:hAnsi="Times New Roman"/>
          <w:sz w:val="30"/>
        </w:rPr>
        <w:lastRenderedPageBreak/>
        <w:t>五、相关服务机构</w:t>
      </w:r>
      <w:bookmarkEnd w:id="8"/>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（2）名称：中国农业银行股份有限公司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住所：北京市东城区建国门内大街69号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（3）名称：中国工商银行股份有限公司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网址：www.cmbchina.com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（6）名称：东莞证券股份有限公司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（7）名称：泛华普益基金销售有限公司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（8）名称：济安财富（北京）基金销售有限公司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（9）名称：上海攀赢基金销售有限公司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（10）名称：博时财富基金销售有限公司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（11）名称：大连网金基金销售有限公司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（12）名称：玄元保险代理有限公司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（13）名称：京东肯特瑞基金销售有限公司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（14）名称：上海大智慧基金销售有限公司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（15）名称：和耕传承基金销售有限公司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（16）名称：腾安基金销售（深圳）有限公司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电话：95017（拨通后转1转8）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（17）名称：珠海盈米基金销售有限公司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（18）名称：上海华夏财富投资管理有限公司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（19）名称：南京苏宁基金销售有限公司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网址：www.snjijin.com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（20）名称：嘉实财富管理有限公司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（21）名称：北京汇成基金销售有限公司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（22）名称：上海利得基金销售有限公司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（23）名称：上海挖财基金销售有限公司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办公地址：中国(上海)自由贸易试验区杨高南路759号18层03单元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（24）名称：上海万得基金销售有限公司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（25）名称：北京雪球基金销售有限公司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（26）名称：奕丰基金销售有限公司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法定代表人：TEO WEE HOWE</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（27）名称：上海天天基金销售有限公司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（28）名称：和讯信息科技有限公司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（29）名称：上海好买基金销售有限公司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客户服务电话：400-700-9665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（30）名称：上海长量基金销售有限公司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（31）名称：深圳众禄基金销售股份有限公司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（32）名称：蚂蚁（杭州）基金销售有限公司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（33）名称：上海基煜基金销售有限公司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住所：上海市崇明县长兴镇路潘园公路1800号2号楼6153室（上海泰和经济发展区）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（34）名称：浙江同花顺基金销售有限公司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（35）名称：宜信普泽（北京）基金销售有限公司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（36）名称：上海联泰基金销售有限公司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法定代表人：尹彬彬</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（37）名称：中国人寿保险股份有限公司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经办律师：丁媛、李晓露</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名称：容诚会计师事务所（特殊普通合伙）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9" w:name="_Toc231370443"/>
      <w:r>
        <w:rPr>
          <w:rFonts w:ascii="Times New Roman" w:hAnsi="Times New Roman"/>
          <w:sz w:val="30"/>
        </w:rPr>
        <w:lastRenderedPageBreak/>
        <w:t>六、基金的募集</w:t>
      </w:r>
      <w:bookmarkEnd w:id="9"/>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本基金由基金管理人依照《基金法》、《运作办法》、《销售办法》、基金合同及其他有关规定，并经中国证监会2025年7月1日证监许可【2025】1374号文准予募集注册。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本基金为契约型开放式股票型基金。基金存续期间为不定期。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本基金2025年8月5日至2025年8月18日进行发售，本基金设立募集期共募集265,063,973.30份基金份额，有效认购户数为8,146户。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注册并成立追踪同一标的指数的交易型开放式指数基金（ETF），本基金可变更为该ETF的联接基金。该联接基金将其绝大部分基金财产投资于跟踪同一标的指数的ETF，紧密跟踪标的指数表现，追求跟踪偏离度和跟踪误差的最小化。该联接基金具体投资范围及比例等将依据届时有效的法律法规或监管机构要求确定。以上变更需经基金管理人和基金托管人协商一致后修改基金合同，但不需召开基金份额持有人大会审议。</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0" w:name="_Toc231370444"/>
      <w:r>
        <w:rPr>
          <w:rFonts w:ascii="Times New Roman" w:hAnsi="Times New Roman"/>
          <w:sz w:val="30"/>
        </w:rPr>
        <w:lastRenderedPageBreak/>
        <w:t>七、基金合同的生效</w:t>
      </w:r>
      <w:bookmarkEnd w:id="10"/>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根据有关规定，本基金满足基金合同生效条件，基金合同已于2025年8月20日正式生效。自基金合同生效之日起，本基金管理人正式开始管理本基金。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1" w:name="_Toc231370445"/>
      <w:r>
        <w:rPr>
          <w:rFonts w:ascii="Times New Roman" w:hAnsi="Times New Roman"/>
          <w:sz w:val="30"/>
        </w:rPr>
        <w:lastRenderedPageBreak/>
        <w:t>八、基金份额的申购与赎回</w:t>
      </w:r>
      <w:bookmarkEnd w:id="11"/>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不开放），但基金管理人根据法律法规、中国证监会的要求或基金合同的规</w:t>
      </w:r>
      <w:r>
        <w:rPr>
          <w:rFonts w:ascii="宋体" w:hAnsi="宋体"/>
          <w:sz w:val="24"/>
        </w:rPr>
        <w:lastRenderedPageBreak/>
        <w:t>定公告暂停申购、赎回时除外。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本基金已于2025年10月13日起开放申购、赎回业务。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不从该类别基金资产中计提销售服务费；申购C类基金份额不支付申购费用、从该类别基金资产中计提销售服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w:t>
      </w:r>
      <w:r>
        <w:rPr>
          <w:rFonts w:ascii="宋体" w:hAnsi="宋体"/>
          <w:sz w:val="24"/>
        </w:rPr>
        <w:lastRenderedPageBreak/>
        <w:t>于本基金的市场推广、销售、登记结算等各项费用。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投资人可以多次申购本基金，A类基金份额的申购费用按每笔A类基金份额的申购申请单独计算。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C75F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3C75F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赎回A类基金份额或C类基金份额收取赎回费用，该费用随基金份额的持有时间增加而递减。本基金A类基金份额和C类基金份额的赎回费用由赎回该类基金份额的基金份额持有人承担，在基金份额持有人赎回基金份额时收取。对于持续持有期间少于7日的投资者收取的赎回费全额计入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C75F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C75F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C75F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C75F7" w:rsidRDefault="003C75F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A类基金份额或C类基金份额的有效赎回份额乘以当日该类基金份额的基金份额净值并扣除相应的费用（如有），赎回金额单位为元。赎回金额计算结果按四舍五入方法，保留到小数点后2位，由此产生的收益或损失由基金财产承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2、申购份额的计算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 T日A类基金份额净值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例四：某投资者（非养老金客户）投资100,000.00元申购本基金的A类基金份额，假设申购当日A类基金份额净值为1.0400元，申购费率为1.0%，则其可得到的申购份额为：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净申购金额=100,000.00/（1+1.0%）=99,009.90元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申购费用=100,000.00-99,009.90=990.10元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申购份额=99,009.90/1.0400=95,201.83份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即：该投资者（非养老金客户）投资100,000.00元申购本基金A类基金份额，假设申购当日A类基金份额净值为1.0400元，则其可得到95,201.83份A类基金份额。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例五：某养老金客户投资1,000,000.00元通过基金管理人的直销柜台申购本基金的A类基金份额，假设申购当日A类基金份额净值为1.0400元，申购费率为0.10%，则其可得到的申购份额为：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净申购金额=1,000,000.00/（1+0.10%）=999,001.00元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申购费用=1,000,000.00-999,001.00=999.00元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申购份额=999,001.00/1.0400=960,577.88份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即：该养老金客户投资1,000,000.00元通过基金管理人的直销柜台申购本基金的A类基金份额，假设申购当日A类基金份额净值为1.0400元，则其可得到960,577.88份A类基金份额。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（2）C类基金份额的申购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例七：某投资者赎回100,000.00份A类基金份额，持有期限为6日，对应的赎回费率为1.5%，假设赎回当日A类基金份额净值是1.0160元，则其可得到的赎回金额为：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赎回费用=100,000.00×1.0160×1.5%＝1,524.00元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赎回金额=100,000.00×1.0160-1,524.00＝100,076.00元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即：该投资者赎回100,000.00份A类基金份额，持有期限为6日，对应的赎回费率为1.5%，假设赎回当日A类基金份额净值是1.0160元，则其可得到的赎回金额为100,076.00元。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例八：某投资者赎回100,000.00份C类基金份额，持有期限为6日，对应的赎回费率为1.5%，假设赎回当日C类基金份额净值是1.0160元，则其可得到的赎回金额</w:t>
      </w:r>
      <w:r>
        <w:rPr>
          <w:rFonts w:ascii="宋体" w:hAnsi="宋体"/>
          <w:sz w:val="24"/>
        </w:rPr>
        <w:lastRenderedPageBreak/>
        <w:t>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赎回费用=100,000.00×1.0160×1.5%＝1,524.00元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赎回金额=100,000.00×1.0160-1,524.00＝100,076.00元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即：该投资者赎回100,000.00份C类基金份额，持有期限为6日，对应的赎回费率为1.5%，假设赎回当日C类基金份额净值是1.0160元，则其可得到的赎回金额为100,076.00元。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w:t>
      </w:r>
      <w:r>
        <w:rPr>
          <w:rFonts w:ascii="宋体" w:hAnsi="宋体"/>
          <w:sz w:val="24"/>
        </w:rPr>
        <w:lastRenderedPageBreak/>
        <w:t>基金管理人应当暂停接受基金申购申请。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港股通交易每日额度不足，或者发生证券交易服务公司等机构认定的交易异常情况并决定暂停提供部分或者全部港股通服务，或者发生其他影响通过内地与香港股票市场交易互联互通机制进行正常交易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9、基金管理人接受某笔或者某些申购申请有可能导致单一投资者持有基金份额的比例超过50%，或者变相规避50%集中度的。出现上述情形时，基金管理人有权将上述申购申请全部或部分确认失败。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8、10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6、指数编制单位或指数发布机构因异常情况使标的指数数据无法正常计算、计算错误或发布异常时。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w:t>
      </w:r>
      <w:r>
        <w:rPr>
          <w:rFonts w:ascii="宋体" w:hAnsi="宋体"/>
          <w:sz w:val="24"/>
        </w:rPr>
        <w:lastRenderedPageBreak/>
        <w:t>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2、如发生暂停的时间为1日，基金管理人应于重新开放日，在规定媒介上刊登基金重新开放申购或赎回公告，并公布最近1个开放日的各类基金份额的基金份额净值。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（十二）基金转换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w:t>
      </w:r>
      <w:r>
        <w:rPr>
          <w:rFonts w:ascii="宋体" w:hAnsi="宋体"/>
          <w:sz w:val="24"/>
        </w:rPr>
        <w:lastRenderedPageBreak/>
        <w:t>则由基金管理人届时根据相关法律法规及基金合同的规定制定并公告，并提前告知基金托管人与相关机构。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（十三）基金的非交易过户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（十四）基金的转托管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（十五）定期定额投资计划</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本基金2025年10月10日刊登公告自2025年10月13日起开通定期定额投资计划业务，具体开通销售机构名单和业务规则参见相关公告。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（十七）基金份额的转让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w:t>
      </w:r>
      <w:r>
        <w:rPr>
          <w:rFonts w:ascii="宋体" w:hAnsi="宋体"/>
          <w:sz w:val="24"/>
        </w:rPr>
        <w:lastRenderedPageBreak/>
        <w:t>额持有人应根据基金管理人公告的业务规则办理基金份额转让业务。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（十八）实施侧袋机制期间本基金的申购与赎回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（十九）其他业务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2" w:name="_Toc231370446"/>
      <w:r>
        <w:rPr>
          <w:rFonts w:ascii="Times New Roman" w:hAnsi="Times New Roman"/>
          <w:sz w:val="30"/>
        </w:rPr>
        <w:lastRenderedPageBreak/>
        <w:t>九、基金的投资</w:t>
      </w:r>
      <w:bookmarkEnd w:id="12"/>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本基金采用指数化投资策略，紧密跟踪恒生港股通创新药精选指数，追求跟踪偏离度与跟踪误差最小化。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恒生港股通创新药精选指数的成份股（含存托凭证）及备选成份股（含存托凭证）、其他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本基金可根据法律法规的规定参与融资及转融通证券出借业务。未来在法律法规允许的前提下，本基金可根据相关法律法规规定参与融券业务。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恒生港股通创新药精选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w:t>
      </w:r>
      <w:r>
        <w:rPr>
          <w:rFonts w:ascii="宋体" w:hAnsi="宋体"/>
          <w:sz w:val="24"/>
        </w:rPr>
        <w:lastRenderedPageBreak/>
        <w:t>离度和跟踪误差超过上述范围，基金管理人应采取合理措施避免跟踪偏离度、跟踪误差进一步扩大。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（1）组合复制策略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本基金主要采取完全复制法，即按照标的指数成份股及其权重构建基金的股票投资组合，并根据标的指数成份股及其权重的变动对股票投资组合进行相应地调整。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（2）替代性策略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出现市场流动性不足、因法律法规原因个别成份股被限制投资等情况，导致本基金无法获得足够数量的股票时，或出于其他基金管理人认定不适合投资的股票或可能严重限制本基金跟踪标的指数的合理原因，基金管理人将通过投资成份股、非成份股等进行替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本基金将以降低跟踪误差和流动性管理为目的，综合考虑流动性和收益性，适当参与债券投资。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3、股指期货投资策略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健收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5、存托凭证投资策略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本基金投资存托凭证的策略依照境内上市交易的股票投资策略执行。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6、融资、转融通证券出借业务投资策略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条件允许的情况下，本着谨慎原则，适度参与融资、转融通证券出借业务。本基金在参与融资业务时，将通过对市场环境、利率水平、基金规模以及基金申购赎回情况等因素的研究和判断，决定融资规模。本基金管理人将充分考虑融资业务的收益性、流动性及风险性特征，谨慎进行投资。为了更好地实现投资目标，在加强风险防范并遵守审慎原则的前提下，本基金可根据投资管理需要参与转融通证券出借业务。本基金将在分析市场情况、投资者类型与结构、基金历史申购赎回情况、出借证券流动性情况等因素的基础上，合理确定出借证券的范围、期限和比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未来，随着投资工具的发展和丰富，基金管理人可以在不改变投资目标的前提下，在履行适当程序后相应调整和更新相关投资策略，并在招募说明书中更新。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（1）本基金投资于恒生港股通创新药精选指数成份股（含存托凭证）及备选成份股（含存托凭证）的比例不低于基金资产净值的90%且不低于非现金基金资产的80%；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（3）本基金投资于同一原始权益人的各类资产支持证券的比例，不得超过基金资产净值的10％；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（4）本基金持有的全部资产支持证券，其市值不得超过基金资产净值的20％；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（6）本基金管理人管理的全部基金投资于同一原始权益人的各类资产支持证券，不得超过其各类资产支持证券合计规模的10％；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w:t>
      </w:r>
      <w:r>
        <w:rPr>
          <w:rFonts w:ascii="宋体" w:hAnsi="宋体"/>
          <w:sz w:val="24"/>
        </w:rPr>
        <w:lastRenderedPageBreak/>
        <w:t>金持有资产支持证券期间，如果其信用等级下降、不再符合投资标准，应在评级报告发布之日起3个月内予以全部卖出；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（11）本基金资产总值不超过基金资产净值的140%；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（12）本基金参与股指期货交易，则：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（13）本基金参与融资业务后，每个交易日日终，本基金持有的融资买入股票与其他有价证券市值之和，不得超过基金资产净值的95%；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（14）本基金参与转融通证券出借业务，需遵守下列投资限制：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1）出借证券资产不得超过基金资产净值的30%，出借期限在10个交易日以上的出借证券应纳入《流动性风险管理规定》所述流动性受限证券的范围；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2）参与出借业务的单只证券不得超过本基金持有该证券总量的50%；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3）最近6个月内日均基金资产净值不得低于2亿元；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4）证券出借的平均剩余期限不得超过30天，平均剩余期限按照市值加权平均计算；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因证券市场波动、上市公司合并、基金规模变动等基金管理人之外的因素致使基金投资不符合上述规定的，基金管理人不得新增出借业务；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（15）本基金投资存托凭证的比例限制依照境内上市交易的股票执行；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w:t>
      </w:r>
      <w:r>
        <w:rPr>
          <w:rFonts w:ascii="宋体" w:hAnsi="宋体"/>
          <w:sz w:val="24"/>
        </w:rPr>
        <w:lastRenderedPageBreak/>
        <w:t>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本基金业绩比较基准：恒生港股通创新药精选指数收益率（经估值汇率调整）×95%＋人民币银行活期存款利率（税后）×5%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但若标的指数变更对基金投资无实质性影响（包括但不限于编制机构名称变更、指数更名等），则无需召开基金份额持有人大会，经基金管理人与基金托管人协商一致并按照监管部门要求履行适当程序后在规定媒介上刊登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本基金运作过程中，当标的指数成份股发生明显负面事件面临退市风险，且指数编制机构暂未作出调整的，基金管理人应当按照持有人利益优先的原则，履行内部决策程序后及时对相关成份股进行调整。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若基金标的指数发生变更，基金业绩比较基准随之变更，由基金管理人根据标的指数变更情形履行对应适当程序，并在调整实施前依照《信息披露办法》的有关规定在规定媒介上刊登公告。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本基金是一只股票型基金，其预期风险和预期收益理论上高于混合型基金、债券型基金和货币市场基金。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本基金为指数型基金，主要采用完全复制法跟踪恒生港股通创新药精选指数，具有与标的指数相似的风险收益特征。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本基金投资港股通标的股票，会面临港股通机制下因投资环境、投资标的、市场制度以及交易规则等差异带来的特有风险。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209,446,031.70</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91.71</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209,446,031.70</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91.71</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3,028,528.77</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1.33</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3,028,528.77</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1.33</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15,408,626.80</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6.75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488,185.49</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228,371,372.76</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注：本基金本报告期末通过港股通机制投资香港股票的公允价值为209,446,031.70元，占基金资产净值比例为92.75%。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报告期末指数投资按行业分类的境内股票投资组合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报告期末积极投资按行业分类的境内股票投资组合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209,446,031.70</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92.75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209,446,031.70</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92.75</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报告期末指数投资按公允价值占基金资产净值比例大小排序的前十名股票投资明细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09926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康方生物</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219,000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25,176,259.71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11.15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279,500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20,952,006.17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9.28</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01093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石药集团</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2,368,000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19,026,512.96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8.43</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06160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百济神州</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125,400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18,999,883.19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8.41</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01177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中国生物制药</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3,184,000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16,558,632.39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7.33</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03692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翰森制药</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468,000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14,661,066.89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6.49</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01530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三生制药</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595,500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11,904,037.85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5.27</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06990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科伦博泰生物</w:t>
            </w: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8,041,908.60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3.56</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09606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映恩生物</w:t>
            </w: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20,800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5,417,781.20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2.40</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00867 HK</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康哲药业</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413,000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4,879,128.72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2.16</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报告期末积极投资按公允价值占基金资产净值比例大小排序的前五名股票投资明细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3,028,528.77</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3,028,528.77</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3,028,528.77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381.54</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487,803.95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right"/>
              <w:rPr>
                <w:rFonts w:ascii="宋体" w:hAnsi="宋体"/>
                <w:color w:val="000000"/>
                <w:kern w:val="0"/>
                <w:sz w:val="25"/>
                <w:szCs w:val="24"/>
              </w:rPr>
            </w:pPr>
            <w:r>
              <w:rPr>
                <w:rFonts w:ascii="Times New Roman" w:hAnsi="Times New Roman"/>
                <w:color w:val="000000"/>
                <w:kern w:val="0"/>
                <w:sz w:val="25"/>
                <w:szCs w:val="24"/>
              </w:rPr>
              <w:t>488,185.49</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报告期末股票中存在流通受限情况的说明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报告期末指数投资前十名股票中存在流通受限情况的说明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报告期末积极投资前五名股票中存在流通受限情况的说明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3" w:name="_Toc231370447"/>
      <w:r>
        <w:rPr>
          <w:rFonts w:ascii="Times New Roman" w:hAnsi="Times New Roman"/>
          <w:sz w:val="30"/>
        </w:rPr>
        <w:lastRenderedPageBreak/>
        <w:t>十、基金的业绩</w:t>
      </w:r>
      <w:bookmarkEnd w:id="13"/>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1、本报告期基金份额净值收益率及其与同期业绩比较基准收益率的比较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1）交银恒生港股通创新药精选指数A：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C75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3C75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2.24%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3C75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-12.17%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-19.09%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6.92%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2）交银恒生港股通创新药精选指数C：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C75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C75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2.24%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3C75F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-12.23%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-19.09%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6.86%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r>
    </w:tbl>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注：本基金的业绩比较基准为恒生港股通创新药精选指数收益率（经估值汇率调整）×95%＋人民币银行活期存款利率（税后）×5%，每日进行再平衡过程。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3C75F7" w:rsidRDefault="0017542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交银施罗德恒生港股通创新药精选指数型证券投资基金</w:t>
      </w:r>
    </w:p>
    <w:p w:rsidR="003C75F7" w:rsidRDefault="0017542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份额累计份额净值增长率与业绩比较基准收益率的历史走势对比图</w:t>
      </w:r>
    </w:p>
    <w:p w:rsidR="003C75F7" w:rsidRDefault="0017542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（2025年08月20日至2026年03月31日）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1、交银恒生港股通创新药精选指数A</w:t>
      </w:r>
    </w:p>
    <w:p w:rsidR="003C75F7" w:rsidRDefault="009E04D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2、交银恒生港股通创新药精选指数C</w:t>
      </w:r>
    </w:p>
    <w:p w:rsidR="003C75F7" w:rsidRDefault="009E04D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2025年8月20日，基金合同生效日至报告期期末，本基金运作时间未满一年。本基金建仓期为自基金合同生效日起的6个月。截至建仓期结束，本基金各项资产配置比例符合基金合同及招募说明书有关投资比例的约定。</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4" w:name="_Toc231370448"/>
      <w:r>
        <w:rPr>
          <w:rFonts w:ascii="Times New Roman" w:hAnsi="Times New Roman"/>
          <w:sz w:val="30"/>
        </w:rPr>
        <w:lastRenderedPageBreak/>
        <w:t>十一、基金的财产</w:t>
      </w:r>
      <w:bookmarkEnd w:id="14"/>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5" w:name="_Toc231370449"/>
      <w:r>
        <w:rPr>
          <w:rFonts w:ascii="Times New Roman" w:hAnsi="Times New Roman"/>
          <w:sz w:val="30"/>
        </w:rPr>
        <w:lastRenderedPageBreak/>
        <w:t>十二、基金资产的估值</w:t>
      </w:r>
      <w:bookmarkEnd w:id="15"/>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w:t>
      </w:r>
      <w:r>
        <w:rPr>
          <w:rFonts w:ascii="宋体" w:hAnsi="宋体"/>
          <w:sz w:val="24"/>
        </w:rPr>
        <w:lastRenderedPageBreak/>
        <w:t>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8、同一证券同时在两个或两个以上市场交易的，按证券所处的市场分别估值。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9、估值计算中涉及港币对人民币汇率的，将依据下列信息提供机构所提供的汇率为基准：当日中国人民银行或其授权机构公布的人民币与港币的中间价。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10、对于因税收规定调整或其他原因导致本基金实际交纳税金与估算的应交税金有差异的，本基金将在相关税金调整日或实际支付日进行相应的会计处理。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11、本基金投资存托凭证的估值核算依照境内上市交易的股票执行。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12、基金参与融资和转融通证券出借业务的，应参照相关法律法规和中国证券投资基金业协会发布的相关规定进行估值。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13、如有确凿证据表明按上述方法进行估值不能客观反映其公允价值的，基金管理人可根据具体情况与基金托管人商定后，按最能反映公允价值的价格估值。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14、当发生大额申购或赎回情形时，基金管理人可以采用摆动定价机制，以确保基金估值的公平性。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15、相关法律法规以及监管部门有强制规定的，从其规定。如有新增事项，按国家最新规定估值。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基金管理人于每个工作日计算各类基金份额的基金资产净值及基金份额净值，经基金托管人复核，并按规定公告。如遇特殊情况，经履行适当程序，可以适当延迟计算或公告。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1、基金投资所涉及的证券/期货交易市场或外汇市场遇法定节假日或因其他原因暂停营业时；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3、当特定资产占前一估值日基金资产净值50%以上的，经与基金托管人协商确认后，基金管理人应当暂停估值；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1、基金管理人或基金托管人按估值方法的第13项进行估值时，所造成的误差不作为基金资产估值错误处理。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期货经纪机构、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6" w:name="_Toc231370450"/>
      <w:r>
        <w:rPr>
          <w:rFonts w:ascii="Times New Roman" w:hAnsi="Times New Roman"/>
          <w:sz w:val="30"/>
        </w:rPr>
        <w:lastRenderedPageBreak/>
        <w:t>十三、基金收益与分配</w:t>
      </w:r>
      <w:bookmarkEnd w:id="16"/>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4、本基金同一基金份额类别的每一基金份额享有同等分配权；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基金管理人可在不违反法律法规且对基金份额持有人利益无实质性不利影响的前提下，对上述原则进行修改或调整，而无需召开基金份额持有人大会审议。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投资人可至销售机构办理收益分配方式的修改，投资人对本基金不同的基金交易账户可设置不同的收益分配方式。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7" w:name="_Toc231370451"/>
      <w:r>
        <w:rPr>
          <w:rFonts w:ascii="Times New Roman" w:hAnsi="Times New Roman"/>
          <w:sz w:val="30"/>
        </w:rPr>
        <w:lastRenderedPageBreak/>
        <w:t>十四、基金的费用与税收</w:t>
      </w:r>
      <w:bookmarkEnd w:id="17"/>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本基金的管理费按前一日基金资产净值的0.5%年费率计提。管理费的计算方法如下：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H＝E×0.5%÷当年天数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根据双方核对一致的数据向基金托管人发送划付指令，基金托管人于次月首日起5个工作日内从基金财产中一次性支付给基金管理人。若遇法定节假日、休息日或不可抗力致使无法按时支付的，顺延至最近可支付日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H＝E×0.1%÷当年天数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根据双方核对一致的数据向基金托管人发送划付指令，基金托管人于次月首日起5个工作日内从基金财产中一次性支取。若遇法定节假日、休息日或不可抗力致使无法按时支付的，顺延至最近可支付日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本基金A类基金份额不收取销售服务费，C类基金份额的销售服务费按前一日C类基金份额的资产净值的0.2%年费率计提。销售服务费的计算方法如下：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根据双方核对一致的数据向基金托管人发送销售服务费划付指令，基金托管人于次月首日起5个工作日内从基金财产中一次性支付给基金管理人，由基金管理人代付给销售机构。若遇法定节假日、休息日或不可抗力致使无法按时支付的，顺延至最近可支付日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4、标的指数许可使用费（由基金管理人承担）；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8" w:name="_Toc231370452"/>
      <w:r>
        <w:rPr>
          <w:rFonts w:ascii="Times New Roman" w:hAnsi="Times New Roman"/>
          <w:sz w:val="30"/>
        </w:rPr>
        <w:lastRenderedPageBreak/>
        <w:t>十五、基金的会计与审计</w:t>
      </w:r>
      <w:bookmarkEnd w:id="18"/>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7、基金托管人每月与基金管理人就基金的会计核算、报表编制等进行核对并以双方认可的方式确认。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19" w:name="_Toc231370453"/>
      <w:r>
        <w:rPr>
          <w:rFonts w:ascii="Times New Roman" w:hAnsi="Times New Roman"/>
          <w:sz w:val="30"/>
        </w:rPr>
        <w:lastRenderedPageBreak/>
        <w:t>十六、基金的信息披露</w:t>
      </w:r>
      <w:bookmarkEnd w:id="19"/>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（一）本基金的信息披露应符合《基金法》、《运作办法》、《信息披露办法》、《流动性风险管理规定》、《基金合同》及其他有关规定。相关法律法规关于信息披露的规定发生变化时，本基金从其最新规定。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w:t>
      </w:r>
      <w:r>
        <w:rPr>
          <w:rFonts w:ascii="宋体" w:hAnsi="宋体"/>
          <w:sz w:val="24"/>
        </w:rPr>
        <w:lastRenderedPageBreak/>
        <w:t>性风险分析等。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（15）管理费、托管费、销售服务费、申购费、赎回费等费用计提标准、计提方式和费率发生变更；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本基金投资于港股通标的股票，基金应当在季度报告、中期报告、年度报告等定期报告和招募说明书（更新）等文件中披露港股通标的股票的投资情况。法律法规或中国证监会另有规定的，从其规定。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15、基金参与融资和转融通证券出借业务情况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本基金参与转融通证券出借业务的，基金管理人应当在基金定期报告等文件中就报告期内发生的重大关联交易事项做详细说明。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未来在法律法规允许的前提下，本基金可依据法律法规的相关规定参与融券业务，并相应履行信息披露义务。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16、中国证监会规定的其他信息。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基金管理人、基金托管人应当建立健全信息披露管理制度，指定专门部门及高级管理人员负责管理信息披露事务。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0" w:name="_Toc231370454"/>
      <w:r>
        <w:rPr>
          <w:rFonts w:ascii="Times New Roman" w:hAnsi="Times New Roman"/>
          <w:sz w:val="30"/>
        </w:rPr>
        <w:lastRenderedPageBreak/>
        <w:t>十七、侧袋机制</w:t>
      </w:r>
      <w:bookmarkEnd w:id="20"/>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3C75F7" w:rsidRDefault="00175422">
      <w:pPr>
        <w:pStyle w:val="1"/>
        <w:snapToGrid w:val="0"/>
        <w:spacing w:beforeLines="0" w:before="240" w:after="240"/>
        <w:rPr>
          <w:rFonts w:ascii="宋体" w:hAnsi="宋体"/>
          <w:szCs w:val="30"/>
        </w:rPr>
      </w:pPr>
      <w:bookmarkStart w:id="21" w:name="_Toc231370455"/>
      <w:r>
        <w:rPr>
          <w:rFonts w:ascii="Times New Roman" w:hAnsi="Times New Roman"/>
          <w:sz w:val="30"/>
        </w:rPr>
        <w:lastRenderedPageBreak/>
        <w:t>十八、风险揭示</w:t>
      </w:r>
      <w:bookmarkEnd w:id="21"/>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w:t>
      </w:r>
      <w:r>
        <w:rPr>
          <w:rFonts w:ascii="宋体" w:hAnsi="宋体"/>
          <w:sz w:val="24"/>
        </w:rPr>
        <w:lastRenderedPageBreak/>
        <w:t>自行负担。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业务，具体业务办理时间在赎回开始公告中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2、投资市场及资产的流动性风险评估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投资范围为具有良好流动性的金融工具，以恒生港股通创新药精选指数的成份股（含存托凭证）及备选成份股（含存托凭证）为主要投资对象，综合评估在正常市场环境下本基金的流动性风险适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w:t>
      </w:r>
      <w:r>
        <w:rPr>
          <w:rFonts w:ascii="宋体" w:hAnsi="宋体"/>
          <w:sz w:val="24"/>
        </w:rPr>
        <w:lastRenderedPageBreak/>
        <w:t>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股票型基金，投资于恒生港股通创新药精选指数成份股（含存托凭证）及备选成份股（含存托凭证）的比例不低于基金资产净值的90%且不低于非现金基金资产的80%，因投资权益类资产而面临权益类资产市场的系统性风险和个股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2、标的指数回报与股票市场平均回报偏离的风险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标的指数并不能代表整个股票市场。标的指数成份股的平均回报率与整个股票市场的平均回报率可能存在偏离。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3、标的指数波动的风险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标的指数成份股的价格可能受到政治因素、经济因素、上市公司经营状况、投资人心理和交易制度等各种因素的影响而波动，导致指数波动，从而使基金收益水平发生变化，产生风险。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4、标的指数成份股创新药行业集中风险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本基金标的指数成份股主要集中于港股通创新药行业，须承受因政府政策变化、市场情况变化等影响港股通创新药行业的因素所带来的行业风险。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5、标的指数部分成份股权重较大的风险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根据本基金标的指数编制方案，存在个别成份股权重较大、集中度较高的情况，可能使基金面临较大波动风险或流动性风险。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6、基金投资组合回报与标的指数回报偏离及跟踪误差控制未达约定目标的风险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以下因素可能使基金投资组合的收益率与标的指数的收益率发生偏离，也可能使基金的跟踪误差控制未达约定目标：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（2）由于标的指数成份股发生配股、增发等行为导致成份股在标的指数中的权重发生变化，使本基金在相应的组合调整中产生跟踪偏离度和跟踪误差。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（3）标的指数成份股派发现金红利、新股市值配售收益将导致基金收益率超过标的指数收益率，产生正的跟踪偏离度。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（5）因法律法规的限制或其他限制，本基金可能不能投资于部分标的指数成份股。在使用替代方法，如投资同行业中相关性较高的股票以替代上述投资受限股票时，会产生一定的跟踪偏离度和跟踪误差。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（7）在本基金指数化投资过程中，基金管理人的管理能力，例如跟踪指数的水平、技术手段、买入卖出的时机选择等，都会对本基金的收益产生影响，从而影响本基金对标的指数的跟踪程度。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在正常市场情况下，力争控制本基金日均跟踪偏离度的绝对值不超过0.35%，年跟踪误差不超过4%。但因标的指数编制规则调整或其他因素可能导致跟踪偏离度和跟踪误差超过上述范围，本基金净值表现与指数价格走势可能发生较大偏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7、标的指数值计算出错的风险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恒生指数有限公司将采取一切必要措施以确保指数的准确性，但不对此作任何保证，亦不因指数的任何错误对任何人负责。因此，如果标的指数值出现错误，则可能导致本基金损失。以下为本基金标的指数恒生港股通创新药精选指数的编制商发布的免责声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恒生港股通创新药精选指数（「该指数」）由恒生指数有限公司根据恒生资讯服务有限公司的授权发布及编制。恒生港股通创新药精选指数的商标及名称由恒生资讯服务有限公司全权拥有。恒生指数有限公司及恒生资讯服务有限公司已同意交银施罗德基金管理有限公司可就交银施罗德恒生港股通创新药精选指数型证券投资基金（或由中国证券监督管理委员会审核的其它名称）（「该产品」）使用及参考该指数，但是，恒生指数有限公司及恒生资讯服务有限公司并不就(i)该指数及其计算或任何与之有关的数据的准确性或完整性；或(ii)该指数或其中任何成份或其所包涵的数据的适用性或适合性；或(iii)任何人士因使用该指数或其中任何成份或其所包涵的数据而产生的结果，而向该产品的任何经纪或该产品持有人或任何其它人士作出保证或声明或担保，也不会就该指数提供或默示任何保证、声明或担保。恒生指数有限公司可随时更改或修改计算及编制该指数及其任何有关的公式、成份股份及系数的过程及基准，而无须作出通知。在适用法律允许的范围内，恒生指数有限公司或恒生资讯服务有限公司不会因(i)交银施罗德基金管理有限公司就该产品使用及/或参考该指数；或(ii)恒生指数有限公司在计算该指数时的任何失准、遗漏、失误或错误；或(iii)与计算该指数有关并由任何其它人士提供的资料的任何失准、遗漏、失误﹑错误或不完整；或(iv)任何经纪、该产品持有人或任何其它交易该产品的人士，因上述原因而直接或间接蒙受的任何经济或其它损失承担任何责任或债务,任何经纪、该产品持有人或任何其它交易该产品的人士不得因该产品，以任何形式向恒生指数有限公司及/或恒生资讯服务有限公司进行索偿、法律行动或法律诉讼。任何经纪、持有人或任何其它人士，须在完全了解此免责声明，并且不能依赖恒生指数有限公司及恒生资讯服务有限公司的情况下交易该产</w:t>
      </w:r>
      <w:r w:rsidRPr="00BB248E">
        <w:rPr>
          <w:rFonts w:ascii="宋体" w:hAnsi="宋体" w:hint="eastAsia"/>
          <w:b/>
          <w:kern w:val="0"/>
          <w:sz w:val="24"/>
        </w:rPr>
        <w:lastRenderedPageBreak/>
        <w:t>品。为避免产生疑问，本免责声明不构成任何经纪、持有人或任何其它人士与恒生指数有限公司及/或恒生资讯服务有限公司之间的任何合约或准合约关系，也不应视作已构成这种关系。任何投资者如认购或购买该产品权益，该投资者将被视为已承认、理解并接受此免责声明并受其约束，以及承认、理解并接受该产品所使用之该指数数值为恒生指数有限公司酌情计算的结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8、指数编制机构停止服务的风险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标的指数的管理和维护，本基金将根据基金合同的约定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投资人将面临转换运作方式，与其他基金合并或者终止基金合同等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9、成份股停牌的风险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风险，且指数编制机构暂未作出调整的，基金管理人应当按照持有人利益优先的原则，履行内部决策程序后及时对相关成份股进行调整，可能影响投资者的投资损益并使基金产生跟踪偏离度和跟踪误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10、基金合同提前终止风险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《基金合同》生效后，连续50个工作日出现基金份额持有人数量不满200人或者基金资产净值低于5000万元情形的，基金合同终止，不需召开基金份额持有人大会。因此，投资者可能面临基金合同提前终止的风险。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11、本基金可投资创业板股票，创业板个股上市后的前五个交易日不设价格涨跌幅限制，第六个交易日开始涨跌幅限制比例为20%。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12、投资港股通标的股票的特定风险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本基金投资于港股通标的股票，会面临港股通机制下因投资环境、投资标的、市场制度以及交易规则等差异带来的特有风险，具体如下：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w:t>
      </w:r>
      <w:r>
        <w:rPr>
          <w:rFonts w:ascii="宋体" w:hAnsi="宋体"/>
          <w:sz w:val="24"/>
        </w:rPr>
        <w:lastRenderedPageBreak/>
        <w:t>大，可能表现出比A股更为剧烈的股价波动；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13、投资股指期货的特定风险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（1）市场风险是指由于股指期货价格变动而给投资者带来的风险。市场风险是股指期货投资中最主要的风险。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14、投资资产支持证券的特定风险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15、投资流通受限证券的特定风险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16、投资存托凭证的特定风险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w:t>
      </w:r>
      <w:r>
        <w:rPr>
          <w:rFonts w:ascii="宋体" w:hAnsi="宋体"/>
          <w:sz w:val="24"/>
        </w:rPr>
        <w:lastRenderedPageBreak/>
        <w:t>险；存托凭证退市的风险；已在境外上市的基础证券发行人，在持续信息披露监管方面与境内可能存在差异的风险；境内外法律制度、监管环境差异可能导致的其他风险。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17、投资科创板股票的特定风险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w:t>
      </w:r>
      <w:r>
        <w:rPr>
          <w:rFonts w:ascii="宋体" w:hAnsi="宋体"/>
          <w:sz w:val="24"/>
        </w:rPr>
        <w:lastRenderedPageBreak/>
        <w:t>响，国际经济形势变化对战略新兴产业及科创板个股也会带来政策影响。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18、本基金参与融资业务的特定风险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本基金可根据法律法规的规定参与融资业务，面临的风险包括但不限于：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可能放大投资损失的风险：融资业务具有杠杆效应，它在放大投资收益的同时也必然放大投资风险。将股票作为担保品进行融资交易时，既需要承担原有的股票价格下跌带来的风险，又得承担融资买入股票带来的风险，同时还须支付相应的利息和费用，由此承担的风险可能远远超过普通证券交易。</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2）利率变动带来的成本加大风险：在从事融资交易期间，如中国人民银行规定的同期贷款基准利率调高，证券公司将相应调高融资利率，投资成本也因为利率的上调而增加，将面临融资成本增加的风险。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强制平仓风险：融资交易中，投资组合与证券公司间除了普通交易的委托买卖关系外，还存在着较为复杂的债权债务关系，以及由于债权债务产生的信托关系和担保关系。证券公司为保护自身债权，对投资组合信用账户的资产负债情况实时监控，在一定条件下可以对投资组合担保资产执行强制平仓,且平仓的品种、数量、价格、时机将不受投资组合的控制，平仓的数额可能超过全部负债，由此给投资组合带来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外部监管风险：在融资交易出现异常或市场出现系统性风险时，监管部门、证券交易所和证券公司都将可能对融资交易采取相应措施，例如提高融资保证金比例、维持担保比例和强制平仓的条件等，以维护市场平稳运行。这些措施将可能给本金带来杠杆效应降低、甚至提前进入追加担保物或强制平仓状态等潜在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融资业务的流动性风险主要指当基金不能按照约定的期限清偿债务，或上市证券价格波动导致担保物价值与融资债务之间的比例低于平仓维持担保比例，且不能按照约定的时间追加担保物时面临强制平仓的风险。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（3）信用风险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风险主要指交易对手违约产生的风险。一方面，如果证券公司没有按照融资合同的要求履行义务可能带来风险；另一方面，若在从事融资交易期间，证券公司融资业务资格、融资业务交易权限被取消或被暂停，证券公司可能无法履约，则</w:t>
      </w:r>
      <w:r>
        <w:rPr>
          <w:rFonts w:ascii="宋体" w:hAnsi="宋体"/>
          <w:sz w:val="24"/>
        </w:rPr>
        <w:lastRenderedPageBreak/>
        <w:t>投资组合可能会面临一定的风险。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19、本基金参与转融通证券出借业务的特定风险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本基金可根据法律法规和基金合同的约定参与转融通证券出借业务，面临的风险包括但不限于：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（1）流动性风险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面对大额赎回时，可能因证券出借原因发生无法及时变现、支付赎回款项的风险；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证券出借对手方可能无法及时归还证券、无法支付相应权益补偿及借券费用的风险；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（3）市场风险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证券出借后可能面临出借期间无法及时处置证券的风险；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如宏观政策变化、证券市场剧烈波动、个别证券出现重大事件、交易对手方违约、业务规则调整、信息技术不能正常运行等风险。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5、因业务竞争压力可能产生的风险；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2" w:name="_Toc231370456"/>
      <w:r>
        <w:rPr>
          <w:rFonts w:ascii="Times New Roman" w:hAnsi="Times New Roman"/>
          <w:sz w:val="30"/>
        </w:rPr>
        <w:lastRenderedPageBreak/>
        <w:t>十九、基金合同的变更、终止与基金财产的清算</w:t>
      </w:r>
      <w:bookmarkEnd w:id="22"/>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w:t>
      </w:r>
      <w:r>
        <w:rPr>
          <w:rFonts w:ascii="宋体" w:hAnsi="宋体"/>
          <w:sz w:val="24"/>
        </w:rPr>
        <w:lastRenderedPageBreak/>
        <w:t>估价、变现和分配。基金财产清算小组可以依法进行必要的民事活动。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3" w:name="_Toc231370457"/>
      <w:r>
        <w:rPr>
          <w:rFonts w:ascii="Times New Roman" w:hAnsi="Times New Roman"/>
          <w:sz w:val="30"/>
        </w:rPr>
        <w:lastRenderedPageBreak/>
        <w:t>二十、基金合同内容摘要</w:t>
      </w:r>
      <w:bookmarkEnd w:id="23"/>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13）在法律法规允许的前提下，为基金的利益依法为基金进行融资及转融通证券出借业务；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w:t>
      </w:r>
      <w:r>
        <w:rPr>
          <w:rFonts w:ascii="宋体" w:hAnsi="宋体"/>
          <w:sz w:val="24"/>
        </w:rPr>
        <w:lastRenderedPageBreak/>
        <w:t>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w:t>
      </w:r>
      <w:r>
        <w:rPr>
          <w:rFonts w:ascii="宋体" w:hAnsi="宋体"/>
          <w:sz w:val="24"/>
        </w:rPr>
        <w:lastRenderedPageBreak/>
        <w:t>况除外；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w:t>
      </w:r>
      <w:r>
        <w:rPr>
          <w:rFonts w:ascii="宋体" w:hAnsi="宋体"/>
          <w:sz w:val="24"/>
        </w:rPr>
        <w:lastRenderedPageBreak/>
        <w:t>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9）遵守基金管理人、基金托管人、销售机构和登记机构的相关交易及业务规则；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w:t>
      </w:r>
      <w:r>
        <w:rPr>
          <w:rFonts w:ascii="宋体" w:hAnsi="宋体"/>
          <w:sz w:val="24"/>
        </w:rPr>
        <w:lastRenderedPageBreak/>
        <w:t>无实质性不利影响的前提下，以下情况可由基金管理人和基金托管人协商后修改，不需召开基金份额持有人大会：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6）在法律法规允许的情况下，且在对现有基金份额持有人利益无实质性不利影响的前提下，基金管理人履行适当程序后，推出新业务或服务；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7）在符合法律法规及本基金合同规定、并且对基金份额持有人利益无实质性不利影响的前提下，增加或调整本基金份额类别的设置、对基金份额分类办法及规则进行调整；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8）若将来本基金管理人注册并成立追踪同一标的指数的交易型开放式指数基金（ETF），则基金管理人在履行适当程序后有权决定将本基金转换为该基金的联接基金，并相应修改《基金合同》；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9）在不违反法律法规及对基金份额持有人利益无实质性不利影响的前提下，基金管理人、登记机构、销售机构调整有关基金认购、申购、赎回、转换、收益分配、非交易过户、转托管等业务的规则；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10）按照法律法规和《基金合同》规定不需召开基金份额持有人大会的其他情形。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案。基金份额持有人大会的决议自表决通过之日起生效。法律法规另有规定的，从其规定。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（7）特别决议应当经参加大会的基金份额持有人或其代理人所持表决权的三分之二以上（含三分之二）通过。</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w:t>
      </w:r>
      <w:r>
        <w:rPr>
          <w:rFonts w:ascii="宋体" w:hAnsi="宋体"/>
          <w:sz w:val="24"/>
        </w:rPr>
        <w:lastRenderedPageBreak/>
        <w:t>成立清算小组，基金管理人组织基金财产清算小组并在中国证监会的监督下进行基金清算。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w:t>
      </w:r>
      <w:r>
        <w:rPr>
          <w:rFonts w:ascii="宋体" w:hAnsi="宋体"/>
          <w:sz w:val="24"/>
        </w:rPr>
        <w:lastRenderedPageBreak/>
        <w:t>在规定网站上，并将清算报告提示性公告登载在规定报刊上。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r w:rsidRPr="00BB248E">
        <w:rPr>
          <w:rFonts w:ascii="宋体" w:hAnsi="宋体" w:hint="eastAsia"/>
          <w:kern w:val="0"/>
          <w:sz w:val="24"/>
        </w:rPr>
        <w:t>仲裁裁决是终局的，对各方当事人均有约束力，除非仲裁裁决另有规定，仲裁费由败诉方承担。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《基金合同》受中国法律（为本基金合同之目的，不含港澳台地区法律）管辖并从其解释。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4" w:name="_Toc231370458"/>
      <w:r>
        <w:rPr>
          <w:rFonts w:ascii="Times New Roman" w:hAnsi="Times New Roman"/>
          <w:sz w:val="30"/>
        </w:rPr>
        <w:lastRenderedPageBreak/>
        <w:t>二十一、托管协议的内容摘要</w:t>
      </w:r>
      <w:bookmarkEnd w:id="24"/>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w:t>
      </w:r>
      <w:r>
        <w:rPr>
          <w:rFonts w:ascii="宋体" w:hAnsi="宋体"/>
          <w:sz w:val="24"/>
        </w:rPr>
        <w:lastRenderedPageBreak/>
        <w:t>府债券、金融债券；从事同业拆借；买卖、代理买卖外汇；结汇、售汇；从事银行卡业务；提供信用证服务及担保；代理收付款项；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合理疑义的事项进行核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恒生港股通创新药精选指数的成份股（含存托凭证）及备选成份股（含存托凭证）、其他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本基金可根据法律法规的规定参与融资及转融通证券出借业务。未来在法律法规允许的前提下，本基金可根据相关法律法规规定参与融券业务。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比例为：本基金投资于恒生港股通创新药精选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（1）本基金投资于恒生港股通创新药精选指数成份股（含存托凭证）及备选成份股（含存托凭证）的比例不低于基金资产净值的90%且不低于非现金基金资产的80%；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（3）本基金投资于同一原始权益人的各类资产支持证券的比例，不得超过基金资产净值的10％；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（4）本基金持有的全部资产支持证券，其市值不得超过基金资产净值的20％；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（6）本基金管理人管理的、且由本基金托管人托管的全部基金投资于同一原始权益人的各类资产支持证券，不得超过其各类资产支持证券合计规模的10％；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（7）本基金应投资于信用级别评级为BBB以上(含BBB)的资产支持证券。基金持有资产支持证券期间，如果其信用等级下降、不再符合投资标准，应在评级报告发布之日起3个月内予以全部卖出；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（9）本基金主动投资于流动性受限资产的市值合计不得超过该基金资产净值的15%；因证券市场波动、上市公司股票停牌、基金规模变动等基金管理人之外的</w:t>
      </w:r>
      <w:r>
        <w:rPr>
          <w:rFonts w:ascii="宋体" w:hAnsi="宋体"/>
          <w:sz w:val="24"/>
        </w:rPr>
        <w:lastRenderedPageBreak/>
        <w:t>因素致使基金不符合该比例限制的，基金管理人不得主动新增流动性受限资产的投资；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（11）本基金资产总值不超过基金资产净值的140%；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（12）本基金参与股指期货交易，则：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（13）本基金参与融资业务后，每个交易日日终，本基金持有的融资买入股票与其他有价证券市值之和，不得超过基金资产净值的95%；</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（14）本基金参与转融通证券出借业务，需遵守下列投资限制：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1）出借证券资产不得超过基金资产净值的30%，出借期限在10个交易日以上的出借证券应纳入《流动性风险管理规定》所述流动性受限证券的范围；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2）参与出借业务的单只证券不得超过本基金持有该证券总量的50%；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3）最近6个月内日均基金资产净值不得低于2亿元；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4）证券出借的平均剩余期限不得超过30天，平均剩余期限按照市值加权平均计算；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因证券市场波动、上市公司合并、基金规模变动等基金管理人之外的因素致使基金投资不符合上述规定的，基金管理人不得新增出借业务；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（15）本基金投资存托凭证的比例限制依照境内上市交易的股票执行；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7）、（9）、（10）、（14）项以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有权向中国证监会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w:t>
      </w:r>
      <w:r>
        <w:rPr>
          <w:rFonts w:ascii="宋体" w:hAnsi="宋体"/>
          <w:sz w:val="24"/>
        </w:rPr>
        <w:lastRenderedPageBreak/>
        <w:t>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对银行间债券市场交易对手名单进行更新，如基金管理人根据市场情况需要临时调整银行间债券市场交易对手名单，应向基金托管人说明理由，在与交易对手发生交易前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相应损失和责任。如基金管理人在基金投资运作之前未向基金托管人提供银行间债券市场交易对手名单的，视为基金管理人认可全市场交易对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如果基金管理人未经基金托管人的审核擅自将不实的业绩表现数据印制在宣传推介材料上，则基金托管人对此不承担相应责任，并将在发现后立即报告中国证监会。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此处的流通受限证券与上文提及的流动性受限资产并不完全一致，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相应责任，并有权报告中国证监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基金托管人职责的，基金管理人应依法承担相应法律后果。除基金托管人未能依据法律法规、基金合同及本协议履行职责外，因投资流通受限证券产生的损失，基金托管人按照本协议履行监督职责后不承</w:t>
      </w:r>
      <w:r>
        <w:rPr>
          <w:rFonts w:ascii="宋体" w:hAnsi="宋体"/>
          <w:sz w:val="24"/>
        </w:rPr>
        <w:lastRenderedPageBreak/>
        <w:t>担上述损失。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参与转融通证券出借业务，基金管理人应当遵守审慎经营原则，配备技术系统和专业人员，制定科学合理的投资策略和风险管理制度，完善业务流程，有效防范和控制风险，基金托管人将对管理人参与转融通证券出借业务进行监督和复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及时核对并以书面形式给基金托管人发出回函，就基金托管人的合理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对基金托管人发出的书面提示，基金管理人应在规定时间内答复并改正，或就基金托管人的合理疑义进行解释或举证；对基金托管人按照法规要求需向中国证监会报送基金监督报告的事项，基金管理人应积极配合提供相关数据资料和制度等。</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的基金份额净值、根据基金管理人指令办理清算交收、相关信息披露和监督基金投资运作等行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基金财产的完整性和真实性，在规定时间内答复基金管理人并改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（4）基金托管人对所托管的不同基金财产分别设置账户，与基金托管人的其他业务和其他基金的托管业务实行严格的分账管理，独立核算，确保基金财产的完整与独立。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相应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（7）除依据法律法规和基金合同的规定外，基金托管人不得委托第三人托管基金财产。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（1）基金托管人应负责本基金的基金托管资金账户的开设和管理。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基金托管资金账户，并根据基金管理人合法合规的指令办理资金收付。本基金的银行预留印鉴由基金托管人保管和使用。本基金的一切货币收支活动，包括但不限于投资、支付赎回金额、支付基金收益、收取申购款，均需通过本基金的基金托管资金账户进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（1）基金托管人在中国证券登记结算有限责任公司为本基金开立基金托管人与基金联名的证券账户。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w:t>
      </w:r>
      <w:r>
        <w:rPr>
          <w:rFonts w:ascii="宋体" w:hAnsi="宋体"/>
          <w:sz w:val="24"/>
        </w:rPr>
        <w:lastRenderedPageBreak/>
        <w:t>使用基金的任何账户进行本基金业务以外的活动。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（4）基金证券账户的开立由基金托管人负责，账户资产的管理和运用由基金管理人负责。</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协助基金管理人办理账户的开立手续。</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代表基金签订全国银行间债券市场债券回购主协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6、基金投资银行存款账户的开立和管理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基金投资银行定期存款应由基金管理人与存款银行总行或其授权分行签订总体合作协议，并将资金存放于存款银行总行或其授权分行指定的分支机构。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存款账户必须以基金名义开立，账户名称为基金名称，存款账户开户文件上加盖预留印鉴及基金管理人公章。存款证实书原件由托管人负责保管。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存款的类型、期限、利率、金额、账号、对账方式、支取方式、账户管理等细则。存款协议须约定将托管人为本基金开立的托管银行账户指定为唯一回款账户，任何情况下，存款银行都不得将存款本息划往任何其他账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7、其他账户的开立和管理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（2）法律法规等有关规定对相关账户的开立和管理另有规定的，从其规定办理。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8、基金财产投资的有关有价凭证等的保管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基金管理人承诺对交接给基金托管人保管的有价凭证的真实性、完整性负责，基金托管人只负责对有价凭证进行保管，不负责对有价凭证真伪的辨别，不对有价凭证对应存款的本金及收益的安全负责。实物证券的购买和转让，由基金托管人根据基金管理人的指令办理。属于基金托管人实际有效控制下的实物证券等有价凭证在基金托管人保管期间的损坏、灭失，由此产生的责任应由基金托管人承担。基金托管人对基金托管人以外机构实际有效控制的证券不承担保管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9、与基金财产有关的重大合同的保管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本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（五）基金资产净值的计算及复核程序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基金管理人于每个工作日计算各类基金份额的基金资产净值及基金份额净值，经基金托管人复核后，并按规定公告，如遇特殊情况，经履行适当程序，可以适当延迟计算或公告。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w:t>
      </w:r>
      <w:r>
        <w:rPr>
          <w:rFonts w:ascii="宋体" w:hAnsi="宋体"/>
          <w:sz w:val="24"/>
        </w:rPr>
        <w:lastRenderedPageBreak/>
        <w:t>合同的规定暂停估值时除外。基金管理人每个工作日对基金资产进行估值后，将基金资产净值、各类基金份额净值结果发送基金托管人，经基金托管人复核无误后，由基金管理人依据基金合同和相关法律法规的规定对外公布。月末、年中和年末估值复核与基金会计账目的核对同时进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②首次公开发行未上市的股票和债券，采用估值技术确定公允价值；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w:t>
      </w:r>
      <w:r>
        <w:rPr>
          <w:rFonts w:ascii="宋体" w:hAnsi="宋体"/>
          <w:sz w:val="24"/>
        </w:rPr>
        <w:lastRenderedPageBreak/>
        <w:t>估值全价，同时应充分考虑发行人的信用风险变化对公允价值的影响。回售登记期截止日（含当日）后未行使回售权的按照长待偿期所对应的价格进行估值。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8）同一证券同时在两个或两个以上市场交易的，按证券所处的市场分别估值。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9）估值计算中涉及港币对人民币汇率的，将依据下列信息提供机构所提供的汇率为基准：当日中国人民银行或其授权机构公布的人民币与港币的中间价。</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10）对于因税收规定调整或其他原因导致本基金实际交纳税金与估算的应交税金有差异的，本基金将在相关税金调整日或实际支付日进行相应的会计处理。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11）本基金投资存托凭证的估值核算依照境内上市交易的股票执行。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12）基金参与融资和转融通证券出借业务的，应参照相关法律法规和中国证券投资基金业协会发布的相关规定进行估值。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13）如有确凿证据表明按上述方法进行估值不能客观反映其公允价值的，基金管理人可根据具体情况与基金托管人商定后，按最能反映公允价值的价格估值。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14）当发生大额申购或赎回情形时，基金管理人可以采用摆动定价机制，以确保基金估值的公平性。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15）相关法律法规以及监管部门有强制规定的，从其规定。如有新增事项，按国家最新规定估值。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w:t>
      </w:r>
      <w:r>
        <w:rPr>
          <w:rFonts w:ascii="宋体" w:hAnsi="宋体"/>
          <w:sz w:val="24"/>
        </w:rPr>
        <w:lastRenderedPageBreak/>
        <w:t>题，如经相关各方在平等基础上充分讨论后，仍无法达成一致的意见，按照基金管理人对基金净值信息的计算结果对外予以公布。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1）基金管理人或基金托管人按估值方法的第13）项进行估值时，所造成的误差不作为基金资产估值错误处理。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期货经纪机构、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基金份额净值错误时，由基金管理人负责处理，由此给基金份额持有人和基金造成损失的，应由基金管理人先行赔付，基金管理人按差错情形，有权向其他当事人追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w:t>
      </w:r>
      <w:r>
        <w:rPr>
          <w:rFonts w:ascii="宋体" w:hAnsi="宋体"/>
          <w:sz w:val="24"/>
        </w:rPr>
        <w:lastRenderedPageBreak/>
        <w:t>50%，基金托管人承担50%。</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（4）前述内容如法律法规或监管机构另有规定的，从其规定处理。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（1）基金投资所涉及的证券/期货交易市场或外汇市场遇法定节假日或因其他原因暂停营业时；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净值信息的计算和公告的，以基金管理人的账册为准。</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w:t>
      </w:r>
      <w:r>
        <w:rPr>
          <w:rFonts w:ascii="宋体" w:hAnsi="宋体"/>
          <w:sz w:val="24"/>
        </w:rPr>
        <w:lastRenderedPageBreak/>
        <w:t>表的编制，基金管理人应于每月终了后5个工作日内完成；季度报告应在季度结束之日起15个工作日内编制完毕并予以公告；中期报告在上半年结束之日起两个月内编制完毕并予以公告；年度报告在每年结束之日起三个月内编制完毕并予以公告。基金合同生效不足2个月的，基金管理人可以不编制当期季度报告、中期报告或者年度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传真的方式或双方商定的其他方式进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专用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w:t>
      </w:r>
      <w:r>
        <w:rPr>
          <w:rFonts w:ascii="宋体" w:hAnsi="宋体"/>
          <w:sz w:val="24"/>
        </w:rPr>
        <w:lastRenderedPageBreak/>
        <w:t>内容至少应包括基金份额持有人的名称和持有的基金份额。</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按照相关法律法规要求基金管理人提供任意一个交易日或全部交易日的基金份额持有人名册，基金管理人应及时提供，不得拖延或拒绝提供。</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解决，协商不能解决的，任何一方均有权将争议提交中国国际经济贸易仲裁委员会，仲裁地点为北京市，按照中国国际经济贸易仲裁委员会届时有效的仲裁规则进行仲裁。仲裁裁决是终局的，对双方当事人均有约束力，除非仲裁裁决另有规定，仲裁费由败诉方承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本协议适用中华人民共和国法律（为本协议之目的，不含港澳台地区法律）并从其解释。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本协议双方当事人经协商一致，可以对协议进行修改。修改后的新协议，其内容不得与基金合同的规定有任何冲突。基金托管协议的变更应按规定报中国证监会备案。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1)自出现《基金合同》终止事由之日起30个工作日内成立基金财产清算小组，基金管理人组织基金财产清算小组并在中国证监会的监督下进行基金清算。</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2)基金财产清算小组成员由基金管理人、基金托管人、符合《中华人民共和国证券法》规定的注册会计师、律师以及中国证监会指定的人员组成。基金财产清算小组可以聘用必要的工作人员。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3)在基金财产清算过程中，基金管理人和基金托管人应各自履行职责，继续忠实、勤勉、尽责地履行基金合同和本托管协议规定的义务，维护基金份额持有人的合法权益。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4)基金财产清算小组负责基金财产的保管、清理、估价、变现和分配。基金财产清算小组可以依法进行必要的民事活动。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8)公告基金清算报告；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基金财产清算的期限为6个月，但因本基金所持证券的流动性受到限制而不能及时变现的，清算期限相应顺延。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（3）清算费用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5" w:name="_Toc231370459"/>
      <w:r>
        <w:rPr>
          <w:rFonts w:ascii="Times New Roman" w:hAnsi="Times New Roman"/>
          <w:sz w:val="30"/>
        </w:rPr>
        <w:lastRenderedPageBreak/>
        <w:t>二十二、对基金份额持有人的服务</w:t>
      </w:r>
      <w:bookmarkEnd w:id="25"/>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转换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6" w:name="_Toc231370460"/>
      <w:r>
        <w:rPr>
          <w:rFonts w:ascii="Times New Roman" w:hAnsi="Times New Roman"/>
          <w:sz w:val="30"/>
        </w:rPr>
        <w:lastRenderedPageBreak/>
        <w:t>二十三、其他应披露事项</w:t>
      </w:r>
      <w:bookmarkEnd w:id="26"/>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交银施罗德恒生港股通创新药精选指数型证券投资基金基金合同及招募说明书提示性公告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交银施罗德恒生港股通创新药精选指数型证券投资基金金基金合同摘要</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2025-07-25</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交银施罗德基金管理有限公司关于增加交银施罗德恒生港股通创新药精选指数型证券投资基金销售机构的公告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2025-08-02</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交银施罗德基金管理有限公司关于增加交银施罗德恒生港股通创新药精选指数型证券投资基金销售机构的公告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2025-08-07</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交银施罗德基金管理有限公司关于增加东莞证券股份有限公司为交银施罗德恒生港股通创新药精选指数型证券投资基金销售机构的公告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2025-08-13</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交银施罗德恒生港股通创新药精选指数型证券投资基金基金合同生效公告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2025-08-21</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交银施罗德基金管理有限公司关于交银施罗德恒生港股通创新药精选指数型证券投资基金开放日常申购、赎回、转换、定期定额投资业务的公告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2025-10-10</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交银施罗德基金管理有限公司关于交银施罗德恒生港股通创新药精选指数型证券投资基金暂停转换业务的公告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交银施罗德基金管理有限公司关于旗下部分基金于</w:t>
            </w:r>
            <w:r>
              <w:rPr>
                <w:rFonts w:ascii="Times New Roman" w:hAnsi="Times New Roman"/>
                <w:color w:val="000000"/>
                <w:kern w:val="0"/>
                <w:sz w:val="25"/>
                <w:szCs w:val="24"/>
              </w:rPr>
              <w:t>2026</w:t>
            </w:r>
            <w:r>
              <w:rPr>
                <w:rFonts w:ascii="Times New Roman" w:hAnsi="Times New Roman"/>
                <w:color w:val="000000"/>
                <w:kern w:val="0"/>
                <w:sz w:val="25"/>
                <w:szCs w:val="24"/>
              </w:rPr>
              <w:t>年非港股通交易日暂停基金交易业务的提示性公告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2026-02-14</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交银施罗德基金管理有限公司关于旗下部分基金非港股通交易日暂停申购、赎回等业务安排的公告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rsidR="003C75F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交银施罗德恒生港股通创新药精选指数型证券投资基金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C75F7" w:rsidRDefault="001754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7" w:name="_Toc231370461"/>
      <w:r>
        <w:rPr>
          <w:rFonts w:ascii="Times New Roman" w:hAnsi="Times New Roman"/>
          <w:sz w:val="30"/>
        </w:rPr>
        <w:lastRenderedPageBreak/>
        <w:t>二十四、招募说明书的存放及查阅方式</w:t>
      </w:r>
      <w:bookmarkEnd w:id="27"/>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7542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C75F7" w:rsidRDefault="00175422">
      <w:pPr>
        <w:pStyle w:val="1"/>
        <w:snapToGrid w:val="0"/>
        <w:spacing w:beforeLines="0" w:before="240" w:after="240"/>
        <w:rPr>
          <w:rFonts w:ascii="宋体" w:hAnsi="宋体"/>
          <w:szCs w:val="30"/>
        </w:rPr>
      </w:pPr>
      <w:bookmarkStart w:id="28" w:name="_Toc231370462"/>
      <w:r>
        <w:rPr>
          <w:rFonts w:ascii="Times New Roman" w:hAnsi="Times New Roman"/>
          <w:sz w:val="30"/>
        </w:rPr>
        <w:lastRenderedPageBreak/>
        <w:t>二十五、备查文件</w:t>
      </w:r>
      <w:bookmarkEnd w:id="28"/>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（一）中国证监会准予交银施罗德恒生港股通创新药精选指数型证券投资基金募集注册的文件</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（二）《交银施罗德恒生港股通创新药精选指数型证券投资基金基金合同》</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（三）《交银施罗德恒生港股通创新药精选指数型证券投资基金托管协议》</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3C75F7" w:rsidRDefault="0017542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（六）关于申请募集注册交银施罗德恒生港股通创新药精选指数型证券投资基金的法律意见书</w:t>
      </w:r>
    </w:p>
    <w:sectPr w:rsidR="003C75F7">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B09" w:rsidRDefault="00175422">
      <w:r>
        <w:separator/>
      </w:r>
    </w:p>
  </w:endnote>
  <w:endnote w:type="continuationSeparator" w:id="0">
    <w:p w:rsidR="00B43B09" w:rsidRDefault="00175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3C75F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9E04D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3C75F7" w:rsidRDefault="0017542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E04D9">
                  <w:rPr>
                    <w:rFonts w:ascii="Times New Roman" w:hAnsi="Times New Roman"/>
                    <w:noProof/>
                    <w:kern w:val="0"/>
                    <w:sz w:val="18"/>
                    <w:szCs w:val="18"/>
                  </w:rPr>
                  <w:t>6</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3C75F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9E04D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3C75F7" w:rsidRDefault="0017542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E04D9">
                  <w:rPr>
                    <w:rFonts w:ascii="Times New Roman" w:hAnsi="Times New Roman"/>
                    <w:noProof/>
                    <w:kern w:val="0"/>
                    <w:sz w:val="18"/>
                    <w:szCs w:val="18"/>
                  </w:rPr>
                  <w:t>148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B09" w:rsidRDefault="00175422">
      <w:r>
        <w:separator/>
      </w:r>
    </w:p>
  </w:footnote>
  <w:footnote w:type="continuationSeparator" w:id="0">
    <w:p w:rsidR="00B43B09" w:rsidRDefault="001754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3C75F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175422">
    <w:pPr>
      <w:pStyle w:val="a3"/>
      <w:jc w:val="right"/>
      <w:rPr>
        <w:rFonts w:ascii="宋体" w:hAnsi="宋体"/>
      </w:rPr>
    </w:pPr>
    <w:r>
      <w:rPr>
        <w:rFonts w:ascii="宋体" w:hAnsi="宋体" w:hint="eastAsia"/>
      </w:rPr>
      <w:t>交银施罗德恒生港股通创新药精选指数型证券投资基金招募说明书更新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3C75F7">
    <w:pPr>
      <w:pStyle w:val="10"/>
      <w:jc w:val="right"/>
    </w:pPr>
  </w:p>
  <w:p w:rsidR="003C75F7" w:rsidRDefault="003C75F7">
    <w:pPr>
      <w:pStyle w:val="10"/>
      <w:jc w:val="right"/>
    </w:pPr>
  </w:p>
  <w:p w:rsidR="003C75F7" w:rsidRDefault="003C75F7">
    <w:pPr>
      <w:pStyle w:val="a3"/>
      <w:jc w:val="right"/>
    </w:pPr>
  </w:p>
  <w:p w:rsidR="003C75F7" w:rsidRDefault="00175422">
    <w:pPr>
      <w:pStyle w:val="a3"/>
      <w:jc w:val="right"/>
      <w:rPr>
        <w:rFonts w:ascii="宋体" w:hAnsi="宋体"/>
      </w:rPr>
    </w:pPr>
    <w:r>
      <w:rPr>
        <w:rFonts w:ascii="宋体" w:hAnsi="宋体" w:hint="eastAsia"/>
      </w:rPr>
      <w:t>交银施罗德恒生港股通创新药精选指数型证券投资基金招募说明书更新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5F7" w:rsidRDefault="003C75F7">
    <w:pPr>
      <w:pStyle w:val="a3"/>
      <w:jc w:val="right"/>
    </w:pPr>
  </w:p>
  <w:p w:rsidR="003C75F7" w:rsidRDefault="003C75F7">
    <w:pPr>
      <w:pStyle w:val="a3"/>
      <w:jc w:val="right"/>
    </w:pPr>
  </w:p>
  <w:p w:rsidR="003C75F7" w:rsidRDefault="003C75F7">
    <w:pPr>
      <w:pStyle w:val="a3"/>
      <w:jc w:val="right"/>
    </w:pPr>
  </w:p>
  <w:p w:rsidR="003C75F7" w:rsidRDefault="00175422">
    <w:pPr>
      <w:pStyle w:val="a3"/>
      <w:jc w:val="right"/>
      <w:rPr>
        <w:rFonts w:ascii="宋体" w:hAnsi="宋体"/>
      </w:rPr>
    </w:pPr>
    <w:r>
      <w:rPr>
        <w:rFonts w:ascii="宋体" w:hAnsi="宋体" w:hint="eastAsia"/>
      </w:rPr>
      <w:t>交银施罗德恒生港股通创新药精选指数型证券投资基金招募说明书更新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75422"/>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C75F7"/>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04D9"/>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43B09"/>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0D6EE07-3591-490A-AD9A-94751CCCC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149</Pages>
  <Words>15959</Words>
  <Characters>90970</Characters>
  <Application>Microsoft Office Word</Application>
  <DocSecurity>0</DocSecurity>
  <Lines>758</Lines>
  <Paragraphs>213</Paragraphs>
  <ScaleCrop>false</ScaleCrop>
  <Company>Microsoft</Company>
  <LinksUpToDate>false</LinksUpToDate>
  <CharactersWithSpaces>106716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2026-06-03T01:13:00Z</dcterms:created>
  <dcterms:modified xsi:type="dcterms:W3CDTF">2026-06-03T01:13:00Z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