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交银施罗德瑞安混合型证券投资基金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基金托管人：上海浦东发展银行股份有限公司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二〇二六年五月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231974987"/>
      <w:bookmarkStart w:id="1" w:name="_Toc496884613"/>
      <w:bookmarkStart w:id="2" w:name="_Toc324920538"/>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瑞安混合型证券投资基金（以下简称“本基金”）经2025年5月23日中国证券监督管理委员会（以下简称“中国证监会”）证监许可【2025】1107号文准予募集注册。本基金基金合同于2025年6月24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本基金法律文件风险收益特征表述与销售机构基金风险评价可能不一致的风险；投资本基金的其他风险等等。本基金是一只混合型基金，其预期风险和预期收益理论上高于债券型基金和货币市场基金，低于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本基金的管理费由固定管理费、或有管理费和超额管理费组成，其中或有管理费和超额管理费取决于每笔基金份额的持有时长和持有期间年化收益率水平（详见基金合同“第十五部分 基金费用与税收”），因此投资者在认/申购本基金时无法预先确定本基金的整体管理费水平。由于本基金在计算基金份额净值时，按前一日基金资产净值的1.20%年费率计算管理费，该费率可能高于或低于不同投资者最终适用的管理费率。在基金份额赎回或基金合同终止的情形发生时，基金投资者实际收到的赎回款项或清算款项的金额可能与按披露的基金份额净值计算的结果存在差异。投资者的实际赎回金额和清算资金以登记机构确认数据为准。本基金采用浮动管理费的收费模式，不代表基金管理人对基金收益的保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基金可根据投资策略需要或不同配置地市场环境的变化，选择将部分基金资产投资于港股通标的股票或选择不将基金资产投资于港股通标的股票，基金资产并非必然投资港股通标的股票。</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本招募说明书所载内容截止日为2026年05月14日，有关财务数据和净值表现截止日为2026年03月31日。本招募说明书所载的财务数据未经审计。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"_Toc231974987"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_Toc231974987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"_Toc231974988"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_Toc231974988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"_Toc231974989"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_Toc231974989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"_Toc231974990"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_Toc231974990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"_Toc231974991"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_Toc231974991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"_Toc231974992"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_Toc231974992 \h </w:instrText>
      </w:r>
      <w:r>
        <w:rPr>
          <w:rFonts w:ascii="宋体" w:hAnsi="宋体"/>
          <w:sz w:val="24"/>
        </w:rPr>
        <w:fldChar w:fldCharType="separate"/>
      </w:r>
      <w:r>
        <w:rPr>
          <w:rFonts w:ascii="宋体" w:hAnsi="宋体"/>
          <w:sz w:val="24"/>
        </w:rPr>
        <w:t>22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"_Toc231974993"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_Toc231974993 \h </w:instrText>
      </w:r>
      <w:r>
        <w:rPr>
          <w:rFonts w:ascii="宋体" w:hAnsi="宋体"/>
          <w:sz w:val="24"/>
        </w:rPr>
        <w:fldChar w:fldCharType="separate"/>
      </w:r>
      <w:r>
        <w:rPr>
          <w:rFonts w:ascii="宋体" w:hAnsi="宋体"/>
          <w:sz w:val="24"/>
        </w:rPr>
        <w:t>35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"_Toc231974994"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_Toc231974994 \h </w:instrText>
      </w:r>
      <w:r>
        <w:rPr>
          <w:rFonts w:ascii="宋体" w:hAnsi="宋体"/>
          <w:sz w:val="24"/>
        </w:rPr>
        <w:fldChar w:fldCharType="separate"/>
      </w:r>
      <w:r>
        <w:rPr>
          <w:rFonts w:ascii="宋体" w:hAnsi="宋体"/>
          <w:sz w:val="24"/>
        </w:rPr>
        <w:t>36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"_Toc231974995"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_Toc231974995 \h </w:instrText>
      </w:r>
      <w:r>
        <w:rPr>
          <w:rFonts w:ascii="宋体" w:hAnsi="宋体"/>
          <w:sz w:val="24"/>
        </w:rPr>
        <w:fldChar w:fldCharType="separate"/>
      </w:r>
      <w:r>
        <w:rPr>
          <w:rFonts w:ascii="宋体" w:hAnsi="宋体"/>
          <w:sz w:val="24"/>
        </w:rPr>
        <w:t>37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"_Toc231974996"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_Toc231974996 \h </w:instrText>
      </w:r>
      <w:r>
        <w:rPr>
          <w:rFonts w:ascii="宋体" w:hAnsi="宋体"/>
          <w:sz w:val="24"/>
        </w:rPr>
        <w:fldChar w:fldCharType="separate"/>
      </w:r>
      <w:r>
        <w:rPr>
          <w:rFonts w:ascii="宋体" w:hAnsi="宋体"/>
          <w:sz w:val="24"/>
        </w:rPr>
        <w:t>51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"_Toc231974997"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_Toc231974997 \h </w:instrText>
      </w:r>
      <w:r>
        <w:rPr>
          <w:rFonts w:ascii="宋体" w:hAnsi="宋体"/>
          <w:sz w:val="24"/>
        </w:rPr>
        <w:fldChar w:fldCharType="separate"/>
      </w:r>
      <w:r>
        <w:rPr>
          <w:rFonts w:ascii="宋体" w:hAnsi="宋体"/>
          <w:sz w:val="24"/>
        </w:rPr>
        <w:t>56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"_Toc231974998"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_Toc231974998 \h </w:instrText>
      </w:r>
      <w:r>
        <w:rPr>
          <w:rFonts w:ascii="宋体" w:hAnsi="宋体"/>
          <w:sz w:val="24"/>
        </w:rPr>
        <w:fldChar w:fldCharType="separate"/>
      </w:r>
      <w:r>
        <w:rPr>
          <w:rFonts w:ascii="宋体" w:hAnsi="宋体"/>
          <w:sz w:val="24"/>
        </w:rPr>
        <w:t>67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"_Toc231974999"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_Toc231974999 \h </w:instrText>
      </w:r>
      <w:r>
        <w:rPr>
          <w:rFonts w:ascii="宋体" w:hAnsi="宋体"/>
          <w:sz w:val="24"/>
        </w:rPr>
        <w:fldChar w:fldCharType="separate"/>
      </w:r>
      <w:r>
        <w:rPr>
          <w:rFonts w:ascii="宋体" w:hAnsi="宋体"/>
          <w:sz w:val="24"/>
        </w:rPr>
        <w:t>69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"_Toc231975000"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_Toc231975000 \h </w:instrText>
      </w:r>
      <w:r>
        <w:rPr>
          <w:rFonts w:ascii="宋体" w:hAnsi="宋体"/>
          <w:sz w:val="24"/>
        </w:rPr>
        <w:fldChar w:fldCharType="separate"/>
      </w:r>
      <w:r>
        <w:rPr>
          <w:rFonts w:ascii="宋体" w:hAnsi="宋体"/>
          <w:sz w:val="24"/>
        </w:rPr>
        <w:t>70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"_Toc231975001"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_Toc231975001 \h </w:instrText>
      </w:r>
      <w:r>
        <w:rPr>
          <w:rFonts w:ascii="宋体" w:hAnsi="宋体"/>
          <w:sz w:val="24"/>
        </w:rPr>
        <w:fldChar w:fldCharType="separate"/>
      </w:r>
      <w:r>
        <w:rPr>
          <w:rFonts w:ascii="宋体" w:hAnsi="宋体"/>
          <w:sz w:val="24"/>
        </w:rPr>
        <w:t>76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"_Toc231975002"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_Toc231975002 \h </w:instrText>
      </w:r>
      <w:r>
        <w:rPr>
          <w:rFonts w:ascii="宋体" w:hAnsi="宋体"/>
          <w:sz w:val="24"/>
        </w:rPr>
        <w:fldChar w:fldCharType="separate"/>
      </w:r>
      <w:r>
        <w:rPr>
          <w:rFonts w:ascii="宋体" w:hAnsi="宋体"/>
          <w:sz w:val="24"/>
        </w:rPr>
        <w:t>78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"_Toc231975003"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_Toc231975003 \h </w:instrText>
      </w:r>
      <w:r>
        <w:rPr>
          <w:rFonts w:ascii="宋体" w:hAnsi="宋体"/>
          <w:sz w:val="24"/>
        </w:rPr>
        <w:fldChar w:fldCharType="separate"/>
      </w:r>
      <w:r>
        <w:rPr>
          <w:rFonts w:ascii="宋体" w:hAnsi="宋体"/>
          <w:sz w:val="24"/>
        </w:rPr>
        <w:t>84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"_Toc231975004"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_Toc231975004 \h </w:instrText>
      </w:r>
      <w:r>
        <w:rPr>
          <w:rFonts w:ascii="宋体" w:hAnsi="宋体"/>
          <w:sz w:val="24"/>
        </w:rPr>
        <w:fldChar w:fldCharType="separate"/>
      </w:r>
      <w:r>
        <w:rPr>
          <w:rFonts w:ascii="宋体" w:hAnsi="宋体"/>
          <w:sz w:val="24"/>
        </w:rPr>
        <w:t>85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"_Toc231975005"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_Toc231975005 \h </w:instrText>
      </w:r>
      <w:r>
        <w:rPr>
          <w:rFonts w:ascii="宋体" w:hAnsi="宋体"/>
          <w:sz w:val="24"/>
        </w:rPr>
        <w:fldChar w:fldCharType="separate"/>
      </w:r>
      <w:r>
        <w:rPr>
          <w:rFonts w:ascii="宋体" w:hAnsi="宋体"/>
          <w:sz w:val="24"/>
        </w:rPr>
        <w:t>92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"_Toc231975006"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_Toc231975006 \h </w:instrText>
      </w:r>
      <w:r>
        <w:rPr>
          <w:rFonts w:ascii="宋体" w:hAnsi="宋体"/>
          <w:sz w:val="24"/>
        </w:rPr>
        <w:fldChar w:fldCharType="separate"/>
      </w:r>
      <w:r>
        <w:rPr>
          <w:rFonts w:ascii="宋体" w:hAnsi="宋体"/>
          <w:sz w:val="24"/>
        </w:rPr>
        <w:t>95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"_Toc231975007"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_Toc231975007 \h </w:instrText>
      </w:r>
      <w:r>
        <w:rPr>
          <w:rFonts w:ascii="宋体" w:hAnsi="宋体"/>
          <w:sz w:val="24"/>
        </w:rPr>
        <w:fldChar w:fldCharType="separate"/>
      </w:r>
      <w:r>
        <w:rPr>
          <w:rFonts w:ascii="宋体" w:hAnsi="宋体"/>
          <w:sz w:val="24"/>
        </w:rPr>
        <w:t>105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"_Toc231975008"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_Toc231975008 \h </w:instrText>
      </w:r>
      <w:r>
        <w:rPr>
          <w:rFonts w:ascii="宋体" w:hAnsi="宋体"/>
          <w:sz w:val="24"/>
        </w:rPr>
        <w:fldChar w:fldCharType="separate"/>
      </w:r>
      <w:r>
        <w:rPr>
          <w:rFonts w:ascii="宋体" w:hAnsi="宋体"/>
          <w:sz w:val="24"/>
        </w:rPr>
        <w:t>107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"_Toc231975009"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_Toc231975009 \h </w:instrText>
      </w:r>
      <w:r>
        <w:rPr>
          <w:rFonts w:ascii="宋体" w:hAnsi="宋体"/>
          <w:sz w:val="24"/>
        </w:rPr>
        <w:fldChar w:fldCharType="separate"/>
      </w:r>
      <w:r>
        <w:rPr>
          <w:rFonts w:ascii="宋体" w:hAnsi="宋体"/>
          <w:sz w:val="24"/>
        </w:rPr>
        <w:t>124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"_Toc231975010"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_Toc231975010 \h </w:instrText>
      </w:r>
      <w:r>
        <w:rPr>
          <w:rFonts w:ascii="宋体" w:hAnsi="宋体"/>
          <w:sz w:val="24"/>
        </w:rPr>
        <w:fldChar w:fldCharType="separate"/>
      </w:r>
      <w:r>
        <w:rPr>
          <w:rFonts w:ascii="宋体" w:hAnsi="宋体"/>
          <w:sz w:val="24"/>
        </w:rPr>
        <w:t>143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"_Toc231975011"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_Toc231975011 \h </w:instrText>
      </w:r>
      <w:r>
        <w:rPr>
          <w:rFonts w:ascii="宋体" w:hAnsi="宋体"/>
          <w:sz w:val="24"/>
        </w:rPr>
        <w:fldChar w:fldCharType="separate"/>
      </w:r>
      <w:r>
        <w:rPr>
          <w:rFonts w:ascii="宋体" w:hAnsi="宋体"/>
          <w:sz w:val="24"/>
        </w:rPr>
        <w:t>145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"_Toc231975012"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_Toc231975012 \h </w:instrText>
      </w:r>
      <w:r>
        <w:rPr>
          <w:rFonts w:ascii="宋体" w:hAnsi="宋体"/>
          <w:sz w:val="24"/>
        </w:rPr>
        <w:fldChar w:fldCharType="separate"/>
      </w:r>
      <w:r>
        <w:rPr>
          <w:rFonts w:ascii="宋体" w:hAnsi="宋体"/>
          <w:sz w:val="24"/>
        </w:rPr>
        <w:t>147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"_Toc231975013"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_Toc231975013 \h </w:instrText>
      </w:r>
      <w:r>
        <w:rPr>
          <w:rFonts w:ascii="宋体" w:hAnsi="宋体"/>
          <w:sz w:val="24"/>
        </w:rPr>
        <w:fldChar w:fldCharType="separate"/>
      </w:r>
      <w:r>
        <w:rPr>
          <w:rFonts w:ascii="宋体" w:hAnsi="宋体"/>
          <w:sz w:val="24"/>
        </w:rPr>
        <w:t>148</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1974988"/>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瑞安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瑞安混合型证券投资基金基金合同》（以下简称“基金合同”或“《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1974989"/>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1、基金或本基金：指交银施罗德瑞安混合型证券投资基金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4、基金合同、《基金合同》：指《交银施罗德瑞安混合型证券投资基金基金合同》及对基金合同的任何有效修订和补充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5、托管协议：指基金管理人与基金托管人就本基金签订之《交银施罗德瑞安混合型证券投资基金托管协议》及对该托管协议的任何有效修订和补充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6、招募说明书或本招募说明书：指《交银施罗德瑞安混合型证券投资基金招募说明书》及其更新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7、基金产品资料概要：指《交银施罗德瑞安混合型证券投资基金基金产品资料概要》及其更新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8、基金份额发售公告：指《交银施罗德瑞安混合型证券投资基金基金份额发售公告》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16、银行业监督管理机构：指中国人民银行和/或国家金融监督管理总局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36、开放日：指为投资人办理基金份额申购、赎回或其他业务的工作日（若该工作日为非港股通交易日，则本基金可不开放）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38、《业务规则》：指《交银施罗德基金管理有限公司开放式基金业务规则》，是规范基金管理人所管理的开放式证券投资基金登记方面的业务规则，由基金管理人和投资人共同遵守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48、基金资产总值：指基金拥有的各类有价证券、股指期货合约、银行存款本息、基金应收款项及其他资产的价值总和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52、港股通标的股票：指内地投资者委托内地证券公司，经由内地证券交易所在香港设立的证券交易服务公司，向香港联合交易所进行申报，买卖规定范围内的香港联合交易所上市的股票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54、A类基金份额：指在投资人认购/申购时收取认购/申购费用、不从本类别基金资产中计提销售服务费的基金份额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55、C类基金份额：指在投资人认购/申购时不收取认购/申购费用、从本类别基金资产中计提销售服务费的基金份额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1974990"/>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鼎先生:基金经理。上海交通大学经济学硕士，13年证券投资行业从业经验。2013年至2015年任博时基金管理有限公司研究员。2015年加入交银施罗德基金管理有限公司，历任行业分析师。现任交银施罗德定期支付双息平衡混合型证券投资基金(2021年09月29日至今)、交银施罗德启嘉混合型证券投资基金(2023年08月02日至今)、交银施罗德瑞安混合型证券投资基金(2025年06月24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1974991"/>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本基金托管人为上海浦东发展银行股份有限公司，基本信息如下：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注册地址：上海市中山东一路12号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办公地址：上海市博成路1388号浦银中心A栋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法定代表人：张为忠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成立时间：1992年10月19日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注册资本：293.52亿元人民币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基金托管资格批文及文号：中国证监会证监基金字[2003]105号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联系人：汪小敏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联系电话：（021）31888888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海浦东发展银行总行于2003年设立基金托管部，2005年更名为资产托管部，2013年更名为资产托管与养老金业务部，2016年进行组织架构优化调整，并更名为资产托管部，目前下设证券托管处、客户资产托管处、养老金业务处、内控管理处、业务保障处、总行资产托管运营中心（含合肥分中心）六个职能处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截止2026年3月31日，上海浦东发展银行证券投资基金托管规模为16599.55亿元，托管证券投资基金共541只。</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 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（五）托管人对管理人运作基金进行监督的方法和程序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1、监督依据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托管人严格按照有关政策法规、以及基金合同、托管协议等进行监督。监督依据具体包括：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（1）《中华人民共和国证券法》；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（2）《中华人民共和国证券投资基金法》；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（3）《公开募集证券投资基金运作管理办法》；；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（4）《公开募集证券投资基金销售机构监督管理办法》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（6）法律、法规、政策的其他规定。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我行根据基金合同及托管协议约定，对基金合同生效之后所托管基金的投资范围、投资比例、投资限制等进行严格监督，及时提示基金管理人违规风险。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（1）资产托管部设置核算监督岗位，配备相应的业务人员，在授权范围内独立行使对基金管理人投资交易行为的监督职责，规范基金运作，维护基金投资人的合法权益，不受任何外界力量的干预；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（2）在日常运作中，凡可量化的监督指标，由核算监督岗通过托管业务的自动处理程序进行监督，实现系统的自动跟踪和预警；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（3）对非量化指标、投资指令、管理人提供的各种报表和报告等，采取人工监督的方法。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4、监督结果的处理方式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（1）基金托管人对基金管理人的投资运作监督结果，采取定期和不定期报告形式向基金管理人和中国证监会报告。定期报告包括基金监控周报等。不定期报告包括提示函、临时日报、其他临时报告等；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（3）针对中国证监会、中国人民银行对基金投资运作监督情况的检查，应及时提供有关情况和资料。</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1974992"/>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（3）名称：中国光大银行股份有限公司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（9）名称：开源证券股份有限公司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（10）名称：山西证券股份有限公司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（12）名称：华福证券股份有限公司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法定代表人：黄德良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电话：（0591）87383623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传真：（0591）87383610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客户服务电话：（0591）95547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电话：（021）61055461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传真：（021）61055064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联系人：陈方强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办公地址：上海市银城中路68号时代金融中心18-20楼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1974993"/>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本基金由基金管理人依照《基金法》、《运作办法》、《销售办法》、基金合同及其他有关规定，并经中国证监会2025年5月23日证监许可【2025】1107号文准予募集注册。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本基金2025年5月27日至2025年6月20日进行发售，本基金设立募集期共募集1,547,244,489.69份基金份额，有效认购户数为10,822户。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1974994"/>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根据有关规定，本基金满足基金合同生效条件，基金合同已于2025年6月24日正式生效。自基金合同生效之日起，本基金管理人正式开始管理本基金。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1974995"/>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本基金已于2025年9月23日起开放申购、赎回业务。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4、基金管理人可以规定基金总规模上限、单个投资人累计持有的基金份额上限，具体规定请参见相关公告。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届时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不从该类别基金资产中计提销售服务费；申购C类基金份额不支付申购费用、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本基金A类基金份额的申购费用由申购A类基金份额的投资人承担，不列入基金财产，主要用于本基金的市场推广、销售、登记等各项费用。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投资人可以多次申购本基金，A类基金份额的申购费用按A类基金份额每笔申购申请单独计算。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1000万元以上（含1000万元）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1000万元以上（含1000万元）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30日（含）—1年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（2）本基金C类基金份额的赎回费用由赎回C类基金份额的基金份额持有人承担，在基金份额持有人赎回基金份额时收取并全额计入基金财产。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A类基金份额或C类基金份额的有效赎回份额乘以当日该类基金份额的基金份额净值并扣除或加上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本基金采用金额申购的方式。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例四：某投资者（非养老金客户）投资40,000.00元申购本基金A类基金份额，假设申购当日A类基金份额净值为1.0400元，申购费率为1.5%，则其可得到的申购份额为：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净申购金额=40,000.00/（1+1.5%）=39,408.87元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申购费用=40,000.00-39,408.87=591.13元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申购份额=39,408.87/1.0400=37,893.14份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即：某投资者（非养老金客户）投资40,000.00元申购本基金A类基金份额，假设申购当日A类基金份额净值为1.0400元，则其可得到37,893.14份A类基金份额。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例五：某养老金客户投资1,000,000.00元通过基金管理人的直销柜台申购本基金A类基金份额，假设申购当日A类基金份额净值为1.0400元，申购费率为0.6%，则其可得到的申购份额为：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净申购金额=1,000,000.00/（1+0.6%）=994,035.79元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申购费用=1,000,000.00-994,035.79=5,964.21元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申购份额=994,035.79/1.0400=955,803.64份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即：该养老金客户投资1,000,000.00元通过基金管理人的直销柜台申购本基金A类基金份额，假设申购当日A类基金份额净值为1.0400元，则其可得到955,803.64份A类基金份额。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3、A类基金份额和C类基金份额赎回金额的计算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本基金采用份额赎回的方式。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赎回A类基金份额与C类基金份额的赎回金额计算方法一致。具体如下：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赎回费用=赎回份额×T日该类基金份额净值×赎回费率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赎回金额=赎回份额×T日该类基金份额净值-赎回费用+应返还的或有管理费（如有）-应扣除的超额管理费（如有）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该笔赎回确认应返还的或有管理费、应扣除的超额管理费计算的具体安排详见基金合同“基金费用与税收”部分内容。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例七：某投资者赎回持有的10,000.00份A类基金份额，持有期限为30日，对应的赎回费率为0.5%，假设赎回申请当日A类基金份额净值是1.0160元，则其可得到的赎回金额为：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赎回金额=10,000.00×1.0160-50.80＝10,109.20元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即：该投资者赎回本基金10,000份A类基金份额，持有期限为30日，对应的赎回费率为0.5%，假设赎回申请当日A类基金份额净值是1.0160元，则其可得到的赎回金额为10,109.20元。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赎回持有的10,000.00份A类基金份额，持有期限为370日，对应的赎回费率为0，假设赎回申请当日A类基金份额净值是1.0160元，且假设该笔赎回确认应收取的超额管理费为30.90元（即该笔赎回的基金份额达到超额管理费收取情形，应从赎回款中扣除超额管理费），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赎回费用=10,000.00×1.0160×0＝0元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赎回金额=10,000.00×1.0160-0-30.90＝10,129.10元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赎回本基金10,000份A类基金份额，持有期限为370日，对应的赎回费率为0，假设赎回申请当日A类基金份额净值是1.0160元，且假设该笔赎回确认应收取的超额管理费为30.90元（即该笔赎回的基金份额达到超额管理费收取情形，应从赎回款中扣除超额管理费），则其可得到的赎回金额为10,129.10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九：某投资者赎回持有的10,000.00份C类基金份额，持有期限为370日，对应的赎回费率为0，假设赎回申请当日C类基金份额净值是1.0160元，且假设该笔赎回确认应返还的或有管理费为65.00元（即该笔赎回的基金份额符合或有管理费为0的情形，应将持有期内计提的或有管理费全额返还），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赎回费用=10,000.00×1.0160×0＝0元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赎回金额=10,000.00×1.0160-0+65.00＝10,225.00元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赎回本基金10,000份C类基金份额，持有期限为370日，对应的赎回费率为0，假设赎回申请当日C类基金份额净值是1.0160元，且假设该笔赎回确认应返还的或有管理费为65.00元（即该笔赎回的基金份额符合或有管理费为0的情形，应将持有期内计提的或有管理费全额返还），则其可得到的赎回金额为10,225.00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本基金在计算基金份额净值时，按前一日基金资产净值的1.20%年费率计算管理费，该费率可能高于或低于不同投资者最终适用的管理费率。在基金份额赎回时，基金投资者实际收到的赎回款项的金额可能与按披露的基金份额净值计算的结果存在差异。投资者的实际赎回金额以登记机构确认数据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港股通交易每日额度不足，或者发生证券交易服务公司等机构认定的交易异常情况并决定暂停提供部分或者全部港股通服务，或者发生其他影响通过内地与香港股票市场交易互联互通机制进行正常交易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8、10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本基金2025年9月19日刊登公告自2025年9月23日起开通定期定额投资计划业务，具体开通销售机构名单和业务规则参见相关公告。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1974996"/>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本基金2025年9月19日刊登公告自2025年9月23日起开放日常转换业务。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转出基金申购费用=转入确认金额×转出基金申购费率/（1+转出基金申购费率）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转入基金申购费用=转入确认金额×转入基金申购费率/（1+转入基金申购费率）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转出与转入基金的申购补差费=MAX（0，转入基金申购费用-转出基金申购费用）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稳利A类基金份额100,000份，持有期半年，转换申请当日交银稳利的A类基金份额净值为1.0100元，交银现金宝A类基金份额的基金份额净值为1.00元。若该投资者将100,000份交银稳利A类基金份额转换为交银现金宝A类基金份额，则转入交银现金宝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转出基金申购费用=101,000×0.30%/（1+0.30%）=302.09元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转入基金申购费用=0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转入基金确认份额=（101,000-0）/1.00=101,000份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现金宝A类基金份额100,000份，该100,000份基金份额未结转的待支付收益为61.52元，转换申请当日交银现金宝的A类基金份额净值为1.00元，交银稳利的A类基金份额净值为1.0100元。若该投资者将100,000份交银现金宝A类基金份额转换为交银稳利A类基金份额，则转入交银稳利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转出基金申购费用=0元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转入基金申购费用=100,000×0.30%/（1+0.30%）=299.10元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转出与转入基金的申购补差费=299.10-0=299.10元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转入基金确认份额=（100,000-299.10+61.52）/1.0100=98,774.67份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1974997"/>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本基金在合理控制风险的前提下，充分发挥专业研究与管理能力，力争为投资者提供长期稳健的投资回报。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通标的股票、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w:t>
      </w:r>
      <w:bookmarkStart w:id="29" w:name="_GoBack"/>
      <w:bookmarkEnd w:id="29"/>
      <w:r>
        <w:rPr>
          <w:rFonts w:ascii="宋体" w:hAnsi="宋体"/>
          <w:sz w:val="24"/>
        </w:rPr>
        <w:t>个股深入的基本面研究和细致的实地调研，精选股票构建股票投资组合。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pPr>
        <w:autoSpaceDE w:val="0"/>
        <w:autoSpaceDN w:val="0"/>
        <w:adjustRightInd w:val="0"/>
        <w:snapToGrid w:val="0"/>
        <w:spacing w:line="360" w:lineRule="auto"/>
        <w:ind w:firstLine="420" w:firstLineChars="200"/>
        <w:jc w:val="left"/>
        <w:rPr>
          <w:rFonts w:ascii="宋体" w:hAnsi="宋体"/>
          <w:szCs w:val="24"/>
        </w:rPr>
      </w:pPr>
      <w:r>
        <w:rPr>
          <w:rFonts w:hint="eastAsia"/>
          <w:lang w:eastAsia="zh-CN"/>
        </w:rPr>
        <w:t>■</w:t>
      </w:r>
      <w:r>
        <w:rPr>
          <w:rFonts w:ascii="宋体" w:hAnsi="宋体"/>
          <w:sz w:val="24"/>
        </w:rPr>
        <w:t>盈利能力指标：如市盈率（P/E）、市现率（P/Cash Flow）、股价与每股自由现金流比率（P/FCF）、市销率（P/S）、股价与每股息税前利润比率（P/EBIT）等；</w:t>
      </w:r>
    </w:p>
    <w:p>
      <w:pPr>
        <w:autoSpaceDE w:val="0"/>
        <w:autoSpaceDN w:val="0"/>
        <w:adjustRightInd w:val="0"/>
        <w:snapToGrid w:val="0"/>
        <w:spacing w:line="360" w:lineRule="auto"/>
        <w:ind w:firstLine="420" w:firstLineChars="200"/>
        <w:jc w:val="left"/>
        <w:rPr>
          <w:rFonts w:ascii="宋体" w:hAnsi="宋体"/>
          <w:szCs w:val="24"/>
        </w:rPr>
      </w:pPr>
      <w:r>
        <w:rPr>
          <w:rFonts w:hint="eastAsia"/>
          <w:lang w:eastAsia="zh-CN"/>
        </w:rPr>
        <w:t>■</w:t>
      </w:r>
      <w:r>
        <w:rPr>
          <w:rFonts w:ascii="宋体" w:hAnsi="宋体"/>
          <w:sz w:val="24"/>
        </w:rPr>
        <w:t>经营效率指标：如净资产收益率（ROE）、资产收益率（ROA）、经营资产回报率（Return on operating assets）等；</w:t>
      </w:r>
    </w:p>
    <w:p>
      <w:pPr>
        <w:autoSpaceDE w:val="0"/>
        <w:autoSpaceDN w:val="0"/>
        <w:adjustRightInd w:val="0"/>
        <w:snapToGrid w:val="0"/>
        <w:spacing w:line="360" w:lineRule="auto"/>
        <w:ind w:firstLine="420" w:firstLineChars="200"/>
        <w:jc w:val="left"/>
        <w:rPr>
          <w:rFonts w:ascii="宋体" w:hAnsi="宋体"/>
          <w:szCs w:val="24"/>
        </w:rPr>
      </w:pPr>
      <w:r>
        <w:rPr>
          <w:rFonts w:hint="eastAsia"/>
          <w:lang w:eastAsia="zh-CN"/>
        </w:rPr>
        <w:t>■</w:t>
      </w:r>
      <w:r>
        <w:rPr>
          <w:rFonts w:ascii="宋体" w:hAnsi="宋体"/>
          <w:sz w:val="24"/>
        </w:rPr>
        <w:t>财务状况指标：如资产负债率（D/A）、流动比率等；</w:t>
      </w:r>
    </w:p>
    <w:p>
      <w:pPr>
        <w:autoSpaceDE w:val="0"/>
        <w:autoSpaceDN w:val="0"/>
        <w:adjustRightInd w:val="0"/>
        <w:snapToGrid w:val="0"/>
        <w:spacing w:line="360" w:lineRule="auto"/>
        <w:ind w:firstLine="420" w:firstLineChars="200"/>
        <w:jc w:val="left"/>
        <w:rPr>
          <w:rFonts w:ascii="宋体" w:hAnsi="宋体"/>
          <w:szCs w:val="24"/>
        </w:rPr>
      </w:pPr>
      <w:r>
        <w:rPr>
          <w:rFonts w:hint="eastAsia"/>
          <w:lang w:eastAsia="zh-CN"/>
        </w:rPr>
        <w:t>■</w:t>
      </w:r>
      <w:r>
        <w:rPr>
          <w:rFonts w:ascii="宋体" w:hAnsi="宋体"/>
          <w:sz w:val="24"/>
        </w:rPr>
        <w:t>研发投入指标：如研发投入与营业收入比率、科研人员数量及占比、专利数量及在同行业的占比等。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（3）港股通标的股票投资策略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本基金可通过内地与香港股票市场交易互联互通机制投资于香港股票市场。本基金优先将基本面健康、业绩向上弹性较大、具有估值优势的港股通标的股票纳入本基金的股票投资组合。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本基金可根据投资策略需要或不同配置地市场环境的变化，选择将部分基金资产投资于港股通标的股票或选择不将基金资产投资于港股通标的股票，基金资产并非必然投资港股通标的股票。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5、股指期货投资策略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法律法规或监管部门取消或者变更上述限制，如适用于本基金，基金管理人在履行适当程序后，则本基金投资不再受相关限制或以变更后的规定为准。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沪深300指数收益率×70%+恒生指数收益率（人民币计价）×5%+中证综合债券指数收益率×25%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（七）基金管理人代表基金行使股东或债权人权利的处理原则及方法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（九）基金投资组合报告</w:t>
      </w:r>
    </w:p>
    <w:p>
      <w:pPr>
        <w:autoSpaceDE w:val="0"/>
        <w:autoSpaceDN w:val="0"/>
        <w:adjustRightInd w:val="0"/>
        <w:snapToGrid w:val="0"/>
        <w:spacing w:line="360" w:lineRule="auto"/>
        <w:ind w:firstLine="480" w:firstLineChars="200"/>
        <w:jc w:val="left"/>
        <w:rPr>
          <w:rFonts w:ascii="宋体" w:hAnsi="宋体"/>
          <w:b w:val="0"/>
          <w:bCs/>
          <w:szCs w:val="24"/>
        </w:rPr>
      </w:pPr>
      <w:r>
        <w:rPr>
          <w:rFonts w:hint="eastAsia" w:ascii="宋体" w:hAnsi="宋体"/>
          <w:b w:val="0"/>
          <w:bCs/>
          <w:kern w:val="0"/>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本基金托管人上海浦东发展银行股份有限公司根据本基金合同规定,于2026年04月20日复核了本报告中的财务指标、净值表现和投资组合报告等内容,保证复核内容不存在虚假记载、误导性陈述或者重大遗漏。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本报告期为2026年01月01日起至03月31日。本报告财务资料未经审计师审计。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584,409,104.42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91.09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584,409,104.42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91.09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56,319,978.17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8.78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824,375.88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641,553,458.47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注：本基金本报告期末通过港股通机制投资香港股票的公允价值为161,819,665.72元，占基金资产净值比例为26.02%。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30,732,773.94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323,314,517.61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51.99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8,740,496.00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6,282,839.00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3,092,040.00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27,769,527.20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18,124,364.95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2.91</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4,532,880.00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422,589,438.70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67.96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35,257,642.60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35,180,065.55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23,049,571.46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18,749,614.55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16,514,696.80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13,525,928.71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7,121,012.94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6,439,605.99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5,981,527.12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161,819,665.72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26.02</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注：本报告采用中证CICS一级分类标准编制。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115,240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51,032,881.60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67,100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38,207,411.00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06869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长飞光纤光缆</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128,319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20,733,764.77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永鼎股份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603,800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16,749,412.00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2.69</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00883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中国海洋石油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668,000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16,514,696.80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东山精密</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145,600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15,040,480.00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亨通光电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260,600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13,723,196.00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2.21</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01347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华虹半导体</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195,281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13,388,673.82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01818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招金矿业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456,500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12,793,336.26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300191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潜能恒信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325,400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12,505,122.00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502,344.53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322,031.35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824,375.88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1974998"/>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1、本报告期基金份额净值收益率及其与同期业绩比较基准收益率的比较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1）交银瑞安混合A：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2025年度（自基金合同生效起至2025年12月31日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2）交银瑞安混合C：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2025年度（自基金合同生效起至2025年12月31日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注：本基金的业绩比较基准为沪深300指数收益率×70%+恒生指数收益率（人民币计价）×5%+中证综合债券指数收益率×25%，每日进行再平衡过程。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交银施罗德瑞安混合型证券投资基金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份额累计份额净值增长率与业绩比较基准收益率的历史走势对比图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（2025年06月24日至2026年03月31日）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1、交银瑞安混合A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2、交银瑞安混合C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基金合同生效日为2025年6月24日，基金合同生效日至报告期期末，本基金运作时间未满一年。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1974999"/>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1975000"/>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基金所拥有的股票、债券、资产支持证券、股指期货和其他投资等持续以公允价值计量的金融资产及负债。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包括股票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3、对于已上市或已挂牌转让的不含权固定收益品种（另有规定的除外），选取第三方估值基准服务机构提供的相应品种当日的估值全价进行估值。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4、对于已上市或已挂牌转让的含权固定收益品种（另有规定的除外），选取第三方估值基准服务机构提供的相应品种当日的唯一估值全价或推荐估值全价进行估值。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6、对于未上市或未挂牌转让且不存在活跃市场的固定收益品种，采用在当前情况下适用并且有足够可利用数据和其他信息支持的估值技术确定其公允价值。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8、同一证券同时在两个或两个以上市场交易的，按证券所处的市场分别估值。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9、估值计算中涉及港币对人民币汇率的，将依据下列信息提供机构所提供的汇率为基准：当日中国人民银行或其授权机构公布的人民币与港币的中间价。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10、对于因税收规定调整或其他原因导致本基金实际交纳税金与估算的应交税金有差异的，本基金将在相关税金调整日或实际支付日进行相应的会计处理。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本基金在每个工作日计算基金资产净值及各类基金份额净值时，将统一按前一日基金资产净值的1.20%的年费率计算管理费，投资者实际承担的管理费将依据基金合同“第十五部分 基金费用与税收”的约定计算和收取。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1、基金管理人或基金托管人按估值方法的第12项进行估值时，所造成的误差不作为基金资产估值错误处理。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1975001"/>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3、本基金收益分配方式为现金分红；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基金合同的约定以及对基金份额持有人利益无实质性不利影响的前提下，基金管理人可在与基金托管人协商一致，并按照监管部门要求履行适当程序后对基金收益分配原则进行调整，不需召开基金份额持有人大会，但应于变更实施日前在规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1975002"/>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1、基金管理人的管理费（包含固定管理费、或有管理费和超额管理费）；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每一基金份额的持有期限与持有期间年化收益率，在赎回基金份额或基金合同终止的情形发生时确定该笔基金份额对应的管理费。当投资者赎回基金份额或基金合同终止的情形发生时，持有期限不足一年（即365天，下同），则按1.20%年费率收取管理费；持有期限达到一年及以上，则根据持有期间年化收益率分为以下三种情况，分别确定对应的管理费率档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持有期间相对业绩比较基准的年化超额收益率（扣除超额管理费后）超过6%且持有收益率（扣除超额管理费后）为正，按1.50%年费率确认管理费；若持有期间的年化超额收益率在-3%及以下，按0.60%年费率确认管理费；其他情形按1.20%年费率确认管理费。</w:t>
      </w:r>
    </w:p>
    <w:tbl>
      <w:tblPr>
        <w:tblStyle w:val="14"/>
        <w:tblW w:w="5000" w:type="pct"/>
        <w:tblInd w:w="0" w:type="dxa"/>
        <w:tblLayout w:type="autofit"/>
        <w:tblCellMar>
          <w:top w:w="0" w:type="dxa"/>
          <w:left w:w="0" w:type="dxa"/>
          <w:bottom w:w="0" w:type="dxa"/>
          <w:right w:w="0" w:type="dxa"/>
        </w:tblCellMar>
      </w:tblPr>
      <w:tblGrid>
        <w:gridCol w:w="2167"/>
        <w:gridCol w:w="6503"/>
      </w:tblGrid>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持有期间年化收益率（R）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管理费率（年费率）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R＞Rb+6%，R＞0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1.50%/年</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R≤Rb-3%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0.60%/年</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其他情形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1.20%/年</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注：①R为该笔基金份额的年化收益率，Rb为本基金业绩比较基准同期年化收益率。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特别的，当持有期限达到一年及以上，R＞Rb+6%且R＞0的情形下，若拟扣除超额管理费后的年化收益率小于等于Rb+6%，或小于等于0时，仍按1.20%年费率收取该笔基金份额的管理费，以使得该笔基金份额在扣除超额管理费后的年化收益率仍需满足本基金收取超额管理费的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具体而言，本基金的管理费包含固定管理费、或有管理费和超额管理费，按以下方式计算和确认。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1）固定管理费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固定管理费按前一日基金资产净值的0.60%年费率每日计提。固定管理费的计算方法如下：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H1＝E×0.60%÷当年天数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H1为每日应计提的固定管理费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固定管理费每日计提，逐日累计至每个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2）或有管理费和超额管理费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或有管理费按前一日基金资产净值的0.60%年费率每日计提。或有管理费的计算方法如下：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H2＝E×0.60%÷当年天数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H2为每日应计提的或有管理费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基金份额或基金合同终止的情形发生时，若该笔基金份额持有天数达到或超过365天，且该笔基金份额的持有收益率R符合下表“情形一”的收取情形，或有管理费为0，则该笔基金份额持有期内计提的或有管理费将全额随赎回款（或清算款）一并返还给投资者；在其他情形下，该笔基金份额持有期内计提的或有管理费应确认为应由管理人收取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本基金每日预估计算并记录每笔基金份额的超额管理费，基金超额管理费的预估计算方法如下：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H3＝E×0.30%÷当年天数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H3为每日预估计算的基金超额管理费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笔基金份额的超额管理费每日预估计算，但不从基金资产中实际计提，逐日累计。投资者赎回基金份额或基金合同终止的情形发生时，当且仅当该笔基金份额持有天数达到或超过365天，且该笔基金份额的年化收益率（R）符合下表“情形三”的收取情形，将从该笔基金份额的赎回款（或清算款）中扣除0.30%年费率的超额管理费，并随已计提的或有管理费一同确认为应由管理人收取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当投资者赎回基金份额或基金合同终止的情形发生时，本基金根据以下三种情形确认应实际收取的或有管理费和超额管理费：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收取情形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年化收益率（R）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或有管理费（年费率）</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超额管理费（年费率）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情形一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R≤Rb-3%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情形二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其他情形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情形三</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R＞Rb+6%，R＞0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情形三”，若拟扣除超额管理费后的年化收益率小于等于Rb+6%，或小于等于0时，仍按1.20%年费率收取该笔基金份额的管理费，以使得该笔基金份额在扣除超额管理费后的年化收益率仍需满足本基金收取超额管理费的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每笔基金份额的年化收益率（R）计算方法如下：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42pt;width:153pt;" filled="f" o:preferrelative="t" stroked="f" coordsize="21600,21600">
            <v:path/>
            <v:fill on="f" focussize="0,0"/>
            <v:stroke on="f" joinstyle="miter"/>
            <v:imagedata r:id="rId14"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拟扣除超额管理费后的年化收益率（R*）的计算方法如下：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8" o:spt="75" type="#_x0000_t75" style="height:42pt;width:230.25pt;" filled="f" o:preferrelative="t" stroked="f" coordsize="21600,21600">
            <v:path/>
            <v:fill on="f" focussize="0,0"/>
            <v:stroke on="f" joinstyle="miter"/>
            <v:imagedata r:id="rId15"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R为该笔基金份额的年化收益率；Rb为本基金业绩比较基准同期年化收益率；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A为该笔基金份额赎回日或基金合同终止情形发生日的基金份额累计净值；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B为该笔基金份额认购/申购日的基金份额累计净值，其中份额认购日的基金份额（累计）净值为1.00元；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C为该笔基金份额认购/申购日的基金份额净值，其中份额认购日的基金份额净值为1.00元；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D为基金合同生效日（针对募集期内认购的基金份额）或该笔基金份额申购确认日与赎回确认日或基金合同终止情形发生日下一工作日的间隔天数；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F为该笔基金份额的份额数；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MC为该笔基金份额持有期内累计计算的超额管理费。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已经确认为管理人收入的或有管理费和超额管理费，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基金合同的约定的情况下，基金管理人可根据基金实际运作情况和市场环境变化，经履行适当程序后，对本基金的管理费（含固定管理费、或有管理费和超额管理费）计提标准或收取方式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H＝E×0.6%÷当年天数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C类基金份额的销售服务费将专门用于本基金的市场推广、销售与基金份额持有人服务。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包含固定管理费、或有管理费和超额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1975003"/>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7、基金托管人每月与基金管理人就基金的会计核算、报表编制等进行核对并以书面方式或双方认可的其他方式确认。</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1975004"/>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w:t>
      </w:r>
      <w:r>
        <w:rPr>
          <w:rFonts w:hint="eastAsia" w:ascii="宋体" w:hAnsi="宋体"/>
          <w:kern w:val="0"/>
          <w:sz w:val="24"/>
        </w:rPr>
        <w:t>本基金的信息披露应符合《基金法》、《运作办法》、《信息披露办法》、《流动性风险管理规定》、《基金合同》及其他有关规定。相关法律法规关于信息披露的规定发生变化时，本基金从其最新规定。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w:t>
      </w:r>
      <w:r>
        <w:rPr>
          <w:rFonts w:hint="eastAsia" w:ascii="宋体" w:hAnsi="宋体"/>
          <w:kern w:val="0"/>
          <w:sz w:val="24"/>
        </w:rPr>
        <w:t>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基金管理人应当在中期报告和年度报告中披露固定管理费、或有管理费和超额管理费收取情况。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（15）管理费（包含固定管理费、或有管理费和超额管理费）、托管费、销售服务费、申购费、赎回费等费用计提标准、计提方式和费率发生变更；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13、基金投资股指期货情况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交易政策、持仓情况、损益情况、风险指标等，并充分揭示股指期货交易对基金总体风险的影响以及是否符合既定的投资政策和投资目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14、基金投资港股通标的股票情况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1975005"/>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1、本基金实施侧袋机制的，管理费（包含固定管理费、或有管理费和超额管理费）、托管费等按主袋账户基金资产净值作为基数计提。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2、与侧袋账户有关的费用可从侧袋账户中列支，但应待侧袋账户资产变现后方可列支，有关费用可酌情收取或减免，但不得收取管理费（包含固定管理费、或有管理费和超额管理费）。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1975006"/>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基金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3、浮动管理费模式相关风险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（1）本基金的管理费由固定管理费、或有管理费和超额管理费组成，其中或有管理费和超额管理费取决于每笔基金份额的持有时长和持有期间年化收益率水平（详见基金合同“第十五部分 基金费用与税收”），因此投资者在认/申购本基金时无法预先确定本基金的整体管理费水平。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本基金在计算基金份额净值时，按前一日基金资产净值的1.20%年费率计算管理费，该费率可能高于或低于不同投资者最终适用的管理费率。在基金份额赎回或基金合同终止的情形发生时，基金投资者实际收到的赎回款项或清算款项的金额可能与按披露的基金份额净值计算的结果存在差异。投资者的实际赎回金额和清算资金以登记机构确认数据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（3）本基金采用浮动管理费的收费模式，不代表基金管理人对基金收益的保证。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5、投资股指期货的特定风险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（2）流动性风险是指由于股指期货合约无法及时变现所带来的风险。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（5）信用风险是指期货经纪公司违约而产生损失的风险。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8、投资港股通标的股票的特定风险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1975007"/>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并扣除相应的超额管理费（如涉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1975008"/>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（3）依照《基金合同》收取基金管理费（包含固定管理费、或有管理费和超额管理费）以及法律法规规定或中国证监会批准的其他费用；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情况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（8）复核、审查基金管理人计算的基金资产净值、各类基金份额净值、基金份额申购、赎回价格；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5）调整基金管理人、基金托管人的报酬标准或提高销售服务费率；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4）因法规政策调整而需要修订业绩比较基准或调整管理费（包含固定管理费、或有管理费和超额管理费）收取标准；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7）在法律法规允许的情况下，且在对现有基金份额持有人利益无实质性不利影响的前提下，在履行适当程序后，基金推出新业务或服务；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8）在符合法律法规及本基金合同规定、并且对基金份额持有人利益无实质性不利影响的前提下，调整本基金份额类别的设置、对基金份额分类办法及规则进行调整；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并扣除相应的超额管理费（如涉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《基金合同》受中国法律（为本基金合同之目的，不含港澳台地区法律）管辖并从其解释。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1975009"/>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 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办公地址：上海博成路1388号浦银中心A栋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法定代表人：张为忠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成立日期：1992年10月19日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基金托管业务资格批准机关：中国证监会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基金托管业务资格文号：证监基金字[2003]105号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批准设立机关和批准设立文号：中国人民银行银复（1992）350号文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注册资本：人民币293.52亿元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经营期限：永久存续</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1、基金托管人对基金管理人的投资行为行使监督权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（1）基金托管人根据有关法律法规的规定和《基金合同》的约定，对下述基金投资范围、投资对象进行监督。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本基金将投资于以下金融工具：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本基金不得投资于相关法律、法规、部门规章及《基金合同》禁止投资的投资工具。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（2）基金托管人根据有关法律法规的规定及《基金合同》的约定对下述基金投融资比例进行监督：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A、按法律法规的规定及《基金合同》的约定，本基金的投资资产配置比例为：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因基金规模或市场变化等因素导致投资组合不符合上述规定的，基金管理人应在合理的期限内调整基金的投资组合，以符合上述比例限定。法律法规另有规定时，从其规定。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B、根据法律法规的规定及《基金合同》的约定，本基金投资组合遵循以下投资限制：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法律法规或监管部门取消或者变更上述限制，如适用于本基金，基金管理人在履行适当程序后，则本基金投资不再受相关限制或以变更后的规定为准。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（3）基金托管人根据有关法律法规的规定及《基金合同》的约定对下述基金投资禁止行为进行监督：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根据法律法规的规定及《基金合同》的约定，本基金禁止从事下列行为：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如法律、行政法规或监管部门取消或变更上述禁止性规定，如适用于本基金，基金管理人在履行适当程序后，本基金可不受上述规定的限制或以变更后的规定为准。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（4）基金托管人依据有关法律法规的规定和《基金合同》的约定对于基金关联投资限制进行监督。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基金合同》有关于基金从事关联交易的规定，基金管理人和基金托管人事先相互提供关联方清单及关联关系（以下称“关联交易名单”）。双方有责任确保向对方提供的关联交易名单的真实性、准确性、完整性，并负责及时将更新后的名单发送给对方。名单变更后双方应及时发送对方，经对方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基金托管人根据基金管理人提供的银行间债券市场交易对手名单进行监督。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（6）基金托管人依据有关法律法规的规定和《基金合同》的约定，对基金银行存款业务进行监督。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如果基金托管人在运作过程中遵循有关法律法规的规定和《基金合同》的约定监督流程，则对于由于存款银行信用风险引起的损失，不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（7）基金托管人对基金投资流通受限证券的监督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如下所指“流通受限证券”与本协议以及基金合同所指“流动性受限资产”定义存在不同。就流动性受限资产定义，请参照基金合同的“第二部分 释义”部分。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等问题的应对解决措施，以及有关异常情况的处置。基金管理人应在首次投资流通受限证券前向基金托管人提供基金投资非公开发行股票的相关流动性风险处置预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对本基金因投资流通受限证券导致的流动性风险，基金托管人不承担相应责任。如因基金管理人原因导致本基金出现损失的，基金托管人不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在基金投资非公开发行股票后按照相关法律法规规定，在中国证监会规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关基金投资的流通受限证券应保证登记存管在相关基金名下，基金管理人负责相关工作的落实和协调，并保证基金托管人能够正常查询。如因流通受限证券的登记存管不能保证基金托管人正常履行资产保管责任，有关此项基金资产存管的责任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未遵守相关制度、流动性风险处置方案以及投资额度和比例限制要求，导致基金出现风险使基金托管人承担连带赔偿责任的，若基金托管人此前已切实履行监督职责的，基金管理人应赔偿基金托管人由此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非公开发行股票，基金管理人应至少于执行投资指令之前两个工作日将有关资料书面提交基金托管人，并保证向基金托管人提供的有关资料真实、准确、完整。有关资料如有调整，基金管理人应及时提供调整后的资料。上述书面资料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①中国证监会批准发行非公开发行股票的批准文件。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②有关非公开发行股票的发行数量、发行价格、锁定期等发行资料。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③基金拟认购的数量、价格、总成本、账面价值。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④该基金投资流通受限证券的投资额度和投资比例控制。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资料的权利。否则，基金托管人有权拒绝执行有关指令。因拒绝执行该指令造成基金财产损失的，基金托管人不承担相应责任，并有权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如基金管理人和基金托管人无法就上述问题达成一致，应及时上报中国证监会请求解决。基金托管人履行了本协议规定的监督职责后，不承担相应责任。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⑥相关法律法规对基金投资流通受限证券有新规定的，从其规定。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对基金投资中期票据的监督责任仅限于依据本协议相关规定对投资比例和投资限制进行事后监督；除此外，无其它监督责任。如发现异常情况，应及时以书面形式通知基金管理人。基金管理人应积极配合和协助基金托管人进行监督和核查。基金因投资中期票据导致的信用风险、流动性风险，基金托管人不承担相应责任。如因基金管理人原因导致基金出现损失的，基金托管人不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人发出回函，进行解释或举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积极配合和协助基金托管人依照法律法规、《基金合同》和本托管协议对基金业务的监督和核查，对基金托管人发出的书面提示，必须在规定时间内答复基金托管人并改正，或就基金托管人的合理疑义进行解释或举证，对基金托管人按照法律法规、《基金合同》和本托管协议的要求需向中国证监会报送基金监督报告的，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托管人发现基金管理人发出但未执行的投资指令或依据交易程序已经生效的投资指令违反法律、行政法规和其他有关规定，或者违反《基金合同》约定的，应当立即通知基金管理人，并报告中国证监会。基金管理人的上述违规失信行为给基金财产或基金份额持有人造成的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基金托管人发现基金管理人有重大违规行为，应立即报告中国证监会，同时通知基金管理人限期纠正。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基金托管人履行托管职责情况进行核查，核查事项包括但不限于基金托管人是否安全保管基金财产、是否分别开设基金财产的资金账户、证券账户、期货结算账户及投资所需其他账户、是否复核基金管理人计算的基金资产净值和各类基金份额净值、是否根据基金管理人指令办理清算交收、进行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按本协议规定安全保管托管财产。未经基金管理人的指令，不得自行运用、处分、分配基金的任何财产（基金托管人主动扣收的汇划费除外）。基金托管人不对处于自身实际控制之外的账户及财产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（3）基金托管人按照规定为托管的基金财产开设资金账户、证券账户、期货结算账户及投资所需其他账户。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2、募集资金的验证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募集期内销售机构按销售与服务协议的约定，将认购资金划入基金管理人在具有托管资格的商业银行开设的“交银施罗德基金管理有限公司基金认购专户”。该账户由基金管理人开立并管理。基金募集期满或基金管理人宣布停止募集时，募集的基金份额总额、基金募集金额、基金份额持有人人数符合《基金法》、《运作办法》等有关规定后，由基金管理人聘请符合《中华人民共和国证券法》规定的会计师事务所进行验资，出具验资报告，出具的验资报告应由参加验资的2名以上（含2名）中国注册会计师签字方为有效。验资完成，基金管理人应将募集的属于本基金财产的全部资金划入基金托管人为基金开立的资产托管专户中，并确保划入的资金与验资金额相一致。基金托管人收到有效认购资金当日以书面形式确认资金到账情况，并及时将资金到账凭证传真给基金管理人，双方进行账务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若基金募集期限届满，未能达到《基金合同》生效的条件，由基金管理人按规定办理退款事宜，基金托管人应提供充分协助。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3、基金资产托管专户的开立和管理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的名义在其营业机构开设资产托管专户（亦称托管账户），并根据基金管理人合法合规的有效指令办理资金收付。基金管理人应根据法律法规及基金托管人的相关要求，提供开户所需的资料并提供其他必要协助。本基金的资产托管专户的预留印鉴的印章由基金托管人刻制、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一切货币收支活动，均需通过基金的资产托管专户进行。基金的资产托管专户的开立和使用，限于满足开展本基金业务的需要。除因本基金业务需要，基金托管人和基金管理人不得假借本基金的名义开立其他任何银行账户；亦不得使用以基金名义开立的银行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资产托管专户的管理应符合《人民币银行结算账户管理办法》、《人民币利率管理规定》、《支付结算办法》以及银行业监督管理机构的其他有关规定。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4、基金证券账户与结算备付金账户的开设和管理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基金托管人以基金托管人和本基金联名的方式在中国证券登记结算有限责任公司上海分公司/深圳分公司开立专门的证券账户。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基金证券账户的开立和使用，限于满足开展本基金业务的需要。基金托管人和基金管理人不得出借和未经对方同意擅自转让本基金的任何证券账户；亦不得使用本基金的任何证券账户进行本基金业务以外的活动。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基金证券账户的开立和原始开户材料的保管由基金托管人负责，账户资产的管理和运用由基金管理人负责。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的名义在中国证券登记结算有限责任公司上海分公司/深圳分公司开立结算备付金账户，基金托管人代表所托管的基金完成与中国证券登记结算有限责任公司的一级法人清算工作，基金管理人应予以积极协助。结算备付金、证券结算保证金等的收取按照中国证券登记结算有限责任公司的规定和基金托管人为履行结算参与人的义务所制定的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5、银行间市场债券托管和资金结算专户的开立和管理及市场准入备案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符合监管机构要求的情况下，基金管理人负责以基金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托管人协助基金管理人完成银行间债券市场准入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（1）因业务发展而需要开立的其它账户，可以根据《基金合同》或有关法律法规的规定，经基金管理人和基金托管人协商一致后，由基金托管人负责为基金开立。新账户按有关规则使用并管理。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7、基金投资银行存款账户的开立和管理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基金投资银行定期存款，基金管理人与基金托管人应比照相关规定，就本基金投资银行存款业务签订书面协议。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存款账户必须以基金名义开立，账户名称为基金名称，存款账户开户文件上加盖预留印鉴及基金管理人公章。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本基金投资银行存款时，基金管理人应当与存款银行签订具体存款协议，明确存款的类型、期限、利率、金额、账号、对账方式、支取方式、账户管理等细则。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为防范特殊情况下的流动性风险，定期存款协议中应当约定提前支取条款。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基金所投资定期存款存续期间，基金管理人、基金托管人应当与存款银行建立定期对账机制，确保基金银行存款业务账目及核对的真实、准确。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8、基金财产投资的有关实物证券、银行定期存款存单等有价凭证的保管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实际有效控制下的实物证券等有价凭证在基金托管人保管期间的损坏、灭失，由此产生的责任应由基金托管人承担。基金托管人对基金托管人以外机构实际有效控制或保管的实物证券、银行定期存款存单对应的财产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30个工作日内通过专人送达、挂号邮寄等安全方式将合同原件送达基金托管人处。合同原件应存放于基金管理人和基金托管人各自文件保管部门，保管期限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对于无法取得二份以上的正本的，基金管理人应向基金托管人提供与合同原件核对一致的并加盖基金管理人公章的合同传真件或复印件，未经双方协商一致，合同原件不得转移。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（五）基金资产净值计算、估值和会计核算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1、基金资产净值的计算、复核的时间和程序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负债后的价值。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基金管理人应对基金资产估值，但基金管理人根据法律法规或基金合同的规定暂停估值时除外。估值原则应符合《基金合同》、《证券投资基金会计核算业务指引》及其他法律、法规的规定。基金管理人应于每个工作日交易结束后计算当日的各类基金份额净值和基金资产净值并以双方认可的方式发送给基金托管人。基金托管人对净值计算结果复核后以双方认可的方式发送给基金管理人，由基金管理人按约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基金管理人计算并公告基金净值信息，基金托管人复核、审查基金管理人计算的基金净值信息。本基金的会计责任方是基金管理人，就与本基金有关的会计问题，如经相关各方在平等基础上充分讨论后，仍无法达成一致的意见，按照基金管理人对基金净值信息的计算结果对外予以公布。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估值原则应符合《基金合同》、《证券投资基金会计核算业务指引》及其他法律法规的规定的约定。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当相关法律法规或《基金合同》规定的估值方法不能客观反映基金财产公允价值时，基金管理人可根据具体情况，并与基金托管人商定后，按最能反映公允价值的价格估值。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基金份额净值小数点后4位以内(含第4位)发生差错时，视为基金份额净值错误；基金份额净值计算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当因基金管理人和基金托管人原因致使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的，在基金份额净值出错且造成基金份额持有人直接损失的，应根据法律法规的规定对基金份额持有人或基金支付赔偿金，对于向基金份额持有人或基金支付的赔偿金额，基金管理人与基金托管人按照各自收取的管理费和托管费的比例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直接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4）由于基金管理人提供的信息错误（包括但不限于基金申购或赎回金额等），导致基金份额净值计算错误而引起的基金份额持有人和基金财产的损失，由基金管理人负责赔付。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由于不可抗力原因，或由于证券、期货交易所、证券经纪机构、期货公司及登记结算公司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法律法规、中国证监会和《基金合同》认定的其他情形。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7、基金定期报告、基金招募说明书的编制和复核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规定网站上；基金招募说明书其他信息发生变更的，基金管理人至少每年更新一次。基金管理人在季度结束之日起15个工作日内完成季度报告编制并公告；在上半年结束之日起两个月内完成中期报告编制并公告；在每年结束之日起三个月内完成年度报告编制并公告。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每月结束后5个工作日内完成月度报告，在月度报告完成当日，对报告加盖公章后，以加密传真方式将有关报告提供基金托管人复核；基金托管人在3个工作日内进行复核，并将复核结果及时书面通知基金管理人。基金管理人在每季度结束后7个工作日内完成季度报告，在季度报告完成当日，将有关报告提供基金托管人复核，基金托管人在收到后7个工作日内进行复核，并将复核结果书面通知基金管理人。基金管理人在基金会计年度前六个月结束后30日内完成中期报告，在中期报告完成当日，将有关报告提供基金托管人复核，基金托管人在收到后30日内进行复核，并将复核结果书面通知基金管理人。基金管理人在基金会计年度结束后45日内完成年度报告，在年度报告完成当日，将有关报告提供基金托管人复核，基金托管人在收到后45日内复核，并将复核结果书面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如果基金管理人与基金托管人不能于应当发布公告之日之前就相关报表达成一致，基金管理人有权按照其编制的报表对外发布公告，基金托管人有权就相关情况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基金的基金登记机构根据基金管理人的指令编制和保管，基金管理人应按照目前相关规则保管基金份额持有人名册。保管方式可以采用电子或文档的形式。保管期限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编制中期报告和年度报告前，基金管理人应将每年6月30日、12月31日的基金持有人名册送交基金托管人，文件方式可以采用电子或文档的形式并且保证其的真实、准确、完整。基金托管人应妥善保管，不得将持有人名册用于基金托管业务以外的其他用途。</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1、本协议适用中华人民共和国法律（为本协议之目的，在此不包括香港、澳门特别行政区和台湾地区法律），并从其解释。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双方当事人同意，因本协议而产生的或与本协议有关的一切争议，除经友好协商可以解决的，任何一方均有权将争议提交上海国际经济贸易仲裁委员会，根据该会届时有效的仲裁规则进行仲裁，仲裁的地点在上海市，仲裁裁决是终局性的并对双方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（八）托管协议的变更、终止与基金财产的清算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本协议双方当事人经协商一致，可以对协议的内容进行变更。变更后的托管协议，其内容不得与《基金合同》的规定有任何冲突，基金托管协议的变更按规定报中国证监会备案。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发生以下情况，本托管协议终止：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2）基金托管人解散、依法被撤销、破产或有其他基金托管人接管基金资产；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3）基金管理人解散、依法被撤销、破产或有其他基金管理人接管基金管理权；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（2）在基金财产清算小组接管基金财产之前，基金管理人和基金托管人应按照《基金合同》和本托管协议的规定继续履行保护基金财产安全的职责。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（7）基金财产按下列顺序清偿：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1）支付清算费用；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2）交纳所欠税款；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3）清偿基金债务；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基金财产未按前款1)－3)项规定清偿前，不分配给基金份额持有人。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1975010"/>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1、基金合同生效后的每次交易结束后，投资人可在T+2个工作日后通过销售机构的网点查询和打印确认单；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转换等业务等。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1975011"/>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交银施罗德瑞安混合型发起式证券投资基金基金合同摘要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交银施罗德瑞安混合型证券投资基金基金份额发售公告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交银施罗德瑞安混合型证券投资基金基金合同及招募说明书提示性公告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交银施罗德瑞安混合型证券投资基金招募说明书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交银施罗德瑞安混合型证券投资基金（A类份额）基金产品资料概要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交银施罗德瑞安混合型证券投资基金（C类份额）基金产品资料概要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交银施罗德基金管理有限公司关于增加交银施罗德瑞安混合型证券投资基金销售机构的公告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交银施罗德基金管理有限公司关于增加交银施罗德瑞安混合型证券投资基金销售机构的公告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交银施罗德基金管理有限公司关于增加交银施罗德瑞安混合型证券投资基金销售机构的公告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交银施罗德基金管理有限公司关于增加交银施罗德瑞安混合型证券投资基金销售机构的公告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交银施罗德基金管理有限公司关于增加交银施罗德瑞安混合型证券投资基金销售机构的公告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交银施罗德基金管理有限公司关于交银施罗德瑞安混合型证券投资基金基金合同生效公告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交银施罗德基金管理有限公司关于交银施罗德瑞安混合型证券投资基金开放日常申购、赎回、转换、定期定额投资业务的公告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交银施罗德基金管理有限公司关于旗下基金所持停牌股票估值调整的公告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1975012"/>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1975013"/>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（一）中国证监会准予交银施罗德瑞安混合型证券投资基金募集注册的文件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（二）《交银施罗德瑞安混合型证券投资基金基金合同》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（三）《交银施罗德瑞安混合型证券投资基金托管协议》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（六）关于申请募集注册交银施罗德瑞安混合型证券投资基金的法律意见书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4097" o:spid="_x0000_s4097"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4098" o:spid="_x0000_s409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148</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交银施罗德瑞安混合型证券投资基金招募说明书更新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交银施罗德瑞安混合型证券投资基金招募说明书更新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交银施罗德瑞安混合型证券投资基金招募说明书更新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3,4"/>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CA3"/>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2DC4"/>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172"/>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36CC"/>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218D304B"/>
    <w:rsid w:val="240046EC"/>
    <w:rsid w:val="26CE2F65"/>
    <w:rsid w:val="275E4986"/>
    <w:rsid w:val="316F2E28"/>
    <w:rsid w:val="4D8212ED"/>
    <w:rsid w:val="55C62C5D"/>
    <w:rsid w:val="6EAC08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149</Pages>
  <Words>16056</Words>
  <Characters>91523</Characters>
  <Lines>762</Lines>
  <Paragraphs>214</Paragraphs>
  <TotalTime>1</TotalTime>
  <ScaleCrop>false</ScaleCrop>
  <LinksUpToDate>false</LinksUpToDate>
  <CharactersWithSpaces>107365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2026-06-10T01:09:00Z</dcterms:created>
  <dc:creator>系统用户</dc:creator>
  <cp:lastModifiedBy>haotingting</cp:lastModifiedBy>
  <cp:lastPrinted>2013-02-18T03:10:00Z</cp:lastPrinted>
  <dcterms:modified xsi:type="dcterms:W3CDTF">2026-06-10T03:07:05Z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EED1CBCF05BE42329A33571403126A76</vt:lpwstr>
  </property>
</Properties>
</file>