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交银施罗德丰享收益债券型证券投资基金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31974999"/>
      <w:bookmarkStart w:id="1" w:name="_Toc4968846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丰享收益债券型证券投资基金（以下简称“本基金”）经2014年9月30日中国证券监督管理委员会（以下简称“中国证监会”）证监许可【2014】1019号文准予募集注册。本基金基金合同于2015年1月19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在基金合同生效之日起两年(含两年)的期间内采取封闭式运作，按照基金合同的约定提前转换基金运作方式的情形除外。封闭期内，基金投资者不能申购、赎回本基金基金份额。本基金转入开放期后基金投资者方可申购、赎回本基金基金份额。</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其风险与预期收益高于货币市场基金，低于混合型基金和股票型基金，属于证券投资基金中中等风险的品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"_Toc231974999"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_Toc231974999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"_Toc231975000"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_Toc231975000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"_Toc231975001"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_Toc231975001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"_Toc231975002"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_Toc231975002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"_Toc231975003"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_Toc231975003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"_Toc231975004"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_Toc231975004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"_Toc231975005"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_Toc231975005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"_Toc231975006"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_Toc231975006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"_Toc231975007"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_Toc231975007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"_Toc231975008"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_Toc231975008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"_Toc231975009"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_Toc231975009 \h </w:instrText>
      </w:r>
      <w:r>
        <w:rPr>
          <w:rFonts w:ascii="宋体" w:hAnsi="宋体"/>
          <w:sz w:val="24"/>
        </w:rPr>
        <w:fldChar w:fldCharType="separate"/>
      </w:r>
      <w:r>
        <w:rPr>
          <w:rFonts w:ascii="宋体" w:hAnsi="宋体"/>
          <w:sz w:val="24"/>
        </w:rPr>
        <w:t>71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"_Toc231975010"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_Toc231975010 \h </w:instrText>
      </w:r>
      <w:r>
        <w:rPr>
          <w:rFonts w:ascii="宋体" w:hAnsi="宋体"/>
          <w:sz w:val="24"/>
        </w:rPr>
        <w:fldChar w:fldCharType="separate"/>
      </w:r>
      <w:r>
        <w:rPr>
          <w:rFonts w:ascii="宋体" w:hAnsi="宋体"/>
          <w:sz w:val="24"/>
        </w:rPr>
        <w:t>82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"_Toc231975011"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_Toc231975011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"_Toc231975012"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_Toc231975012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"_Toc231975013"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_Toc231975013 \h </w:instrText>
      </w:r>
      <w:r>
        <w:rPr>
          <w:rFonts w:ascii="宋体" w:hAnsi="宋体"/>
          <w:sz w:val="24"/>
        </w:rPr>
        <w:fldChar w:fldCharType="separate"/>
      </w:r>
      <w:r>
        <w:rPr>
          <w:rFonts w:ascii="宋体" w:hAnsi="宋体"/>
          <w:sz w:val="24"/>
        </w:rPr>
        <w:t>91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"_Toc231975014"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_Toc231975014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"_Toc231975015"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_Toc231975015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"_Toc231975016"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_Toc231975016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"_Toc231975017"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_Toc231975017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"_Toc231975018"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_Toc231975018 \h </w:instrText>
      </w:r>
      <w:r>
        <w:rPr>
          <w:rFonts w:ascii="宋体" w:hAnsi="宋体"/>
          <w:sz w:val="24"/>
        </w:rPr>
        <w:fldChar w:fldCharType="separate"/>
      </w:r>
      <w:r>
        <w:rPr>
          <w:rFonts w:ascii="宋体" w:hAnsi="宋体"/>
          <w:sz w:val="24"/>
        </w:rPr>
        <w:t>106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"_Toc231975019"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_Toc231975019 \h </w:instrText>
      </w:r>
      <w:r>
        <w:rPr>
          <w:rFonts w:ascii="宋体" w:hAnsi="宋体"/>
          <w:sz w:val="24"/>
        </w:rPr>
        <w:fldChar w:fldCharType="separate"/>
      </w:r>
      <w:r>
        <w:rPr>
          <w:rFonts w:ascii="宋体" w:hAnsi="宋体"/>
          <w:sz w:val="24"/>
        </w:rPr>
        <w:t>113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"_Toc231975020"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_Toc231975020 \h </w:instrText>
      </w:r>
      <w:r>
        <w:rPr>
          <w:rFonts w:ascii="宋体" w:hAnsi="宋体"/>
          <w:sz w:val="24"/>
        </w:rPr>
        <w:fldChar w:fldCharType="separate"/>
      </w:r>
      <w:r>
        <w:rPr>
          <w:rFonts w:ascii="宋体" w:hAnsi="宋体"/>
          <w:sz w:val="24"/>
        </w:rPr>
        <w:t>115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"_Toc231975021"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_Toc231975021 \h </w:instrText>
      </w:r>
      <w:r>
        <w:rPr>
          <w:rFonts w:ascii="宋体" w:hAnsi="宋体"/>
          <w:sz w:val="24"/>
        </w:rPr>
        <w:fldChar w:fldCharType="separate"/>
      </w:r>
      <w:r>
        <w:rPr>
          <w:rFonts w:ascii="宋体" w:hAnsi="宋体"/>
          <w:sz w:val="24"/>
        </w:rPr>
        <w:t>130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"_Toc231975022"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_Toc231975022 \h </w:instrText>
      </w:r>
      <w:r>
        <w:rPr>
          <w:rFonts w:ascii="宋体" w:hAnsi="宋体"/>
          <w:sz w:val="24"/>
        </w:rPr>
        <w:fldChar w:fldCharType="separate"/>
      </w:r>
      <w:r>
        <w:rPr>
          <w:rFonts w:ascii="宋体" w:hAnsi="宋体"/>
          <w:sz w:val="24"/>
        </w:rPr>
        <w:t>143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"_Toc231975023"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_Toc231975023 \h </w:instrText>
      </w:r>
      <w:r>
        <w:rPr>
          <w:rFonts w:ascii="宋体" w:hAnsi="宋体"/>
          <w:sz w:val="24"/>
        </w:rPr>
        <w:fldChar w:fldCharType="separate"/>
      </w:r>
      <w:r>
        <w:rPr>
          <w:rFonts w:ascii="宋体" w:hAnsi="宋体"/>
          <w:sz w:val="24"/>
        </w:rPr>
        <w:t>145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"_Toc231975024"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_Toc231975024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"_Toc231975025"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_Toc231975025 \h </w:instrText>
      </w:r>
      <w:r>
        <w:rPr>
          <w:rFonts w:ascii="宋体" w:hAnsi="宋体"/>
          <w:sz w:val="24"/>
        </w:rPr>
        <w:fldChar w:fldCharType="separate"/>
      </w:r>
      <w:r>
        <w:rPr>
          <w:rFonts w:ascii="宋体" w:hAnsi="宋体"/>
          <w:sz w:val="24"/>
        </w:rPr>
        <w:t>148</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975000"/>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丰享收益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丰享收益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975001"/>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1、基金或本基金：指交银施罗德丰享收益债券型证券投资基金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4、基金合同或《基金合同》：指《交银施罗德丰享收益债券型证券投资基金基金合同》及对基金合同的任何有效修订和补充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5、托管协议：指基金管理人与基金托管人就本基金签订之《交银施罗德丰享收益债券型证券投资基金托管协议》及对该托管协议的任何有效修订和补充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6、招募说明书、本招募说明书或《招募说明书》：指《交银施罗德丰享收益债券型证券投资基金招募说明书》及其更新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7、基金份额发售公告：指《交银施罗德丰享收益债券型证券投资基金基金份额发售公告》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8、基金产品资料概要：指《交银施罗德丰享收益债券型证券投资基金基金产品资料概要》及其更新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封闭期：指基金合同生效之日起两年(含两年)的期间内，本基金采取封闭式运作的存续期间，按照基金合同的约定提前转换基金运作方式的除外。在基金合同中如无特别指明即为自基金合同生效之日起至两个公历年后对应日止，若两年后对应日为非工作日的，相应顺延。期间基金份额保持不变，基金份额持有人不得申请申购或赎回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37、开放日：指本基金封闭期结束后转为开放式运作期间，为投资人办理基金份额申购、赎回或其他业务的工作日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43、销售服务费：指从基金资产中计提的，用于本基金市场推广、销售以及基金份额持有人服务的费用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份额类别：指本基金根据认购/申购费用、赎回费用、销售服务费收取方式的不同，将基金份额分为不同的类别。在投资人申购时收取前端申购费用、赎回时收取赎回费用的，称为A类基金份额，在投资人申购时不收取申购费用、赎回时收取后端申购费用和赎回费用的，称为B类基金份额，在投资人认购/申购时不收取认购/申购费用、赎回时收取赎回费用，且从本类别基金资产中计提销售服务费的，称为C类基金份额；本基金募集期内仅开通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975002"/>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现金宝货币市场基金(2015年05月27日至2019年08月02日)、交银施罗德理财21天债券型证券投资基金(2015年05月27日至2020年07月27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入交银施罗德基金管理有限公司，曾任中央交易室交易员、固定收益部研究员、基金经理助理，现任固定收益部基金经理。现任交银施罗德天益宝货币市场基金(2025年02月20日至今)、交银施罗德丰盈收益债券型证券投资基金(2025年02月20日至今)、交银施罗德稳益短债债券型证券投资基金(2025年02月20日至今)、交银施罗德丰享收益债券型证券投资基金(2025年02月20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孙超先生(2015年01月19日至2017年02月17日)；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姜承操女士(2024年01月10日至2025年05月30日)。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975003"/>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名称：中信银行股份有限公司（简称“中信银行”）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法定代表人：方合英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联系人：中信银行资产托管部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联系电话：4006800000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网址：www.citicbank.com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975004"/>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网址：www.fund001.com</w:t>
      </w:r>
      <w:bookmarkStart w:id="29" w:name="_GoBack"/>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个人投资者可以通过本公司网上直销交易平台办理开户、本基金A类基金份额和C类基金份额的申购、赎回、定期定额投资、转换等业务，具体交易细则请参阅基金管理人网站。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（78）名称：中信百信银行股份有限公司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住所：北京市朝阳区安定路5号院3号楼8层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办公地址：北京市朝阳区安定路5号院3号楼8-11层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法定代表人：寇冠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联系人：韩晓彤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网址：www.aibank.com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（82）名称：上海攀赢基金销售有限公司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客户服务电话：021-68889082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网址：www.weonefunds.com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联系人：孙睿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经办律师：黎明、孙睿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975005"/>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本基金由基金管理人依照《基金法》、《运作办法》、《销售办法》、基金合同及其他有关规定，并经中国证监会2014年9月30日证监许可[2014] 1019号文准予募集注册。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本基金为契约型债券型基金。本基金在基金合同生效之日起两年（含两年）的期间内封闭式运作（按照基金合同的约定提前转换基金运作方式的除外），封闭期结束后转为开放式运作。基金存续期间为不定期。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本基金自2014年12月22日至2015年1月13日进行发售。本基金设立募集期共募集259,386,490.95份基金份额，有效认购户数为1,481户。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975006"/>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根据有关规定，本基金满足基金合同生效条件，基金合同已于2015年1月19日正式生效。自基金合同生效之日起，本基金管理人正式开始管理本基金。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975007"/>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（一）申购和赎回的期间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基金合同生效之日起两年(含两年)的期间内，采取封闭式运作（按照基金合同的约定提前转换基金运作方式的除外）。封闭期内，基金投资者不能申购、赎回本基金基金份额。基金封闭期结束，本基金转为开放式运作，基金投资者方可申购、赎回本基金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本基金直销机构为基金管理人以及基金管理人的网上直销交易平台（网站及APP）。</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本基金在基金合同生效之日起两年 (含两年)的期间内采取封闭式运作（按照基金合同的约定提前转换基金运作方式的除外）。封闭期内，基金投资者不能申购、赎回本基金基金份额。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本基金已于2017年1月20日起开放A类基金份额和C类基金份额的申购、赎回业务。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B类和C类基金份额。投资人申购A类基金份额在申购时支付申购费用，申购B类基金份额在赎回时才支付相应的申购费用，申购C类基金份额不支付申购费用，而是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本基金B类基金份额的申购费率如下：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B类基金份额后端申购费率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持有A/B类基金份额的投资人因红利自动再投资而产生的A/B类基金份额，不收取相应的申购费用。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基金份额收取赎回费用，该费用随基金份额的持有时间递减。本基金基金份额的赎回费用由基金份额赎回人承担，赎回费总额的25%应归基金财产，其余用于支付登记费和其他必要的手续费。其中，对持续持有期少于7日的投资者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7日（含）—6个月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6个月以上（含）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上表中的‘月’指的是30个自然日。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本基金B类基金份额的赎回费率如下：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5" o:spt="75" type="#_x0000_t75" style="height:54pt;width:216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即：某投资者（非养老金客户）投资100,000元申购本基金，假设申购当日A/B类基金份额净值为1.0400元，如果其选择申购A类基金份额，则其可得到95,390.72份基金份额。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即：该养老金客户投资100,000元通过基金管理人的直销柜台申购本基金的A类基金份额，假设申购当日A/B类基金份额净值为1.0400元，则其可得到95,847.13份A类基金份额。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6" o:spt="75" type="#_x0000_t75" style="height:54pt;width:216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当投资者提出赎回时，后端申购费用的计算方法为：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后端申购费用＝赎回份额×T日A/B类基金份额净值×后端申购费率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例五：某投资者赎回100,000份A类基金份额，对应的赎回费率为0.1%，假设赎回当日A类基金份额净值是1.0160元，则其可得到的赎回金额为：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即：投资者赎回100,000份A类基金份额，对应的赎回费率为0.1%，假设赎回当日A类基金份额净值是1.0160元，则其可得到的赎回金额为101,498.40元。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如果投资者赎回B类基金份额，则赎回金额的计算方法如下：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赎回总额＝赎回份额×T日B类基金份额净值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赎回金额＝赎回总额－后端申购费用－赎回费用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例六：某投资者赎回100,000份B类基金份额，对应的后端申购费率是1.0%，赎回费率为0.1%，假设赎回当日B类基金份额净值是1.0160元，申购时的B类基金份额净值为1.0100元，则其可得到的赎回金额为：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赎回总额=100,000×1.0160=101,600.00元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后端申购费用=100,000×1.0100×1.0%=1,010.00元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赎回金额=101,600-1,010.00-101.60=100,488.40元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B类基金份额，对应的赎回费率为0.1%，假设赎回当日B类基金份额净值是1.0160元，投资者对应的后端申购费率是1.0%，申购时的B类基金份额净值为1.0100元，则其可得到的赎回金额为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赎回金额=100,000×1.2500-0=125,000.00 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A/B类基金份额净值＝A/B类基金份额的基金资产净值总额/发行在外的A/B类基金份额总数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4、接受某笔或某些申购申请将损害现有基金份额持有人利益时。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5、继续接受赎回申请将损害现有基金份额持有人利益的情形时，可暂停接受投资人的赎回申请。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本基金2017年1月18日刊登公告自2017年1月20日起开通定期定额投资计划业务，具体开通销售机构名单和业务规则参见相关公告。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（十七）基金上市交易和场内申购赎回业务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改变本基金的风险收益特征且未来系统条件允许的情况下，基金管理人可以根据相关证券交易所上市交易规则并履行适当程序，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相关法律法规、对基金份额持有人无实质性不利影响的前提下，基金管理人可办理基金份额的质押业务、转让业务或其他基金业务，基金管理人可制定相应的业务规则，并依照《信息披露办法》的有关规定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（十九）实施侧袋机制期间本基金的申购与赎回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975008"/>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本基金2022年9月5日刊登公告自2022年9月8日起开放日常转换业务。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975009"/>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在严格控制风险和追求资产稳健增值的基础上,力求获得高于业绩基准的投资收益。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基金的投资组合比例为投资于债券资产的比例不低于基金资产的80%，但在封闭期结束转开放的前后三个月内，基金投资不受上述债券资产投资比例限制。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（三）封闭期内的投资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充分利用封闭式运作优势，以买入持有和杠杆套息等为基本投资策略，获取稳定收益；同时，本基金将严格控制信用风险，在严谨深入的信用分析基础上，综合考量信用债券的信用评级，以及各类债券的流动性、供求关系和收益率水平等，自下而上精选个券。本基金采用的主要策略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（2）买入持有策略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在精选个券基础上，本基金主要通过买入与封闭期适度匹配的债券，并持有到期，或者是持有回售期与封闭期适度匹配的债券，获得本金和票息收入。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（3）杠杆套息策略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控制组合整体风险的基础上，综合考虑债券持有期内的票息收入和融资成本之间的息差，通过实施正回购融入资金并投资于中高等级信用债券等可投资标的，实现杠杆放大获取债券持有期内债券票息和融资成本之间的息差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严控信用风险，通过宏观经济运行、发行主体的发展前景和偿债能力、国家信用支撑等多重因素的综合考量对信用债券进行信用评级，并在信用评级的基础上，建立信用债券池；然后基于既定的投资期限、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两年期银行定期存款税后收益率。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本基金封闭两年，力求在封闭期内为基金资产实现稳健的当期收益，因此两年期银行定期存款税后收益率是较为合适的业绩比较基准。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停止计算编制或更改名称，或者今后法律法规发生变化，又或者市场推出更具权威、且更能够表征本基金风险收益特征的基准，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（四）转为开放式运作后的投资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（5）本基金在封闭期内，基金总资产不超过基金净资产的200%；在开放期内，基金总资产不超过基金净资产的140%；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（11）本基金不直接在二级市场买入股票、权证等权益类资产，也不参与一级市场新股申购和新股增发。同时本基金不参与可转换债券投资（分离交易可转债的纯债部分除外）；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（12）本基金进入全国银行间同业市场进行债券回购的资金余额不得超过基金资产净值的40%；债券回购最长期限为1年，债券回购到期后不得展期；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10）、（13）、（14）项外，因证券市场波动、证券发行人合并、基金规模变动、股权分置改革中支付对价等基金管理人之外的因素致使基金投资比例不符合上述规定投资比例的，基金管理人应当在10个交易日内进行调整，但中国证监会规定的特殊情况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（七）基金的融资融券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本基金可以根据有关法律法规和政策的有关规定进行融资、融券。</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（八）基金管理人代表基金行使债权人权利的处理原则及方法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2,269,834,911.94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2,269,834,911.94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2,443,141.82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3,737,924.37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2,276,015,978.13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9,218,604.40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357,430,471.23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173,539,723.29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326,571,326.91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10,128,071.23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1,556,144,460.27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10,341,977.90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2,269,834,911.94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102481905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24青岛海控MTN002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62,030,117.26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230413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23农发13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61,047,780.82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102400659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24陕西金控MTN001A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60,675,912.33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102480932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24物产中大MTN001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60,617,868.49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102480733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24格力MTN002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60,615,744.66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2025年08月01日,国家金融监督管理总局公示行政处罚决定书,给予中国农业发展银行1020万元人民币的行政处罚。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9,950.83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3,727,973.54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3,737,924.37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975010"/>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（1）交银丰享收益债券A：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2017年度（自2017年1月20日起至2017年12月31日）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（2）交银丰享收益债券C：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2015年度（自基金合同生效日起至2015年12月31日）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交银施罗德丰享收益债券型证券投资基金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累计份额净值增长率与业绩比较基准收益率的历史走势对比图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（2015年1月19日至2026年03月31日）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1．交银丰享收益债券A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2．交银丰享收益债券C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975011"/>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975012"/>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首次公开发行未上市的债券，采用估值技术确定公允价值，在估值技术难以可靠计量公允价值的情况下，按成本估值。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托管人之外的第三方造成基金资产的损失，并拒绝进行赔偿时，由基金管理人负责向差错方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及登记结算公司发送的数据错误，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975013"/>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1、本基金在封闭期内，收益分配应遵循下列原则：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每年收益分配次数最多为2次，每份基金份额每次分配比例不得低于收益分配基准日每份基金份额可供分配利润的90%，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（2）本基金收益分配方式为现金分红；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（4）本基金封闭期内仅设C类基金份额，每一基金份额享有同等分配权；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2、本基金转为开放式运作后，收益分配应遵循下列原则：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（1）本基金转为开放式运作后，增开A类和B类基金份额；由于本基金A类和B类基金份额不收取销售服务费，C类基金份额收取销售服务费，各基金份额类别对应的可供分配利润将有所不同；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975014"/>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本基金的管理费按前一日基金资产净值的0.3%年费率计提。管理费的计算方法如下：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H＝E×0.3%÷当年天数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本基金的托管费按前一日基金资产净值的0.1%的年费率计提。托管费的计算方法如下：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本基金A类和B类基金份额不收取销售服务费，C类基金份额的销售服务费在封闭期内按前一日C类基金资产净值的0.6%年费率计提，在转入开放式运作后按前一日C类基金资产净值的0.4%年费率计提。计算方法如下：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H＝E×年销售服务费率÷当年天数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年销售服务费率在基金封闭期内为0.6%，转入开放式后为0.4%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在符合法律法规及本基金基金合同规定、并且对基金份额持有人利益无实质不利影响的前提下，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975015"/>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975016"/>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A/B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（21）转为开放式运作后发生涉及基金申购、赎回事项调整或潜在影响投资者赎回等重大事项时；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管理人应当依法披露其所管理的证券投资基金投资资产支持证券的情况，并保证所披露信息的真实性、准确性和完整性，不得有虚假记载、误导性陈述和重大遗漏。基金管理人应在基金年报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975017"/>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975018"/>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指基金资产不能迅速转变成现金，或者不能应付开放期可能出现的投资者大额赎回的风险。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在本基金转为开放式运作后，在交易过程中，可能会发生巨额赎回的情形。巨额赎回可能会产生基金仓位调整的困难，导致流动性风险，甚至影响基金份额净值。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2017年1月20日起开放A类基金份额和C类基金份额的申购、赎回业务。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巨额赎回业务的场内处理，按照上海证券交易所及中国证券登记结算有限责任公司的有关规定办理。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975019"/>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975020"/>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（1）根据《基金法》、《运作办法》及其他有关法律法规的规定，基金份额持有人的权利包括但不限于：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（2）根据《基金法》、《运作办法》及其他有关法律法规的规定，基金份额持有人的义务包括但不限于：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4）转换基金运作方式，本基金基金合同生效满两年直接转为开放式运作方式以及法律法规和中国证监会另有规定的除外；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8）变更基金投资目标、范围或策略，但在本基金基金合同生效满两年直接转为开放式运作后依据基金合同变更投资策略以及法律法规和中国证监会另有规定的除外；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3）在符合法律法规及本基金合同规定、并且对基金份额持有人利益无实质不利影响的前提下，调整本基金的申购费率、调低赎回费率、变更或增加收费方式；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本基金基金合同生效满两年直接转为开放式运作除外）、更换基金管理人或者基金托管人、终止《基金合同》、本基金与其他基金合并（法律法规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975021"/>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法定代表人：李庆萍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相关部门批准后依批准的内容开展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包括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本基金各类资产的投资比例范围为：投资于债券资产的比例不低于基金资产的80%，但在封闭期结束转开放的前后三个月内，基金投资不受上述债券资产投资比例限制。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4）本基金在封闭期内，基金总资产不超过基金净资产的200%；在开放期内，基金总资产不超过基金净资产的140%；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7）本基金在开放期内，保持不低于基金资产净值5％的现金或者到期日在一年以内的政府债券，其中现金不包括结算备付金、存出保证金、应收申购款等；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8）本基金资产配置比例需满足基金合同中投资范围的约定；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9）本基金不直接在二级市场买入股票、权证等权益类资产，也不参与一级市场新股申购和新股增发。同时本基金不参与可转换债券投资（分离交易可转债的纯债部分除外）；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10）本基金进入全国银行间同业市场进行债券回购的资金余额不得超过基金资产净值的40%；债券回购最长期限为1年，债券回购到期后不得展期；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6）、7）、11）、12）项外，因证券市场波动、证券发行人合并、基金规模变动、股权分置改革中支付对价等基金管理人之外的因素致使基金投资比例不符合上述规定投资比例的，基金管理人应当在10个交易日内进行调整，以达到规定的投资比例限制要求，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（7）基金托管人对基金投资中期票据的监督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2）如未来有关监管部门发布的法律法规对证券投资基金投资中期票据另有规定的，从其约定。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（3）基金银行账户的开立和管理应符合有关法律法规以及银行业监督管理机构的有关规定。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价值。基金份额净值是指每个工作日闭市后，基金份额的基金资产净值除以当日基金份额的数值。基金份额净值的计算保留到小数点后4位，小数点后第5位四舍五入，由此产生的误差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975022"/>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和C类基金份额的申购、赎回、定期定额投资、转换等业务。通过网上直销交易平台办理本基金A类基金份额申购和定期定额投资业务的个人投资者将享受前端申购费率的优惠，其他费率标准不变。具体优惠费率请参见公司网站列示的网上直销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975023"/>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交银施罗德基金管理有限公司关于交银施罗德丰享收益债券型证券投资基金分红公告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交银施罗德丰享收益债券型证券投资基金2026年第1季度报告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975024"/>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975025"/>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（一）中国证监会准予交银施罗德丰享收益债券型证券投资基金募集注册的文件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（二）《交银施罗德丰享收益债券型证券投资基金基金合同》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（三）《交银施罗德丰享收益债券型证券投资基金托管协议》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（六）关于申请募集注册交银施罗德丰享收益债券型证券投资基金的法律意见书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交银施罗德丰享收益债券型证券投资基金招募说明书更新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交银施罗德丰享收益债券型证券投资基金招募说明书更新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交银施罗德丰享收益债券型证券投资基金招募说明书更新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4864"/>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4D88"/>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59E4"/>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4EE8"/>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34EE1789"/>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149</Pages>
  <Words>15445</Words>
  <Characters>88038</Characters>
  <Lines>733</Lines>
  <Paragraphs>206</Paragraphs>
  <TotalTime>0</TotalTime>
  <ScaleCrop>false</ScaleCrop>
  <LinksUpToDate>false</LinksUpToDate>
  <CharactersWithSpaces>103277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2026-06-10T01:09:00Z</dcterms:created>
  <dc:creator>系统用户</dc:creator>
  <cp:lastModifiedBy>haotingting</cp:lastModifiedBy>
  <cp:lastPrinted>2013-02-18T03:10:00Z</cp:lastPrinted>
  <dcterms:modified xsi:type="dcterms:W3CDTF">2026-06-10T02:45:05Z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8E1E66430FCD4E5387A7F55EC6221EDD</vt:lpwstr>
  </property>
</Properties>
</file>