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交银施罗德丰享收益债券型证券投资基金（A类份额）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交银丰享收益债券A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519746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2015-01-19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孙丹妮</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2025-02-20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2015-05-28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黄莹洁</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2015-07-25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2008-02-15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出解决方案，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在严格控制风险和追求资产稳健增值的基础上,力求获得高于业绩基准的投资收益。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交易的国债、金融债、央行票据、地方政府债、企业债、公司债、分离交易可转债的纯债、次级债、资产支持证券、短期融资券、中期票据、债券回购、银行存款、货币市场工具等固定收益类资产和法律法规允许投资的其他金融工具。其中，封闭期内，本基金所投企业债和公司债信用评级需在AA级(含)以上。本基金不直接在二级市场买入股票、权证等权益类资产，也不参与一级市场新股申购和新股增发。同时本基金不参与可转换债券投资(分离交易可转债的纯债部分除外)。</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基金的投资组合比例为投资于债券资产的比例不低于基金资产的80%，但在封闭期结束转开放的前后三个月内，基金投资不受上述债券资产投资比例限制。</w:t>
            </w:r>
          </w:p>
          <w:p>
            <w:pPr>
              <w:ind w:firstLine="420"/>
              <w:jc w:val="left"/>
              <w:rPr>
                <w:rFonts w:ascii="仿宋_GB2312" w:eastAsia="仿宋_GB2312"/>
                <w:szCs w:val="21"/>
              </w:rPr>
            </w:pPr>
            <w:r>
              <w:rPr>
                <w:rFonts w:hint="eastAsia" w:ascii="仿宋_GB2312" w:eastAsia="仿宋_GB2312"/>
                <w:szCs w:val="21"/>
              </w:rPr>
              <w:t>本基金在开放期内，现金或到期日在一年以内的政府债券的比例合计不低于基金资产净值的5%，其中现金不包括结算备付金、存出保证金、应收申购款等。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个券。本基金采用的主要策略包括：1、久期调整策略；2、债券的类属配置策略；3、期限结构配置策略；4、杠杆放大策略；5、信用债券投资策略；6、资产支持证券（含资产收益计划）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风险与预期收益高于货币市场基金，低于混合型基金和股票型基金，属于证券投资基金中中等风险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详见《交银施罗德丰享收益债券型证券投资基金招募说明书》“基金的投资”。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0.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2、本基金份额于2017年1月25日开始确认，首次确认当年净值增长率按实际存续期计算。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3、本基金自2017年1月20日起转为开放式运作，本基金的业绩比较基准由“两年期银行定期存款税后收益率”变更为“中债综合全价指数”。</w:t>
      </w:r>
    </w:p>
    <w:p>
      <w:pPr>
        <w:ind w:left="420" w:firstLine="420" w:firstLineChars="200"/>
        <w:jc w:val="left"/>
        <w:rPr>
          <w:rFonts w:ascii="仿宋_GB2312" w:eastAsia="仿宋_GB2312"/>
          <w:szCs w:val="21"/>
        </w:rPr>
      </w:pPr>
      <w:r>
        <w:rPr>
          <w:rFonts w:hint="eastAsia" w:ascii="仿宋_GB2312" w:eastAsia="仿宋_GB2312"/>
          <w:szCs w:val="21"/>
        </w:rPr>
        <w:t>4、基金的过往业绩不代表未来表现。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7天≤N＜180天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180天≤N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特有的流动性风险。本基金为封闭两年运作，之后转为开放式运作（按照基金合同约定提前转换基金运作方式的情形除外）。本基金在封闭期内不办理申购赎回业务，也不上市交易，从而可能无法满足投资者的短期流动性需求。</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●《交银施罗德丰享收益债券型证券投资基金基金合同》、</w:t>
      </w:r>
    </w:p>
    <w:p>
      <w:pPr>
        <w:ind w:firstLine="420"/>
        <w:jc w:val="left"/>
        <w:rPr>
          <w:rFonts w:ascii="仿宋_GB2312" w:eastAsia="仿宋_GB2312"/>
          <w:szCs w:val="21"/>
        </w:rPr>
      </w:pPr>
      <w:r>
        <w:rPr>
          <w:rFonts w:hint="eastAsia" w:ascii="仿宋_GB2312" w:eastAsia="仿宋_GB2312"/>
          <w:szCs w:val="21"/>
        </w:rPr>
        <w:t>《交银施罗德丰享收益债券型证券投资基金托管协议》、</w:t>
      </w:r>
    </w:p>
    <w:p>
      <w:pPr>
        <w:ind w:firstLine="420"/>
        <w:jc w:val="left"/>
        <w:rPr>
          <w:rFonts w:ascii="仿宋_GB2312" w:eastAsia="仿宋_GB2312"/>
          <w:szCs w:val="21"/>
        </w:rPr>
      </w:pPr>
      <w:r>
        <w:rPr>
          <w:rFonts w:hint="eastAsia" w:ascii="仿宋_GB2312" w:eastAsia="仿宋_GB2312"/>
          <w:szCs w:val="21"/>
        </w:rPr>
        <w:t>《交银施罗德丰享收益债券型证券投资基金招募说明书》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65E21"/>
    <w:rsid w:val="00DB319C"/>
    <w:rsid w:val="00E51B6D"/>
    <w:rsid w:val="00F75715"/>
    <w:rsid w:val="00F811C4"/>
    <w:rsid w:val="00FC2918"/>
    <w:rsid w:val="1EB445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631</Words>
  <Characters>3602</Characters>
  <Lines>30</Lines>
  <Paragraphs>8</Paragraphs>
  <TotalTime>1</TotalTime>
  <ScaleCrop>false</ScaleCrop>
  <LinksUpToDate>false</LinksUpToDate>
  <CharactersWithSpaces>4225</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2026-05-20T01:36:00Z</dcterms:created>
  <dc:creator>Cc</dc:creator>
  <cp:lastModifiedBy>haotingting</cp:lastModifiedBy>
  <dcterms:modified xsi:type="dcterms:W3CDTF">2026-05-21T06:26:04Z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CB95468FEE0A4461B2A6B38A229F554F</vt:lpwstr>
  </property>
</Properties>
</file>