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5A38ED">
      <w:pPr>
        <w:rPr>
          <w:sz w:val="32"/>
        </w:rPr>
      </w:pPr>
    </w:p>
    <w:p w:rsidR="00C92FC0" w:rsidRPr="00EB07BC" w:rsidRDefault="005A38ED">
      <w:pPr>
        <w:rPr>
          <w:sz w:val="32"/>
        </w:rPr>
      </w:pPr>
    </w:p>
    <w:p w:rsidR="00C92FC0" w:rsidRPr="00EB07BC" w:rsidRDefault="005A38ED">
      <w:pPr>
        <w:rPr>
          <w:sz w:val="32"/>
        </w:rPr>
      </w:pPr>
    </w:p>
    <w:p w:rsidR="00821577" w:rsidRDefault="00821577">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821577" w:rsidRDefault="00821577">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821577" w:rsidRDefault="00821577">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821577" w:rsidRDefault="00451388">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交银施罗德鸿信一年持有期混合型证券投资基金</w:t>
      </w:r>
    </w:p>
    <w:p w:rsidR="00821577" w:rsidRDefault="00451388">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821577" w:rsidRDefault="00821577">
      <w:pPr>
        <w:snapToGrid w:val="0"/>
        <w:spacing w:line="360" w:lineRule="auto"/>
        <w:jc w:val="center"/>
        <w:rPr>
          <w:rFonts w:ascii="宋体" w:hAnsi="宋体"/>
          <w:b/>
          <w:sz w:val="30"/>
          <w:szCs w:val="30"/>
        </w:rPr>
      </w:pPr>
    </w:p>
    <w:p w:rsidR="00821577" w:rsidRDefault="0082157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21577" w:rsidRDefault="0082157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21577" w:rsidRDefault="0082157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21577" w:rsidRDefault="0082157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21577" w:rsidRDefault="0082157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21577" w:rsidRDefault="0082157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21577" w:rsidRDefault="00451388">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821577" w:rsidRDefault="00451388">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基金托管人：中信银行股份有限公司</w:t>
      </w:r>
    </w:p>
    <w:p w:rsidR="00821577" w:rsidRDefault="0082157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21577" w:rsidRDefault="0082157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21577" w:rsidRDefault="00451388">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二〇二六年五月</w:t>
      </w:r>
    </w:p>
    <w:p w:rsidR="00821577" w:rsidRDefault="00821577">
      <w:pPr>
        <w:autoSpaceDE w:val="0"/>
        <w:autoSpaceDN w:val="0"/>
        <w:adjustRightInd w:val="0"/>
        <w:snapToGrid w:val="0"/>
        <w:spacing w:line="360" w:lineRule="auto"/>
        <w:ind w:left="1347" w:rightChars="6" w:right="13"/>
        <w:rPr>
          <w:rFonts w:ascii="宋体" w:hAnsi="宋体"/>
          <w:kern w:val="0"/>
          <w:sz w:val="32"/>
          <w:szCs w:val="32"/>
        </w:rPr>
        <w:sectPr w:rsidR="00821577">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821577" w:rsidRDefault="00451388">
      <w:pPr>
        <w:pStyle w:val="1"/>
        <w:snapToGrid w:val="0"/>
        <w:spacing w:beforeLines="0" w:before="240" w:after="240"/>
        <w:rPr>
          <w:rFonts w:ascii="宋体" w:hAnsi="宋体"/>
          <w:kern w:val="0"/>
        </w:rPr>
      </w:pPr>
      <w:bookmarkStart w:id="0" w:name="_Toc324920538"/>
      <w:bookmarkStart w:id="1" w:name="_Toc496884613"/>
      <w:bookmarkStart w:id="2" w:name="_Toc231305783"/>
      <w:r>
        <w:rPr>
          <w:rFonts w:ascii="Times New Roman" w:hAnsi="Times New Roman"/>
          <w:kern w:val="0"/>
        </w:rPr>
        <w:lastRenderedPageBreak/>
        <w:t>重要提示</w:t>
      </w:r>
      <w:bookmarkEnd w:id="0"/>
      <w:bookmarkEnd w:id="1"/>
      <w:bookmarkEnd w:id="2"/>
    </w:p>
    <w:p w:rsidR="00821577" w:rsidRDefault="0045138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交银施罗德鸿信一年持有期混合型证券投资基金（以下简称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2021</w:t>
      </w:r>
      <w:r>
        <w:rPr>
          <w:rFonts w:ascii="Times New Roman" w:hAnsi="Times New Roman"/>
          <w:kern w:val="0"/>
          <w:sz w:val="24"/>
        </w:rPr>
        <w:t>年</w:t>
      </w:r>
      <w:r>
        <w:rPr>
          <w:rFonts w:ascii="Times New Roman" w:hAnsi="Times New Roman"/>
          <w:kern w:val="0"/>
          <w:sz w:val="24"/>
        </w:rPr>
        <w:t>6</w:t>
      </w:r>
      <w:r>
        <w:rPr>
          <w:rFonts w:ascii="Times New Roman" w:hAnsi="Times New Roman"/>
          <w:kern w:val="0"/>
          <w:sz w:val="24"/>
        </w:rPr>
        <w:t>月</w:t>
      </w:r>
      <w:r>
        <w:rPr>
          <w:rFonts w:ascii="Times New Roman" w:hAnsi="Times New Roman"/>
          <w:kern w:val="0"/>
          <w:sz w:val="24"/>
        </w:rPr>
        <w:t>8</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2021</w:t>
      </w:r>
      <w:r>
        <w:rPr>
          <w:rFonts w:ascii="Times New Roman" w:hAnsi="Times New Roman"/>
          <w:kern w:val="0"/>
          <w:sz w:val="24"/>
        </w:rPr>
        <w:t>】</w:t>
      </w:r>
      <w:r>
        <w:rPr>
          <w:rFonts w:ascii="Times New Roman" w:hAnsi="Times New Roman"/>
          <w:kern w:val="0"/>
          <w:sz w:val="24"/>
        </w:rPr>
        <w:t>2007</w:t>
      </w:r>
      <w:r>
        <w:rPr>
          <w:rFonts w:ascii="Times New Roman" w:hAnsi="Times New Roman"/>
          <w:kern w:val="0"/>
          <w:sz w:val="24"/>
        </w:rPr>
        <w:t>号文准予募集注册。本基金基金合同于</w:t>
      </w:r>
      <w:r>
        <w:rPr>
          <w:rFonts w:ascii="Times New Roman" w:hAnsi="Times New Roman"/>
          <w:kern w:val="0"/>
          <w:sz w:val="24"/>
        </w:rPr>
        <w:t>2021</w:t>
      </w:r>
      <w:r>
        <w:rPr>
          <w:rFonts w:ascii="Times New Roman" w:hAnsi="Times New Roman"/>
          <w:kern w:val="0"/>
          <w:sz w:val="24"/>
        </w:rPr>
        <w:t>年</w:t>
      </w:r>
      <w:r>
        <w:rPr>
          <w:rFonts w:ascii="Times New Roman" w:hAnsi="Times New Roman"/>
          <w:kern w:val="0"/>
          <w:sz w:val="24"/>
        </w:rPr>
        <w:t>8</w:t>
      </w:r>
      <w:r>
        <w:rPr>
          <w:rFonts w:ascii="Times New Roman" w:hAnsi="Times New Roman"/>
          <w:kern w:val="0"/>
          <w:sz w:val="24"/>
        </w:rPr>
        <w:t>月</w:t>
      </w:r>
      <w:r>
        <w:rPr>
          <w:rFonts w:ascii="Times New Roman" w:hAnsi="Times New Roman"/>
          <w:kern w:val="0"/>
          <w:sz w:val="24"/>
        </w:rPr>
        <w:t>6</w:t>
      </w:r>
      <w:r>
        <w:rPr>
          <w:rFonts w:ascii="Times New Roman" w:hAnsi="Times New Roman"/>
          <w:kern w:val="0"/>
          <w:sz w:val="24"/>
        </w:rPr>
        <w:t>日正式生效。</w:t>
      </w:r>
    </w:p>
    <w:p w:rsidR="00821577" w:rsidRDefault="0045138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rsidR="00821577" w:rsidRDefault="0045138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rsidR="00821577" w:rsidRDefault="0045138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信用风险；投资股指期货的特定风险；投资资产支持证券的特定风险；投资流通受限证券的特定风险；投资科创板股票的特定风险；投资存托凭证的特定风险；连续</w:t>
      </w:r>
      <w:r>
        <w:rPr>
          <w:rFonts w:ascii="Times New Roman" w:hAnsi="Times New Roman"/>
          <w:kern w:val="0"/>
          <w:sz w:val="24"/>
        </w:rPr>
        <w:t>50</w:t>
      </w:r>
      <w:r>
        <w:rPr>
          <w:rFonts w:ascii="Times New Roman" w:hAnsi="Times New Roman"/>
          <w:kern w:val="0"/>
          <w:sz w:val="24"/>
        </w:rPr>
        <w:t>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万元情形时基金管理人依基金合同约定提前终止基金合同的风险；投资本基金的其他风险等等。本基金是一只混合型基金，其预期风险和预期收益理论上高于债券型基金和货币市场基金，低于股票型基金。</w:t>
      </w:r>
    </w:p>
    <w:p w:rsidR="00821577" w:rsidRDefault="0045138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rsidR="00821577" w:rsidRDefault="0045138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w:t>
      </w:r>
      <w:r>
        <w:rPr>
          <w:rFonts w:ascii="Times New Roman" w:hAnsi="Times New Roman"/>
          <w:kern w:val="0"/>
          <w:sz w:val="24"/>
        </w:rPr>
        <w:lastRenderedPageBreak/>
        <w:t>持证券投资，请基金份额持有人关注包括投资资产支持证券可能导致的基金净值波动在内的各项风险。</w:t>
      </w:r>
    </w:p>
    <w:p w:rsidR="00821577" w:rsidRDefault="0045138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821577" w:rsidRDefault="0045138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本基金投资内地与香港股票市场交易互联互通机制允许买卖的规定范围内的香港联合交易所有限公司（以下简称</w:t>
      </w:r>
      <w:r>
        <w:rPr>
          <w:rFonts w:ascii="Times New Roman" w:hAnsi="Times New Roman"/>
          <w:kern w:val="0"/>
          <w:sz w:val="24"/>
        </w:rPr>
        <w:t>“</w:t>
      </w:r>
      <w:r>
        <w:rPr>
          <w:rFonts w:ascii="Times New Roman" w:hAnsi="Times New Roman"/>
          <w:kern w:val="0"/>
          <w:sz w:val="24"/>
        </w:rPr>
        <w:t>香港联合交易所</w:t>
      </w:r>
      <w:r>
        <w:rPr>
          <w:rFonts w:ascii="Times New Roman" w:hAnsi="Times New Roman"/>
          <w:kern w:val="0"/>
          <w:sz w:val="24"/>
        </w:rPr>
        <w:t>”</w:t>
      </w:r>
      <w:r>
        <w:rPr>
          <w:rFonts w:ascii="Times New Roman" w:hAnsi="Times New Roman"/>
          <w:kern w:val="0"/>
          <w:sz w:val="24"/>
        </w:rPr>
        <w:t>）上市的股票（以下简称</w:t>
      </w:r>
      <w:r>
        <w:rPr>
          <w:rFonts w:ascii="Times New Roman" w:hAnsi="Times New Roman"/>
          <w:kern w:val="0"/>
          <w:sz w:val="24"/>
        </w:rPr>
        <w:t>“</w:t>
      </w:r>
      <w:r>
        <w:rPr>
          <w:rFonts w:ascii="Times New Roman" w:hAnsi="Times New Roman"/>
          <w:kern w:val="0"/>
          <w:sz w:val="24"/>
        </w:rPr>
        <w:t>港股通标的股票</w:t>
      </w:r>
      <w:r>
        <w:rPr>
          <w:rFonts w:ascii="Times New Roman" w:hAnsi="Times New Roman"/>
          <w:kern w:val="0"/>
          <w:sz w:val="24"/>
        </w:rPr>
        <w:t>”</w:t>
      </w:r>
      <w:r>
        <w:rPr>
          <w:rFonts w:ascii="Times New Roman" w:hAnsi="Times New Roman"/>
          <w:kern w:val="0"/>
          <w:sz w:val="24"/>
        </w:rPr>
        <w:t>）的，会面临港股通机制下因投资环境、投资标的、市场制度以及交易规则等差异带来的特有风险，包括港股市场股价波动较大的风险（港股市场实行</w:t>
      </w:r>
      <w:r>
        <w:rPr>
          <w:rFonts w:ascii="Times New Roman" w:hAnsi="Times New Roman"/>
          <w:kern w:val="0"/>
          <w:sz w:val="24"/>
        </w:rPr>
        <w:t>T+0</w:t>
      </w:r>
      <w:r>
        <w:rPr>
          <w:rFonts w:ascii="Times New Roman" w:hAnsi="Times New Roman"/>
          <w:kern w:val="0"/>
          <w:sz w:val="24"/>
        </w:rPr>
        <w:t>回转交易，且对个股不设涨跌幅限制，港股股价可能表现出比</w:t>
      </w:r>
      <w:r>
        <w:rPr>
          <w:rFonts w:ascii="Times New Roman" w:hAnsi="Times New Roman"/>
          <w:kern w:val="0"/>
          <w:sz w:val="24"/>
        </w:rPr>
        <w:t>A</w:t>
      </w:r>
      <w:r>
        <w:rPr>
          <w:rFonts w:ascii="Times New Roman" w:hAnsi="Times New Roman"/>
          <w:kern w:val="0"/>
          <w:sz w:val="24"/>
        </w:rPr>
        <w:t>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具体风险烦请查阅本基金招募说明书的</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章节的具体内容。</w:t>
      </w:r>
    </w:p>
    <w:p w:rsidR="00821577" w:rsidRDefault="0045138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基金可根据投资策略需要或不同配置地市场环境的变化，选择将部分基金资产投资于港股或选择不将基金资产投资于港股，基金资产并非必然投资港股。</w:t>
      </w:r>
    </w:p>
    <w:p w:rsidR="00821577" w:rsidRDefault="0045138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每份基金份额的最短持有期限为一年，在最短持有期限内该份基金份额不可赎回，自最短持有期限届满的下一工作日起（含该日）可赎回。对于每笔认购的基金份额而言，最短持有期限自基金合同生效之日起（含该日）至一年后年度对日的前一日；对于每笔申购的基金份额而言，最短持有期限自该笔申购份额确认日（含该日）至一年后年度对日的前一日。因此，对于基金份额持有人而言，存在投资本基金后一年内无法赎回的风险。</w:t>
      </w:r>
    </w:p>
    <w:p w:rsidR="00821577" w:rsidRDefault="0045138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821577" w:rsidRDefault="0045138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821577" w:rsidRDefault="0045138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821577" w:rsidRDefault="0045138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821577" w:rsidRDefault="0045138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05</w:t>
      </w:r>
      <w:r>
        <w:rPr>
          <w:rFonts w:ascii="Times New Roman" w:hAnsi="Times New Roman"/>
          <w:kern w:val="0"/>
          <w:sz w:val="24"/>
        </w:rPr>
        <w:t>月</w:t>
      </w:r>
      <w:r>
        <w:rPr>
          <w:rFonts w:ascii="Times New Roman" w:hAnsi="Times New Roman"/>
          <w:kern w:val="0"/>
          <w:sz w:val="24"/>
        </w:rPr>
        <w:t>14</w:t>
      </w:r>
      <w:r>
        <w:rPr>
          <w:rFonts w:ascii="Times New Roman" w:hAnsi="Times New Roman"/>
          <w:kern w:val="0"/>
          <w:sz w:val="24"/>
        </w:rPr>
        <w:t>日，有关财务和业绩表现数据截止日为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日，财务和业绩表现数据未经审计。</w:t>
      </w:r>
    </w:p>
    <w:p w:rsidR="00821577" w:rsidRDefault="00821577">
      <w:pPr>
        <w:autoSpaceDE w:val="0"/>
        <w:autoSpaceDN w:val="0"/>
        <w:adjustRightInd w:val="0"/>
        <w:snapToGrid w:val="0"/>
        <w:spacing w:before="51" w:line="360" w:lineRule="auto"/>
        <w:ind w:left="120" w:rightChars="6" w:right="13" w:firstLine="480"/>
        <w:rPr>
          <w:rFonts w:ascii="宋体" w:hAnsi="宋体"/>
          <w:kern w:val="0"/>
          <w:szCs w:val="24"/>
        </w:rPr>
        <w:sectPr w:rsidR="00821577">
          <w:headerReference w:type="default" r:id="rId14"/>
          <w:pgSz w:w="11920" w:h="16840"/>
          <w:pgMar w:top="1440" w:right="1680" w:bottom="280" w:left="1680" w:header="0" w:footer="1073" w:gutter="0"/>
          <w:pgNumType w:start="1"/>
          <w:cols w:space="720"/>
        </w:sectPr>
      </w:pPr>
    </w:p>
    <w:p w:rsidR="005A38ED" w:rsidRPr="005A38ED" w:rsidRDefault="00451388" w:rsidP="005A38ED">
      <w:pPr>
        <w:pStyle w:val="ad"/>
        <w:snapToGrid w:val="0"/>
        <w:spacing w:after="240" w:line="360" w:lineRule="auto"/>
        <w:jc w:val="center"/>
        <w:rPr>
          <w:rFonts w:ascii="宋体" w:hAnsi="宋体"/>
          <w:noProof/>
          <w:sz w:val="24"/>
        </w:rPr>
      </w:pPr>
      <w:r w:rsidRPr="005A38ED">
        <w:rPr>
          <w:rFonts w:ascii="宋体" w:hAnsi="宋体"/>
          <w:color w:val="000000"/>
          <w:position w:val="-4"/>
          <w:sz w:val="24"/>
          <w:szCs w:val="30"/>
        </w:rPr>
        <w:lastRenderedPageBreak/>
        <w:t>目</w:t>
      </w:r>
      <w:r w:rsidRPr="005A38ED">
        <w:rPr>
          <w:rFonts w:ascii="宋体" w:hAnsi="宋体"/>
          <w:color w:val="000000"/>
          <w:position w:val="-4"/>
          <w:sz w:val="24"/>
          <w:szCs w:val="30"/>
        </w:rPr>
        <w:tab/>
        <w:t>录</w:t>
      </w:r>
      <w:r w:rsidR="005A38ED" w:rsidRPr="005A38ED">
        <w:rPr>
          <w:rFonts w:ascii="宋体" w:hAnsi="宋体"/>
          <w:color w:val="000000"/>
          <w:position w:val="-4"/>
          <w:sz w:val="24"/>
          <w:szCs w:val="30"/>
        </w:rPr>
        <w:fldChar w:fldCharType="begin"/>
      </w:r>
      <w:r w:rsidR="005A38ED" w:rsidRPr="005A38ED">
        <w:rPr>
          <w:rFonts w:ascii="宋体" w:hAnsi="宋体"/>
          <w:color w:val="000000"/>
          <w:position w:val="-4"/>
          <w:sz w:val="24"/>
          <w:szCs w:val="30"/>
        </w:rPr>
        <w:instrText xml:space="preserve"> TOC \o "1-3" \f - \h \t "-1" </w:instrText>
      </w:r>
      <w:r w:rsidR="005A38ED" w:rsidRPr="005A38ED">
        <w:rPr>
          <w:rFonts w:ascii="宋体" w:hAnsi="宋体"/>
          <w:color w:val="000000"/>
          <w:position w:val="-4"/>
          <w:sz w:val="24"/>
          <w:szCs w:val="30"/>
        </w:rPr>
        <w:fldChar w:fldCharType="separate"/>
      </w:r>
    </w:p>
    <w:p w:rsidR="005A38ED" w:rsidRPr="005A38ED" w:rsidRDefault="005A38ED" w:rsidP="005A38ED">
      <w:pPr>
        <w:pStyle w:val="10"/>
        <w:tabs>
          <w:tab w:val="right" w:leader="dot" w:pos="8550"/>
        </w:tabs>
        <w:spacing w:line="360" w:lineRule="auto"/>
        <w:rPr>
          <w:rFonts w:ascii="宋体" w:hAnsi="宋体" w:cstheme="minorBidi"/>
          <w:noProof/>
          <w:sz w:val="24"/>
        </w:rPr>
      </w:pPr>
      <w:hyperlink w:anchor="_Toc231305783" w:history="1">
        <w:r w:rsidRPr="005A38ED">
          <w:rPr>
            <w:rStyle w:val="aa"/>
            <w:rFonts w:ascii="宋体" w:hAnsi="宋体" w:hint="eastAsia"/>
            <w:noProof/>
            <w:kern w:val="0"/>
            <w:sz w:val="24"/>
          </w:rPr>
          <w:t>重要提示</w:t>
        </w:r>
        <w:r w:rsidRPr="005A38ED">
          <w:rPr>
            <w:rFonts w:ascii="宋体" w:hAnsi="宋体"/>
            <w:noProof/>
            <w:sz w:val="24"/>
          </w:rPr>
          <w:tab/>
        </w:r>
        <w:r w:rsidRPr="005A38ED">
          <w:rPr>
            <w:rFonts w:ascii="宋体" w:hAnsi="宋体"/>
            <w:noProof/>
            <w:sz w:val="24"/>
          </w:rPr>
          <w:fldChar w:fldCharType="begin"/>
        </w:r>
        <w:r w:rsidRPr="005A38ED">
          <w:rPr>
            <w:rFonts w:ascii="宋体" w:hAnsi="宋体"/>
            <w:noProof/>
            <w:sz w:val="24"/>
          </w:rPr>
          <w:instrText xml:space="preserve"> PAGEREF _Toc231305783 \h </w:instrText>
        </w:r>
        <w:r w:rsidRPr="005A38ED">
          <w:rPr>
            <w:rFonts w:ascii="宋体" w:hAnsi="宋体"/>
            <w:noProof/>
            <w:sz w:val="24"/>
          </w:rPr>
        </w:r>
        <w:r w:rsidRPr="005A38ED">
          <w:rPr>
            <w:rFonts w:ascii="宋体" w:hAnsi="宋体"/>
            <w:noProof/>
            <w:sz w:val="24"/>
          </w:rPr>
          <w:fldChar w:fldCharType="separate"/>
        </w:r>
        <w:r w:rsidRPr="005A38ED">
          <w:rPr>
            <w:rFonts w:ascii="宋体" w:hAnsi="宋体"/>
            <w:noProof/>
            <w:sz w:val="24"/>
          </w:rPr>
          <w:t>1</w:t>
        </w:r>
        <w:r w:rsidRPr="005A38ED">
          <w:rPr>
            <w:rFonts w:ascii="宋体" w:hAnsi="宋体"/>
            <w:noProof/>
            <w:sz w:val="24"/>
          </w:rPr>
          <w:fldChar w:fldCharType="end"/>
        </w:r>
      </w:hyperlink>
    </w:p>
    <w:p w:rsidR="005A38ED" w:rsidRPr="005A38ED" w:rsidRDefault="005A38ED" w:rsidP="005A38ED">
      <w:pPr>
        <w:pStyle w:val="10"/>
        <w:tabs>
          <w:tab w:val="right" w:leader="dot" w:pos="8550"/>
        </w:tabs>
        <w:spacing w:line="360" w:lineRule="auto"/>
        <w:rPr>
          <w:rFonts w:ascii="宋体" w:hAnsi="宋体" w:cstheme="minorBidi"/>
          <w:noProof/>
          <w:sz w:val="24"/>
        </w:rPr>
      </w:pPr>
      <w:hyperlink w:anchor="_Toc231305784" w:history="1">
        <w:r w:rsidRPr="005A38ED">
          <w:rPr>
            <w:rStyle w:val="aa"/>
            <w:rFonts w:ascii="宋体" w:hAnsi="宋体" w:hint="eastAsia"/>
            <w:noProof/>
            <w:sz w:val="24"/>
          </w:rPr>
          <w:t>一、绪言</w:t>
        </w:r>
        <w:r w:rsidRPr="005A38ED">
          <w:rPr>
            <w:rFonts w:ascii="宋体" w:hAnsi="宋体"/>
            <w:noProof/>
            <w:sz w:val="24"/>
          </w:rPr>
          <w:tab/>
        </w:r>
        <w:r w:rsidRPr="005A38ED">
          <w:rPr>
            <w:rFonts w:ascii="宋体" w:hAnsi="宋体"/>
            <w:noProof/>
            <w:sz w:val="24"/>
          </w:rPr>
          <w:fldChar w:fldCharType="begin"/>
        </w:r>
        <w:r w:rsidRPr="005A38ED">
          <w:rPr>
            <w:rFonts w:ascii="宋体" w:hAnsi="宋体"/>
            <w:noProof/>
            <w:sz w:val="24"/>
          </w:rPr>
          <w:instrText xml:space="preserve"> PAGEREF _Toc231305784 \h </w:instrText>
        </w:r>
        <w:r w:rsidRPr="005A38ED">
          <w:rPr>
            <w:rFonts w:ascii="宋体" w:hAnsi="宋体"/>
            <w:noProof/>
            <w:sz w:val="24"/>
          </w:rPr>
        </w:r>
        <w:r w:rsidRPr="005A38ED">
          <w:rPr>
            <w:rFonts w:ascii="宋体" w:hAnsi="宋体"/>
            <w:noProof/>
            <w:sz w:val="24"/>
          </w:rPr>
          <w:fldChar w:fldCharType="separate"/>
        </w:r>
        <w:r w:rsidRPr="005A38ED">
          <w:rPr>
            <w:rFonts w:ascii="宋体" w:hAnsi="宋体"/>
            <w:noProof/>
            <w:sz w:val="24"/>
          </w:rPr>
          <w:t>5</w:t>
        </w:r>
        <w:r w:rsidRPr="005A38ED">
          <w:rPr>
            <w:rFonts w:ascii="宋体" w:hAnsi="宋体"/>
            <w:noProof/>
            <w:sz w:val="24"/>
          </w:rPr>
          <w:fldChar w:fldCharType="end"/>
        </w:r>
      </w:hyperlink>
    </w:p>
    <w:p w:rsidR="005A38ED" w:rsidRPr="005A38ED" w:rsidRDefault="005A38ED" w:rsidP="005A38ED">
      <w:pPr>
        <w:pStyle w:val="10"/>
        <w:tabs>
          <w:tab w:val="right" w:leader="dot" w:pos="8550"/>
        </w:tabs>
        <w:spacing w:line="360" w:lineRule="auto"/>
        <w:rPr>
          <w:rFonts w:ascii="宋体" w:hAnsi="宋体" w:cstheme="minorBidi"/>
          <w:noProof/>
          <w:sz w:val="24"/>
        </w:rPr>
      </w:pPr>
      <w:hyperlink w:anchor="_Toc231305785" w:history="1">
        <w:r w:rsidRPr="005A38ED">
          <w:rPr>
            <w:rStyle w:val="aa"/>
            <w:rFonts w:ascii="宋体" w:hAnsi="宋体" w:hint="eastAsia"/>
            <w:noProof/>
            <w:sz w:val="24"/>
          </w:rPr>
          <w:t>二、释义</w:t>
        </w:r>
        <w:r w:rsidRPr="005A38ED">
          <w:rPr>
            <w:rFonts w:ascii="宋体" w:hAnsi="宋体"/>
            <w:noProof/>
            <w:sz w:val="24"/>
          </w:rPr>
          <w:tab/>
        </w:r>
        <w:r w:rsidRPr="005A38ED">
          <w:rPr>
            <w:rFonts w:ascii="宋体" w:hAnsi="宋体"/>
            <w:noProof/>
            <w:sz w:val="24"/>
          </w:rPr>
          <w:fldChar w:fldCharType="begin"/>
        </w:r>
        <w:r w:rsidRPr="005A38ED">
          <w:rPr>
            <w:rFonts w:ascii="宋体" w:hAnsi="宋体"/>
            <w:noProof/>
            <w:sz w:val="24"/>
          </w:rPr>
          <w:instrText xml:space="preserve"> PAGEREF _Toc231305785 \h </w:instrText>
        </w:r>
        <w:r w:rsidRPr="005A38ED">
          <w:rPr>
            <w:rFonts w:ascii="宋体" w:hAnsi="宋体"/>
            <w:noProof/>
            <w:sz w:val="24"/>
          </w:rPr>
        </w:r>
        <w:r w:rsidRPr="005A38ED">
          <w:rPr>
            <w:rFonts w:ascii="宋体" w:hAnsi="宋体"/>
            <w:noProof/>
            <w:sz w:val="24"/>
          </w:rPr>
          <w:fldChar w:fldCharType="separate"/>
        </w:r>
        <w:r w:rsidRPr="005A38ED">
          <w:rPr>
            <w:rFonts w:ascii="宋体" w:hAnsi="宋体"/>
            <w:noProof/>
            <w:sz w:val="24"/>
          </w:rPr>
          <w:t>6</w:t>
        </w:r>
        <w:r w:rsidRPr="005A38ED">
          <w:rPr>
            <w:rFonts w:ascii="宋体" w:hAnsi="宋体"/>
            <w:noProof/>
            <w:sz w:val="24"/>
          </w:rPr>
          <w:fldChar w:fldCharType="end"/>
        </w:r>
      </w:hyperlink>
    </w:p>
    <w:p w:rsidR="005A38ED" w:rsidRPr="005A38ED" w:rsidRDefault="005A38ED" w:rsidP="005A38ED">
      <w:pPr>
        <w:pStyle w:val="10"/>
        <w:tabs>
          <w:tab w:val="right" w:leader="dot" w:pos="8550"/>
        </w:tabs>
        <w:spacing w:line="360" w:lineRule="auto"/>
        <w:rPr>
          <w:rFonts w:ascii="宋体" w:hAnsi="宋体" w:cstheme="minorBidi"/>
          <w:noProof/>
          <w:sz w:val="24"/>
        </w:rPr>
      </w:pPr>
      <w:hyperlink w:anchor="_Toc231305786" w:history="1">
        <w:r w:rsidRPr="005A38ED">
          <w:rPr>
            <w:rStyle w:val="aa"/>
            <w:rFonts w:ascii="宋体" w:hAnsi="宋体" w:hint="eastAsia"/>
            <w:noProof/>
            <w:sz w:val="24"/>
          </w:rPr>
          <w:t>三、基金管理人</w:t>
        </w:r>
        <w:r w:rsidRPr="005A38ED">
          <w:rPr>
            <w:rFonts w:ascii="宋体" w:hAnsi="宋体"/>
            <w:noProof/>
            <w:sz w:val="24"/>
          </w:rPr>
          <w:tab/>
        </w:r>
        <w:r w:rsidRPr="005A38ED">
          <w:rPr>
            <w:rFonts w:ascii="宋体" w:hAnsi="宋体"/>
            <w:noProof/>
            <w:sz w:val="24"/>
          </w:rPr>
          <w:fldChar w:fldCharType="begin"/>
        </w:r>
        <w:r w:rsidRPr="005A38ED">
          <w:rPr>
            <w:rFonts w:ascii="宋体" w:hAnsi="宋体"/>
            <w:noProof/>
            <w:sz w:val="24"/>
          </w:rPr>
          <w:instrText xml:space="preserve"> PAGEREF _Toc231305786 \h </w:instrText>
        </w:r>
        <w:r w:rsidRPr="005A38ED">
          <w:rPr>
            <w:rFonts w:ascii="宋体" w:hAnsi="宋体"/>
            <w:noProof/>
            <w:sz w:val="24"/>
          </w:rPr>
        </w:r>
        <w:r w:rsidRPr="005A38ED">
          <w:rPr>
            <w:rFonts w:ascii="宋体" w:hAnsi="宋体"/>
            <w:noProof/>
            <w:sz w:val="24"/>
          </w:rPr>
          <w:fldChar w:fldCharType="separate"/>
        </w:r>
        <w:r w:rsidRPr="005A38ED">
          <w:rPr>
            <w:rFonts w:ascii="宋体" w:hAnsi="宋体"/>
            <w:noProof/>
            <w:sz w:val="24"/>
          </w:rPr>
          <w:t>11</w:t>
        </w:r>
        <w:r w:rsidRPr="005A38ED">
          <w:rPr>
            <w:rFonts w:ascii="宋体" w:hAnsi="宋体"/>
            <w:noProof/>
            <w:sz w:val="24"/>
          </w:rPr>
          <w:fldChar w:fldCharType="end"/>
        </w:r>
      </w:hyperlink>
    </w:p>
    <w:p w:rsidR="005A38ED" w:rsidRPr="005A38ED" w:rsidRDefault="005A38ED" w:rsidP="005A38ED">
      <w:pPr>
        <w:pStyle w:val="10"/>
        <w:tabs>
          <w:tab w:val="right" w:leader="dot" w:pos="8550"/>
        </w:tabs>
        <w:spacing w:line="360" w:lineRule="auto"/>
        <w:rPr>
          <w:rFonts w:ascii="宋体" w:hAnsi="宋体" w:cstheme="minorBidi"/>
          <w:noProof/>
          <w:sz w:val="24"/>
        </w:rPr>
      </w:pPr>
      <w:hyperlink w:anchor="_Toc231305787" w:history="1">
        <w:r w:rsidRPr="005A38ED">
          <w:rPr>
            <w:rStyle w:val="aa"/>
            <w:rFonts w:ascii="宋体" w:hAnsi="宋体" w:hint="eastAsia"/>
            <w:noProof/>
            <w:sz w:val="24"/>
          </w:rPr>
          <w:t>四、基金托管人</w:t>
        </w:r>
        <w:r w:rsidRPr="005A38ED">
          <w:rPr>
            <w:rFonts w:ascii="宋体" w:hAnsi="宋体"/>
            <w:noProof/>
            <w:sz w:val="24"/>
          </w:rPr>
          <w:tab/>
        </w:r>
        <w:r w:rsidRPr="005A38ED">
          <w:rPr>
            <w:rFonts w:ascii="宋体" w:hAnsi="宋体"/>
            <w:noProof/>
            <w:sz w:val="24"/>
          </w:rPr>
          <w:fldChar w:fldCharType="begin"/>
        </w:r>
        <w:r w:rsidRPr="005A38ED">
          <w:rPr>
            <w:rFonts w:ascii="宋体" w:hAnsi="宋体"/>
            <w:noProof/>
            <w:sz w:val="24"/>
          </w:rPr>
          <w:instrText xml:space="preserve"> PAGEREF _Toc231305787 \h </w:instrText>
        </w:r>
        <w:r w:rsidRPr="005A38ED">
          <w:rPr>
            <w:rFonts w:ascii="宋体" w:hAnsi="宋体"/>
            <w:noProof/>
            <w:sz w:val="24"/>
          </w:rPr>
        </w:r>
        <w:r w:rsidRPr="005A38ED">
          <w:rPr>
            <w:rFonts w:ascii="宋体" w:hAnsi="宋体"/>
            <w:noProof/>
            <w:sz w:val="24"/>
          </w:rPr>
          <w:fldChar w:fldCharType="separate"/>
        </w:r>
        <w:r w:rsidRPr="005A38ED">
          <w:rPr>
            <w:rFonts w:ascii="宋体" w:hAnsi="宋体"/>
            <w:noProof/>
            <w:sz w:val="24"/>
          </w:rPr>
          <w:t>19</w:t>
        </w:r>
        <w:r w:rsidRPr="005A38ED">
          <w:rPr>
            <w:rFonts w:ascii="宋体" w:hAnsi="宋体"/>
            <w:noProof/>
            <w:sz w:val="24"/>
          </w:rPr>
          <w:fldChar w:fldCharType="end"/>
        </w:r>
      </w:hyperlink>
    </w:p>
    <w:p w:rsidR="005A38ED" w:rsidRPr="005A38ED" w:rsidRDefault="005A38ED" w:rsidP="005A38ED">
      <w:pPr>
        <w:pStyle w:val="10"/>
        <w:tabs>
          <w:tab w:val="right" w:leader="dot" w:pos="8550"/>
        </w:tabs>
        <w:spacing w:line="360" w:lineRule="auto"/>
        <w:rPr>
          <w:rFonts w:ascii="宋体" w:hAnsi="宋体" w:cstheme="minorBidi"/>
          <w:noProof/>
          <w:sz w:val="24"/>
        </w:rPr>
      </w:pPr>
      <w:hyperlink w:anchor="_Toc231305788" w:history="1">
        <w:r w:rsidRPr="005A38ED">
          <w:rPr>
            <w:rStyle w:val="aa"/>
            <w:rFonts w:ascii="宋体" w:hAnsi="宋体" w:hint="eastAsia"/>
            <w:noProof/>
            <w:sz w:val="24"/>
          </w:rPr>
          <w:t>五、相关服务机构</w:t>
        </w:r>
        <w:r w:rsidRPr="005A38ED">
          <w:rPr>
            <w:rFonts w:ascii="宋体" w:hAnsi="宋体"/>
            <w:noProof/>
            <w:sz w:val="24"/>
          </w:rPr>
          <w:tab/>
        </w:r>
        <w:r w:rsidRPr="005A38ED">
          <w:rPr>
            <w:rFonts w:ascii="宋体" w:hAnsi="宋体"/>
            <w:noProof/>
            <w:sz w:val="24"/>
          </w:rPr>
          <w:fldChar w:fldCharType="begin"/>
        </w:r>
        <w:r w:rsidRPr="005A38ED">
          <w:rPr>
            <w:rFonts w:ascii="宋体" w:hAnsi="宋体"/>
            <w:noProof/>
            <w:sz w:val="24"/>
          </w:rPr>
          <w:instrText xml:space="preserve"> PAGEREF _Toc231305788 \h </w:instrText>
        </w:r>
        <w:r w:rsidRPr="005A38ED">
          <w:rPr>
            <w:rFonts w:ascii="宋体" w:hAnsi="宋体"/>
            <w:noProof/>
            <w:sz w:val="24"/>
          </w:rPr>
        </w:r>
        <w:r w:rsidRPr="005A38ED">
          <w:rPr>
            <w:rFonts w:ascii="宋体" w:hAnsi="宋体"/>
            <w:noProof/>
            <w:sz w:val="24"/>
          </w:rPr>
          <w:fldChar w:fldCharType="separate"/>
        </w:r>
        <w:r w:rsidRPr="005A38ED">
          <w:rPr>
            <w:rFonts w:ascii="宋体" w:hAnsi="宋体"/>
            <w:noProof/>
            <w:sz w:val="24"/>
          </w:rPr>
          <w:t>23</w:t>
        </w:r>
        <w:r w:rsidRPr="005A38ED">
          <w:rPr>
            <w:rFonts w:ascii="宋体" w:hAnsi="宋体"/>
            <w:noProof/>
            <w:sz w:val="24"/>
          </w:rPr>
          <w:fldChar w:fldCharType="end"/>
        </w:r>
      </w:hyperlink>
    </w:p>
    <w:p w:rsidR="005A38ED" w:rsidRPr="005A38ED" w:rsidRDefault="005A38ED" w:rsidP="005A38ED">
      <w:pPr>
        <w:pStyle w:val="10"/>
        <w:tabs>
          <w:tab w:val="right" w:leader="dot" w:pos="8550"/>
        </w:tabs>
        <w:spacing w:line="360" w:lineRule="auto"/>
        <w:rPr>
          <w:rFonts w:ascii="宋体" w:hAnsi="宋体" w:cstheme="minorBidi"/>
          <w:noProof/>
          <w:sz w:val="24"/>
        </w:rPr>
      </w:pPr>
      <w:hyperlink w:anchor="_Toc231305789" w:history="1">
        <w:r w:rsidRPr="005A38ED">
          <w:rPr>
            <w:rStyle w:val="aa"/>
            <w:rFonts w:ascii="宋体" w:hAnsi="宋体" w:hint="eastAsia"/>
            <w:noProof/>
            <w:sz w:val="24"/>
          </w:rPr>
          <w:t>六、基金的募集</w:t>
        </w:r>
        <w:r w:rsidRPr="005A38ED">
          <w:rPr>
            <w:rFonts w:ascii="宋体" w:hAnsi="宋体"/>
            <w:noProof/>
            <w:sz w:val="24"/>
          </w:rPr>
          <w:tab/>
        </w:r>
        <w:r w:rsidRPr="005A38ED">
          <w:rPr>
            <w:rFonts w:ascii="宋体" w:hAnsi="宋体"/>
            <w:noProof/>
            <w:sz w:val="24"/>
          </w:rPr>
          <w:fldChar w:fldCharType="begin"/>
        </w:r>
        <w:r w:rsidRPr="005A38ED">
          <w:rPr>
            <w:rFonts w:ascii="宋体" w:hAnsi="宋体"/>
            <w:noProof/>
            <w:sz w:val="24"/>
          </w:rPr>
          <w:instrText xml:space="preserve"> PAGEREF _Toc231305789 \h </w:instrText>
        </w:r>
        <w:r w:rsidRPr="005A38ED">
          <w:rPr>
            <w:rFonts w:ascii="宋体" w:hAnsi="宋体"/>
            <w:noProof/>
            <w:sz w:val="24"/>
          </w:rPr>
        </w:r>
        <w:r w:rsidRPr="005A38ED">
          <w:rPr>
            <w:rFonts w:ascii="宋体" w:hAnsi="宋体"/>
            <w:noProof/>
            <w:sz w:val="24"/>
          </w:rPr>
          <w:fldChar w:fldCharType="separate"/>
        </w:r>
        <w:r w:rsidRPr="005A38ED">
          <w:rPr>
            <w:rFonts w:ascii="宋体" w:hAnsi="宋体"/>
            <w:noProof/>
            <w:sz w:val="24"/>
          </w:rPr>
          <w:t>47</w:t>
        </w:r>
        <w:r w:rsidRPr="005A38ED">
          <w:rPr>
            <w:rFonts w:ascii="宋体" w:hAnsi="宋体"/>
            <w:noProof/>
            <w:sz w:val="24"/>
          </w:rPr>
          <w:fldChar w:fldCharType="end"/>
        </w:r>
      </w:hyperlink>
    </w:p>
    <w:p w:rsidR="005A38ED" w:rsidRPr="005A38ED" w:rsidRDefault="005A38ED" w:rsidP="005A38ED">
      <w:pPr>
        <w:pStyle w:val="10"/>
        <w:tabs>
          <w:tab w:val="right" w:leader="dot" w:pos="8550"/>
        </w:tabs>
        <w:spacing w:line="360" w:lineRule="auto"/>
        <w:rPr>
          <w:rFonts w:ascii="宋体" w:hAnsi="宋体" w:cstheme="minorBidi"/>
          <w:noProof/>
          <w:sz w:val="24"/>
        </w:rPr>
      </w:pPr>
      <w:hyperlink w:anchor="_Toc231305790" w:history="1">
        <w:r w:rsidRPr="005A38ED">
          <w:rPr>
            <w:rStyle w:val="aa"/>
            <w:rFonts w:ascii="宋体" w:hAnsi="宋体" w:hint="eastAsia"/>
            <w:noProof/>
            <w:sz w:val="24"/>
          </w:rPr>
          <w:t>七、基金合同的生效</w:t>
        </w:r>
        <w:r w:rsidRPr="005A38ED">
          <w:rPr>
            <w:rFonts w:ascii="宋体" w:hAnsi="宋体"/>
            <w:noProof/>
            <w:sz w:val="24"/>
          </w:rPr>
          <w:tab/>
        </w:r>
        <w:r w:rsidRPr="005A38ED">
          <w:rPr>
            <w:rFonts w:ascii="宋体" w:hAnsi="宋体"/>
            <w:noProof/>
            <w:sz w:val="24"/>
          </w:rPr>
          <w:fldChar w:fldCharType="begin"/>
        </w:r>
        <w:r w:rsidRPr="005A38ED">
          <w:rPr>
            <w:rFonts w:ascii="宋体" w:hAnsi="宋体"/>
            <w:noProof/>
            <w:sz w:val="24"/>
          </w:rPr>
          <w:instrText xml:space="preserve"> PAGEREF _Toc231305790 \h </w:instrText>
        </w:r>
        <w:r w:rsidRPr="005A38ED">
          <w:rPr>
            <w:rFonts w:ascii="宋体" w:hAnsi="宋体"/>
            <w:noProof/>
            <w:sz w:val="24"/>
          </w:rPr>
        </w:r>
        <w:r w:rsidRPr="005A38ED">
          <w:rPr>
            <w:rFonts w:ascii="宋体" w:hAnsi="宋体"/>
            <w:noProof/>
            <w:sz w:val="24"/>
          </w:rPr>
          <w:fldChar w:fldCharType="separate"/>
        </w:r>
        <w:r w:rsidRPr="005A38ED">
          <w:rPr>
            <w:rFonts w:ascii="宋体" w:hAnsi="宋体"/>
            <w:noProof/>
            <w:sz w:val="24"/>
          </w:rPr>
          <w:t>48</w:t>
        </w:r>
        <w:r w:rsidRPr="005A38ED">
          <w:rPr>
            <w:rFonts w:ascii="宋体" w:hAnsi="宋体"/>
            <w:noProof/>
            <w:sz w:val="24"/>
          </w:rPr>
          <w:fldChar w:fldCharType="end"/>
        </w:r>
      </w:hyperlink>
    </w:p>
    <w:p w:rsidR="005A38ED" w:rsidRPr="005A38ED" w:rsidRDefault="005A38ED" w:rsidP="005A38ED">
      <w:pPr>
        <w:pStyle w:val="10"/>
        <w:tabs>
          <w:tab w:val="right" w:leader="dot" w:pos="8550"/>
        </w:tabs>
        <w:spacing w:line="360" w:lineRule="auto"/>
        <w:rPr>
          <w:rFonts w:ascii="宋体" w:hAnsi="宋体" w:cstheme="minorBidi"/>
          <w:noProof/>
          <w:sz w:val="24"/>
        </w:rPr>
      </w:pPr>
      <w:hyperlink w:anchor="_Toc231305791" w:history="1">
        <w:r w:rsidRPr="005A38ED">
          <w:rPr>
            <w:rStyle w:val="aa"/>
            <w:rFonts w:ascii="宋体" w:hAnsi="宋体" w:hint="eastAsia"/>
            <w:noProof/>
            <w:sz w:val="24"/>
          </w:rPr>
          <w:t>八、基金份额的申购与赎回</w:t>
        </w:r>
        <w:r w:rsidRPr="005A38ED">
          <w:rPr>
            <w:rFonts w:ascii="宋体" w:hAnsi="宋体"/>
            <w:noProof/>
            <w:sz w:val="24"/>
          </w:rPr>
          <w:tab/>
        </w:r>
        <w:r w:rsidRPr="005A38ED">
          <w:rPr>
            <w:rFonts w:ascii="宋体" w:hAnsi="宋体"/>
            <w:noProof/>
            <w:sz w:val="24"/>
          </w:rPr>
          <w:fldChar w:fldCharType="begin"/>
        </w:r>
        <w:r w:rsidRPr="005A38ED">
          <w:rPr>
            <w:rFonts w:ascii="宋体" w:hAnsi="宋体"/>
            <w:noProof/>
            <w:sz w:val="24"/>
          </w:rPr>
          <w:instrText xml:space="preserve"> PAGEREF _Toc231305791 \h </w:instrText>
        </w:r>
        <w:r w:rsidRPr="005A38ED">
          <w:rPr>
            <w:rFonts w:ascii="宋体" w:hAnsi="宋体"/>
            <w:noProof/>
            <w:sz w:val="24"/>
          </w:rPr>
        </w:r>
        <w:r w:rsidRPr="005A38ED">
          <w:rPr>
            <w:rFonts w:ascii="宋体" w:hAnsi="宋体"/>
            <w:noProof/>
            <w:sz w:val="24"/>
          </w:rPr>
          <w:fldChar w:fldCharType="separate"/>
        </w:r>
        <w:r w:rsidRPr="005A38ED">
          <w:rPr>
            <w:rFonts w:ascii="宋体" w:hAnsi="宋体"/>
            <w:noProof/>
            <w:sz w:val="24"/>
          </w:rPr>
          <w:t>49</w:t>
        </w:r>
        <w:r w:rsidRPr="005A38ED">
          <w:rPr>
            <w:rFonts w:ascii="宋体" w:hAnsi="宋体"/>
            <w:noProof/>
            <w:sz w:val="24"/>
          </w:rPr>
          <w:fldChar w:fldCharType="end"/>
        </w:r>
      </w:hyperlink>
    </w:p>
    <w:p w:rsidR="005A38ED" w:rsidRPr="005A38ED" w:rsidRDefault="005A38ED" w:rsidP="005A38ED">
      <w:pPr>
        <w:pStyle w:val="10"/>
        <w:tabs>
          <w:tab w:val="right" w:leader="dot" w:pos="8550"/>
        </w:tabs>
        <w:spacing w:line="360" w:lineRule="auto"/>
        <w:rPr>
          <w:rFonts w:ascii="宋体" w:hAnsi="宋体" w:cstheme="minorBidi"/>
          <w:noProof/>
          <w:sz w:val="24"/>
        </w:rPr>
      </w:pPr>
      <w:hyperlink w:anchor="_Toc231305792" w:history="1">
        <w:r w:rsidRPr="005A38ED">
          <w:rPr>
            <w:rStyle w:val="aa"/>
            <w:rFonts w:ascii="宋体" w:hAnsi="宋体" w:hint="eastAsia"/>
            <w:noProof/>
            <w:sz w:val="24"/>
          </w:rPr>
          <w:t>九、基金的转换</w:t>
        </w:r>
        <w:r w:rsidRPr="005A38ED">
          <w:rPr>
            <w:rFonts w:ascii="宋体" w:hAnsi="宋体"/>
            <w:noProof/>
            <w:sz w:val="24"/>
          </w:rPr>
          <w:tab/>
        </w:r>
        <w:r w:rsidRPr="005A38ED">
          <w:rPr>
            <w:rFonts w:ascii="宋体" w:hAnsi="宋体"/>
            <w:noProof/>
            <w:sz w:val="24"/>
          </w:rPr>
          <w:fldChar w:fldCharType="begin"/>
        </w:r>
        <w:r w:rsidRPr="005A38ED">
          <w:rPr>
            <w:rFonts w:ascii="宋体" w:hAnsi="宋体"/>
            <w:noProof/>
            <w:sz w:val="24"/>
          </w:rPr>
          <w:instrText xml:space="preserve"> PAGEREF _Toc231305792 \h </w:instrText>
        </w:r>
        <w:r w:rsidRPr="005A38ED">
          <w:rPr>
            <w:rFonts w:ascii="宋体" w:hAnsi="宋体"/>
            <w:noProof/>
            <w:sz w:val="24"/>
          </w:rPr>
        </w:r>
        <w:r w:rsidRPr="005A38ED">
          <w:rPr>
            <w:rFonts w:ascii="宋体" w:hAnsi="宋体"/>
            <w:noProof/>
            <w:sz w:val="24"/>
          </w:rPr>
          <w:fldChar w:fldCharType="separate"/>
        </w:r>
        <w:r w:rsidRPr="005A38ED">
          <w:rPr>
            <w:rFonts w:ascii="宋体" w:hAnsi="宋体"/>
            <w:noProof/>
            <w:sz w:val="24"/>
          </w:rPr>
          <w:t>61</w:t>
        </w:r>
        <w:r w:rsidRPr="005A38ED">
          <w:rPr>
            <w:rFonts w:ascii="宋体" w:hAnsi="宋体"/>
            <w:noProof/>
            <w:sz w:val="24"/>
          </w:rPr>
          <w:fldChar w:fldCharType="end"/>
        </w:r>
      </w:hyperlink>
    </w:p>
    <w:p w:rsidR="005A38ED" w:rsidRPr="005A38ED" w:rsidRDefault="005A38ED" w:rsidP="005A38ED">
      <w:pPr>
        <w:pStyle w:val="10"/>
        <w:tabs>
          <w:tab w:val="right" w:leader="dot" w:pos="8550"/>
        </w:tabs>
        <w:spacing w:line="360" w:lineRule="auto"/>
        <w:rPr>
          <w:rFonts w:ascii="宋体" w:hAnsi="宋体" w:cstheme="minorBidi"/>
          <w:noProof/>
          <w:sz w:val="24"/>
        </w:rPr>
      </w:pPr>
      <w:hyperlink w:anchor="_Toc231305793" w:history="1">
        <w:r w:rsidRPr="005A38ED">
          <w:rPr>
            <w:rStyle w:val="aa"/>
            <w:rFonts w:ascii="宋体" w:hAnsi="宋体" w:hint="eastAsia"/>
            <w:noProof/>
            <w:sz w:val="24"/>
          </w:rPr>
          <w:t>十、基金的投资</w:t>
        </w:r>
        <w:r w:rsidRPr="005A38ED">
          <w:rPr>
            <w:rFonts w:ascii="宋体" w:hAnsi="宋体"/>
            <w:noProof/>
            <w:sz w:val="24"/>
          </w:rPr>
          <w:tab/>
        </w:r>
        <w:r w:rsidRPr="005A38ED">
          <w:rPr>
            <w:rFonts w:ascii="宋体" w:hAnsi="宋体"/>
            <w:noProof/>
            <w:sz w:val="24"/>
          </w:rPr>
          <w:fldChar w:fldCharType="begin"/>
        </w:r>
        <w:r w:rsidRPr="005A38ED">
          <w:rPr>
            <w:rFonts w:ascii="宋体" w:hAnsi="宋体"/>
            <w:noProof/>
            <w:sz w:val="24"/>
          </w:rPr>
          <w:instrText xml:space="preserve"> PAGEREF _Toc231305793 \h </w:instrText>
        </w:r>
        <w:r w:rsidRPr="005A38ED">
          <w:rPr>
            <w:rFonts w:ascii="宋体" w:hAnsi="宋体"/>
            <w:noProof/>
            <w:sz w:val="24"/>
          </w:rPr>
        </w:r>
        <w:r w:rsidRPr="005A38ED">
          <w:rPr>
            <w:rFonts w:ascii="宋体" w:hAnsi="宋体"/>
            <w:noProof/>
            <w:sz w:val="24"/>
          </w:rPr>
          <w:fldChar w:fldCharType="separate"/>
        </w:r>
        <w:r w:rsidRPr="005A38ED">
          <w:rPr>
            <w:rFonts w:ascii="宋体" w:hAnsi="宋体"/>
            <w:noProof/>
            <w:sz w:val="24"/>
          </w:rPr>
          <w:t>68</w:t>
        </w:r>
        <w:r w:rsidRPr="005A38ED">
          <w:rPr>
            <w:rFonts w:ascii="宋体" w:hAnsi="宋体"/>
            <w:noProof/>
            <w:sz w:val="24"/>
          </w:rPr>
          <w:fldChar w:fldCharType="end"/>
        </w:r>
      </w:hyperlink>
    </w:p>
    <w:p w:rsidR="005A38ED" w:rsidRPr="005A38ED" w:rsidRDefault="005A38ED" w:rsidP="005A38ED">
      <w:pPr>
        <w:pStyle w:val="10"/>
        <w:tabs>
          <w:tab w:val="right" w:leader="dot" w:pos="8550"/>
        </w:tabs>
        <w:spacing w:line="360" w:lineRule="auto"/>
        <w:rPr>
          <w:rFonts w:ascii="宋体" w:hAnsi="宋体" w:cstheme="minorBidi"/>
          <w:noProof/>
          <w:sz w:val="24"/>
        </w:rPr>
      </w:pPr>
      <w:hyperlink w:anchor="_Toc231305794" w:history="1">
        <w:r w:rsidRPr="005A38ED">
          <w:rPr>
            <w:rStyle w:val="aa"/>
            <w:rFonts w:ascii="宋体" w:hAnsi="宋体" w:hint="eastAsia"/>
            <w:noProof/>
            <w:sz w:val="24"/>
          </w:rPr>
          <w:t>十一、基金的业绩</w:t>
        </w:r>
        <w:r w:rsidRPr="005A38ED">
          <w:rPr>
            <w:rFonts w:ascii="宋体" w:hAnsi="宋体"/>
            <w:noProof/>
            <w:sz w:val="24"/>
          </w:rPr>
          <w:tab/>
        </w:r>
        <w:r w:rsidRPr="005A38ED">
          <w:rPr>
            <w:rFonts w:ascii="宋体" w:hAnsi="宋体"/>
            <w:noProof/>
            <w:sz w:val="24"/>
          </w:rPr>
          <w:fldChar w:fldCharType="begin"/>
        </w:r>
        <w:r w:rsidRPr="005A38ED">
          <w:rPr>
            <w:rFonts w:ascii="宋体" w:hAnsi="宋体"/>
            <w:noProof/>
            <w:sz w:val="24"/>
          </w:rPr>
          <w:instrText xml:space="preserve"> PAGEREF _Toc231305794 \h </w:instrText>
        </w:r>
        <w:r w:rsidRPr="005A38ED">
          <w:rPr>
            <w:rFonts w:ascii="宋体" w:hAnsi="宋体"/>
            <w:noProof/>
            <w:sz w:val="24"/>
          </w:rPr>
        </w:r>
        <w:r w:rsidRPr="005A38ED">
          <w:rPr>
            <w:rFonts w:ascii="宋体" w:hAnsi="宋体"/>
            <w:noProof/>
            <w:sz w:val="24"/>
          </w:rPr>
          <w:fldChar w:fldCharType="separate"/>
        </w:r>
        <w:r w:rsidRPr="005A38ED">
          <w:rPr>
            <w:rFonts w:ascii="宋体" w:hAnsi="宋体"/>
            <w:noProof/>
            <w:sz w:val="24"/>
          </w:rPr>
          <w:t>83</w:t>
        </w:r>
        <w:r w:rsidRPr="005A38ED">
          <w:rPr>
            <w:rFonts w:ascii="宋体" w:hAnsi="宋体"/>
            <w:noProof/>
            <w:sz w:val="24"/>
          </w:rPr>
          <w:fldChar w:fldCharType="end"/>
        </w:r>
      </w:hyperlink>
    </w:p>
    <w:p w:rsidR="005A38ED" w:rsidRPr="005A38ED" w:rsidRDefault="005A38ED" w:rsidP="005A38ED">
      <w:pPr>
        <w:pStyle w:val="10"/>
        <w:tabs>
          <w:tab w:val="right" w:leader="dot" w:pos="8550"/>
        </w:tabs>
        <w:spacing w:line="360" w:lineRule="auto"/>
        <w:rPr>
          <w:rFonts w:ascii="宋体" w:hAnsi="宋体" w:cstheme="minorBidi"/>
          <w:noProof/>
          <w:sz w:val="24"/>
        </w:rPr>
      </w:pPr>
      <w:hyperlink w:anchor="_Toc231305795" w:history="1">
        <w:r w:rsidRPr="005A38ED">
          <w:rPr>
            <w:rStyle w:val="aa"/>
            <w:rFonts w:ascii="宋体" w:hAnsi="宋体" w:hint="eastAsia"/>
            <w:noProof/>
            <w:sz w:val="24"/>
          </w:rPr>
          <w:t>十二、基金的财产</w:t>
        </w:r>
        <w:r w:rsidRPr="005A38ED">
          <w:rPr>
            <w:rFonts w:ascii="宋体" w:hAnsi="宋体"/>
            <w:noProof/>
            <w:sz w:val="24"/>
          </w:rPr>
          <w:tab/>
        </w:r>
        <w:r w:rsidRPr="005A38ED">
          <w:rPr>
            <w:rFonts w:ascii="宋体" w:hAnsi="宋体"/>
            <w:noProof/>
            <w:sz w:val="24"/>
          </w:rPr>
          <w:fldChar w:fldCharType="begin"/>
        </w:r>
        <w:r w:rsidRPr="005A38ED">
          <w:rPr>
            <w:rFonts w:ascii="宋体" w:hAnsi="宋体"/>
            <w:noProof/>
            <w:sz w:val="24"/>
          </w:rPr>
          <w:instrText xml:space="preserve"> PAGEREF _Toc231305795 \h </w:instrText>
        </w:r>
        <w:r w:rsidRPr="005A38ED">
          <w:rPr>
            <w:rFonts w:ascii="宋体" w:hAnsi="宋体"/>
            <w:noProof/>
            <w:sz w:val="24"/>
          </w:rPr>
        </w:r>
        <w:r w:rsidRPr="005A38ED">
          <w:rPr>
            <w:rFonts w:ascii="宋体" w:hAnsi="宋体"/>
            <w:noProof/>
            <w:sz w:val="24"/>
          </w:rPr>
          <w:fldChar w:fldCharType="separate"/>
        </w:r>
        <w:r w:rsidRPr="005A38ED">
          <w:rPr>
            <w:rFonts w:ascii="宋体" w:hAnsi="宋体"/>
            <w:noProof/>
            <w:sz w:val="24"/>
          </w:rPr>
          <w:t>86</w:t>
        </w:r>
        <w:r w:rsidRPr="005A38ED">
          <w:rPr>
            <w:rFonts w:ascii="宋体" w:hAnsi="宋体"/>
            <w:noProof/>
            <w:sz w:val="24"/>
          </w:rPr>
          <w:fldChar w:fldCharType="end"/>
        </w:r>
      </w:hyperlink>
    </w:p>
    <w:p w:rsidR="005A38ED" w:rsidRPr="005A38ED" w:rsidRDefault="005A38ED" w:rsidP="005A38ED">
      <w:pPr>
        <w:pStyle w:val="10"/>
        <w:tabs>
          <w:tab w:val="right" w:leader="dot" w:pos="8550"/>
        </w:tabs>
        <w:spacing w:line="360" w:lineRule="auto"/>
        <w:rPr>
          <w:rFonts w:ascii="宋体" w:hAnsi="宋体" w:cstheme="minorBidi"/>
          <w:noProof/>
          <w:sz w:val="24"/>
        </w:rPr>
      </w:pPr>
      <w:hyperlink w:anchor="_Toc231305796" w:history="1">
        <w:r w:rsidRPr="005A38ED">
          <w:rPr>
            <w:rStyle w:val="aa"/>
            <w:rFonts w:ascii="宋体" w:hAnsi="宋体" w:hint="eastAsia"/>
            <w:noProof/>
            <w:sz w:val="24"/>
          </w:rPr>
          <w:t>十三、基金资产的估值</w:t>
        </w:r>
        <w:r w:rsidRPr="005A38ED">
          <w:rPr>
            <w:rFonts w:ascii="宋体" w:hAnsi="宋体"/>
            <w:noProof/>
            <w:sz w:val="24"/>
          </w:rPr>
          <w:tab/>
        </w:r>
        <w:r w:rsidRPr="005A38ED">
          <w:rPr>
            <w:rFonts w:ascii="宋体" w:hAnsi="宋体"/>
            <w:noProof/>
            <w:sz w:val="24"/>
          </w:rPr>
          <w:fldChar w:fldCharType="begin"/>
        </w:r>
        <w:r w:rsidRPr="005A38ED">
          <w:rPr>
            <w:rFonts w:ascii="宋体" w:hAnsi="宋体"/>
            <w:noProof/>
            <w:sz w:val="24"/>
          </w:rPr>
          <w:instrText xml:space="preserve"> PAGEREF _Toc231305796 \h </w:instrText>
        </w:r>
        <w:r w:rsidRPr="005A38ED">
          <w:rPr>
            <w:rFonts w:ascii="宋体" w:hAnsi="宋体"/>
            <w:noProof/>
            <w:sz w:val="24"/>
          </w:rPr>
        </w:r>
        <w:r w:rsidRPr="005A38ED">
          <w:rPr>
            <w:rFonts w:ascii="宋体" w:hAnsi="宋体"/>
            <w:noProof/>
            <w:sz w:val="24"/>
          </w:rPr>
          <w:fldChar w:fldCharType="separate"/>
        </w:r>
        <w:r w:rsidRPr="005A38ED">
          <w:rPr>
            <w:rFonts w:ascii="宋体" w:hAnsi="宋体"/>
            <w:noProof/>
            <w:sz w:val="24"/>
          </w:rPr>
          <w:t>87</w:t>
        </w:r>
        <w:r w:rsidRPr="005A38ED">
          <w:rPr>
            <w:rFonts w:ascii="宋体" w:hAnsi="宋体"/>
            <w:noProof/>
            <w:sz w:val="24"/>
          </w:rPr>
          <w:fldChar w:fldCharType="end"/>
        </w:r>
      </w:hyperlink>
    </w:p>
    <w:p w:rsidR="005A38ED" w:rsidRPr="005A38ED" w:rsidRDefault="005A38ED" w:rsidP="005A38ED">
      <w:pPr>
        <w:pStyle w:val="10"/>
        <w:tabs>
          <w:tab w:val="right" w:leader="dot" w:pos="8550"/>
        </w:tabs>
        <w:spacing w:line="360" w:lineRule="auto"/>
        <w:rPr>
          <w:rFonts w:ascii="宋体" w:hAnsi="宋体" w:cstheme="minorBidi"/>
          <w:noProof/>
          <w:sz w:val="24"/>
        </w:rPr>
      </w:pPr>
      <w:hyperlink w:anchor="_Toc231305797" w:history="1">
        <w:r w:rsidRPr="005A38ED">
          <w:rPr>
            <w:rStyle w:val="aa"/>
            <w:rFonts w:ascii="宋体" w:hAnsi="宋体" w:hint="eastAsia"/>
            <w:noProof/>
            <w:sz w:val="24"/>
          </w:rPr>
          <w:t>十四、基金收益与分配</w:t>
        </w:r>
        <w:r w:rsidRPr="005A38ED">
          <w:rPr>
            <w:rFonts w:ascii="宋体" w:hAnsi="宋体"/>
            <w:noProof/>
            <w:sz w:val="24"/>
          </w:rPr>
          <w:tab/>
        </w:r>
        <w:r w:rsidRPr="005A38ED">
          <w:rPr>
            <w:rFonts w:ascii="宋体" w:hAnsi="宋体"/>
            <w:noProof/>
            <w:sz w:val="24"/>
          </w:rPr>
          <w:fldChar w:fldCharType="begin"/>
        </w:r>
        <w:r w:rsidRPr="005A38ED">
          <w:rPr>
            <w:rFonts w:ascii="宋体" w:hAnsi="宋体"/>
            <w:noProof/>
            <w:sz w:val="24"/>
          </w:rPr>
          <w:instrText xml:space="preserve"> PAGEREF _Toc231305797 \h </w:instrText>
        </w:r>
        <w:r w:rsidRPr="005A38ED">
          <w:rPr>
            <w:rFonts w:ascii="宋体" w:hAnsi="宋体"/>
            <w:noProof/>
            <w:sz w:val="24"/>
          </w:rPr>
        </w:r>
        <w:r w:rsidRPr="005A38ED">
          <w:rPr>
            <w:rFonts w:ascii="宋体" w:hAnsi="宋体"/>
            <w:noProof/>
            <w:sz w:val="24"/>
          </w:rPr>
          <w:fldChar w:fldCharType="separate"/>
        </w:r>
        <w:r w:rsidRPr="005A38ED">
          <w:rPr>
            <w:rFonts w:ascii="宋体" w:hAnsi="宋体"/>
            <w:noProof/>
            <w:sz w:val="24"/>
          </w:rPr>
          <w:t>94</w:t>
        </w:r>
        <w:r w:rsidRPr="005A38ED">
          <w:rPr>
            <w:rFonts w:ascii="宋体" w:hAnsi="宋体"/>
            <w:noProof/>
            <w:sz w:val="24"/>
          </w:rPr>
          <w:fldChar w:fldCharType="end"/>
        </w:r>
      </w:hyperlink>
    </w:p>
    <w:p w:rsidR="005A38ED" w:rsidRPr="005A38ED" w:rsidRDefault="005A38ED" w:rsidP="005A38ED">
      <w:pPr>
        <w:pStyle w:val="10"/>
        <w:tabs>
          <w:tab w:val="right" w:leader="dot" w:pos="8550"/>
        </w:tabs>
        <w:spacing w:line="360" w:lineRule="auto"/>
        <w:rPr>
          <w:rFonts w:ascii="宋体" w:hAnsi="宋体" w:cstheme="minorBidi"/>
          <w:noProof/>
          <w:sz w:val="24"/>
        </w:rPr>
      </w:pPr>
      <w:hyperlink w:anchor="_Toc231305798" w:history="1">
        <w:r w:rsidRPr="005A38ED">
          <w:rPr>
            <w:rStyle w:val="aa"/>
            <w:rFonts w:ascii="宋体" w:hAnsi="宋体" w:hint="eastAsia"/>
            <w:noProof/>
            <w:sz w:val="24"/>
          </w:rPr>
          <w:t>十五、基金的费用与税收</w:t>
        </w:r>
        <w:r w:rsidRPr="005A38ED">
          <w:rPr>
            <w:rFonts w:ascii="宋体" w:hAnsi="宋体"/>
            <w:noProof/>
            <w:sz w:val="24"/>
          </w:rPr>
          <w:tab/>
        </w:r>
        <w:r w:rsidRPr="005A38ED">
          <w:rPr>
            <w:rFonts w:ascii="宋体" w:hAnsi="宋体"/>
            <w:noProof/>
            <w:sz w:val="24"/>
          </w:rPr>
          <w:fldChar w:fldCharType="begin"/>
        </w:r>
        <w:r w:rsidRPr="005A38ED">
          <w:rPr>
            <w:rFonts w:ascii="宋体" w:hAnsi="宋体"/>
            <w:noProof/>
            <w:sz w:val="24"/>
          </w:rPr>
          <w:instrText xml:space="preserve"> PAGEREF _Toc231305798 \h </w:instrText>
        </w:r>
        <w:r w:rsidRPr="005A38ED">
          <w:rPr>
            <w:rFonts w:ascii="宋体" w:hAnsi="宋体"/>
            <w:noProof/>
            <w:sz w:val="24"/>
          </w:rPr>
        </w:r>
        <w:r w:rsidRPr="005A38ED">
          <w:rPr>
            <w:rFonts w:ascii="宋体" w:hAnsi="宋体"/>
            <w:noProof/>
            <w:sz w:val="24"/>
          </w:rPr>
          <w:fldChar w:fldCharType="separate"/>
        </w:r>
        <w:r w:rsidRPr="005A38ED">
          <w:rPr>
            <w:rFonts w:ascii="宋体" w:hAnsi="宋体"/>
            <w:noProof/>
            <w:sz w:val="24"/>
          </w:rPr>
          <w:t>96</w:t>
        </w:r>
        <w:r w:rsidRPr="005A38ED">
          <w:rPr>
            <w:rFonts w:ascii="宋体" w:hAnsi="宋体"/>
            <w:noProof/>
            <w:sz w:val="24"/>
          </w:rPr>
          <w:fldChar w:fldCharType="end"/>
        </w:r>
      </w:hyperlink>
    </w:p>
    <w:p w:rsidR="005A38ED" w:rsidRPr="005A38ED" w:rsidRDefault="005A38ED" w:rsidP="005A38ED">
      <w:pPr>
        <w:pStyle w:val="10"/>
        <w:tabs>
          <w:tab w:val="right" w:leader="dot" w:pos="8550"/>
        </w:tabs>
        <w:spacing w:line="360" w:lineRule="auto"/>
        <w:rPr>
          <w:rFonts w:ascii="宋体" w:hAnsi="宋体" w:cstheme="minorBidi"/>
          <w:noProof/>
          <w:sz w:val="24"/>
        </w:rPr>
      </w:pPr>
      <w:hyperlink w:anchor="_Toc231305799" w:history="1">
        <w:r w:rsidRPr="005A38ED">
          <w:rPr>
            <w:rStyle w:val="aa"/>
            <w:rFonts w:ascii="宋体" w:hAnsi="宋体" w:hint="eastAsia"/>
            <w:noProof/>
            <w:sz w:val="24"/>
          </w:rPr>
          <w:t>十六、基金的会计与审计</w:t>
        </w:r>
        <w:r w:rsidRPr="005A38ED">
          <w:rPr>
            <w:rFonts w:ascii="宋体" w:hAnsi="宋体"/>
            <w:noProof/>
            <w:sz w:val="24"/>
          </w:rPr>
          <w:tab/>
        </w:r>
        <w:r w:rsidRPr="005A38ED">
          <w:rPr>
            <w:rFonts w:ascii="宋体" w:hAnsi="宋体"/>
            <w:noProof/>
            <w:sz w:val="24"/>
          </w:rPr>
          <w:fldChar w:fldCharType="begin"/>
        </w:r>
        <w:r w:rsidRPr="005A38ED">
          <w:rPr>
            <w:rFonts w:ascii="宋体" w:hAnsi="宋体"/>
            <w:noProof/>
            <w:sz w:val="24"/>
          </w:rPr>
          <w:instrText xml:space="preserve"> PAGEREF _Toc231305799 \h </w:instrText>
        </w:r>
        <w:r w:rsidRPr="005A38ED">
          <w:rPr>
            <w:rFonts w:ascii="宋体" w:hAnsi="宋体"/>
            <w:noProof/>
            <w:sz w:val="24"/>
          </w:rPr>
        </w:r>
        <w:r w:rsidRPr="005A38ED">
          <w:rPr>
            <w:rFonts w:ascii="宋体" w:hAnsi="宋体"/>
            <w:noProof/>
            <w:sz w:val="24"/>
          </w:rPr>
          <w:fldChar w:fldCharType="separate"/>
        </w:r>
        <w:r w:rsidRPr="005A38ED">
          <w:rPr>
            <w:rFonts w:ascii="宋体" w:hAnsi="宋体"/>
            <w:noProof/>
            <w:sz w:val="24"/>
          </w:rPr>
          <w:t>99</w:t>
        </w:r>
        <w:r w:rsidRPr="005A38ED">
          <w:rPr>
            <w:rFonts w:ascii="宋体" w:hAnsi="宋体"/>
            <w:noProof/>
            <w:sz w:val="24"/>
          </w:rPr>
          <w:fldChar w:fldCharType="end"/>
        </w:r>
      </w:hyperlink>
    </w:p>
    <w:p w:rsidR="005A38ED" w:rsidRPr="005A38ED" w:rsidRDefault="005A38ED" w:rsidP="005A38ED">
      <w:pPr>
        <w:pStyle w:val="10"/>
        <w:tabs>
          <w:tab w:val="right" w:leader="dot" w:pos="8550"/>
        </w:tabs>
        <w:spacing w:line="360" w:lineRule="auto"/>
        <w:rPr>
          <w:rFonts w:ascii="宋体" w:hAnsi="宋体" w:cstheme="minorBidi"/>
          <w:noProof/>
          <w:sz w:val="24"/>
        </w:rPr>
      </w:pPr>
      <w:hyperlink w:anchor="_Toc231305800" w:history="1">
        <w:r w:rsidRPr="005A38ED">
          <w:rPr>
            <w:rStyle w:val="aa"/>
            <w:rFonts w:ascii="宋体" w:hAnsi="宋体" w:hint="eastAsia"/>
            <w:noProof/>
            <w:sz w:val="24"/>
          </w:rPr>
          <w:t>十七、基金的信息披露</w:t>
        </w:r>
        <w:r w:rsidRPr="005A38ED">
          <w:rPr>
            <w:rFonts w:ascii="宋体" w:hAnsi="宋体"/>
            <w:noProof/>
            <w:sz w:val="24"/>
          </w:rPr>
          <w:tab/>
        </w:r>
        <w:r w:rsidRPr="005A38ED">
          <w:rPr>
            <w:rFonts w:ascii="宋体" w:hAnsi="宋体"/>
            <w:noProof/>
            <w:sz w:val="24"/>
          </w:rPr>
          <w:fldChar w:fldCharType="begin"/>
        </w:r>
        <w:r w:rsidRPr="005A38ED">
          <w:rPr>
            <w:rFonts w:ascii="宋体" w:hAnsi="宋体"/>
            <w:noProof/>
            <w:sz w:val="24"/>
          </w:rPr>
          <w:instrText xml:space="preserve"> PAGEREF _Toc231305800 \h </w:instrText>
        </w:r>
        <w:r w:rsidRPr="005A38ED">
          <w:rPr>
            <w:rFonts w:ascii="宋体" w:hAnsi="宋体"/>
            <w:noProof/>
            <w:sz w:val="24"/>
          </w:rPr>
        </w:r>
        <w:r w:rsidRPr="005A38ED">
          <w:rPr>
            <w:rFonts w:ascii="宋体" w:hAnsi="宋体"/>
            <w:noProof/>
            <w:sz w:val="24"/>
          </w:rPr>
          <w:fldChar w:fldCharType="separate"/>
        </w:r>
        <w:r w:rsidRPr="005A38ED">
          <w:rPr>
            <w:rFonts w:ascii="宋体" w:hAnsi="宋体"/>
            <w:noProof/>
            <w:sz w:val="24"/>
          </w:rPr>
          <w:t>100</w:t>
        </w:r>
        <w:r w:rsidRPr="005A38ED">
          <w:rPr>
            <w:rFonts w:ascii="宋体" w:hAnsi="宋体"/>
            <w:noProof/>
            <w:sz w:val="24"/>
          </w:rPr>
          <w:fldChar w:fldCharType="end"/>
        </w:r>
      </w:hyperlink>
    </w:p>
    <w:p w:rsidR="005A38ED" w:rsidRPr="005A38ED" w:rsidRDefault="005A38ED" w:rsidP="005A38ED">
      <w:pPr>
        <w:pStyle w:val="10"/>
        <w:tabs>
          <w:tab w:val="right" w:leader="dot" w:pos="8550"/>
        </w:tabs>
        <w:spacing w:line="360" w:lineRule="auto"/>
        <w:rPr>
          <w:rFonts w:ascii="宋体" w:hAnsi="宋体" w:cstheme="minorBidi"/>
          <w:noProof/>
          <w:sz w:val="24"/>
        </w:rPr>
      </w:pPr>
      <w:hyperlink w:anchor="_Toc231305801" w:history="1">
        <w:r w:rsidRPr="005A38ED">
          <w:rPr>
            <w:rStyle w:val="aa"/>
            <w:rFonts w:ascii="宋体" w:hAnsi="宋体" w:hint="eastAsia"/>
            <w:noProof/>
            <w:sz w:val="24"/>
          </w:rPr>
          <w:t>十八、侧袋机制</w:t>
        </w:r>
        <w:r w:rsidRPr="005A38ED">
          <w:rPr>
            <w:rFonts w:ascii="宋体" w:hAnsi="宋体"/>
            <w:noProof/>
            <w:sz w:val="24"/>
          </w:rPr>
          <w:tab/>
        </w:r>
        <w:r w:rsidRPr="005A38ED">
          <w:rPr>
            <w:rFonts w:ascii="宋体" w:hAnsi="宋体"/>
            <w:noProof/>
            <w:sz w:val="24"/>
          </w:rPr>
          <w:fldChar w:fldCharType="begin"/>
        </w:r>
        <w:r w:rsidRPr="005A38ED">
          <w:rPr>
            <w:rFonts w:ascii="宋体" w:hAnsi="宋体"/>
            <w:noProof/>
            <w:sz w:val="24"/>
          </w:rPr>
          <w:instrText xml:space="preserve"> PAGEREF _Toc231305801 \h </w:instrText>
        </w:r>
        <w:r w:rsidRPr="005A38ED">
          <w:rPr>
            <w:rFonts w:ascii="宋体" w:hAnsi="宋体"/>
            <w:noProof/>
            <w:sz w:val="24"/>
          </w:rPr>
        </w:r>
        <w:r w:rsidRPr="005A38ED">
          <w:rPr>
            <w:rFonts w:ascii="宋体" w:hAnsi="宋体"/>
            <w:noProof/>
            <w:sz w:val="24"/>
          </w:rPr>
          <w:fldChar w:fldCharType="separate"/>
        </w:r>
        <w:r w:rsidRPr="005A38ED">
          <w:rPr>
            <w:rFonts w:ascii="宋体" w:hAnsi="宋体"/>
            <w:noProof/>
            <w:sz w:val="24"/>
          </w:rPr>
          <w:t>107</w:t>
        </w:r>
        <w:r w:rsidRPr="005A38ED">
          <w:rPr>
            <w:rFonts w:ascii="宋体" w:hAnsi="宋体"/>
            <w:noProof/>
            <w:sz w:val="24"/>
          </w:rPr>
          <w:fldChar w:fldCharType="end"/>
        </w:r>
      </w:hyperlink>
    </w:p>
    <w:p w:rsidR="005A38ED" w:rsidRPr="005A38ED" w:rsidRDefault="005A38ED" w:rsidP="005A38ED">
      <w:pPr>
        <w:pStyle w:val="10"/>
        <w:tabs>
          <w:tab w:val="right" w:leader="dot" w:pos="8550"/>
        </w:tabs>
        <w:spacing w:line="360" w:lineRule="auto"/>
        <w:rPr>
          <w:rFonts w:ascii="宋体" w:hAnsi="宋体" w:cstheme="minorBidi"/>
          <w:noProof/>
          <w:sz w:val="24"/>
        </w:rPr>
      </w:pPr>
      <w:hyperlink w:anchor="_Toc231305802" w:history="1">
        <w:r w:rsidRPr="005A38ED">
          <w:rPr>
            <w:rStyle w:val="aa"/>
            <w:rFonts w:ascii="宋体" w:hAnsi="宋体" w:hint="eastAsia"/>
            <w:noProof/>
            <w:sz w:val="24"/>
          </w:rPr>
          <w:t>十九、风险揭示</w:t>
        </w:r>
        <w:r w:rsidRPr="005A38ED">
          <w:rPr>
            <w:rFonts w:ascii="宋体" w:hAnsi="宋体"/>
            <w:noProof/>
            <w:sz w:val="24"/>
          </w:rPr>
          <w:tab/>
        </w:r>
        <w:r w:rsidRPr="005A38ED">
          <w:rPr>
            <w:rFonts w:ascii="宋体" w:hAnsi="宋体"/>
            <w:noProof/>
            <w:sz w:val="24"/>
          </w:rPr>
          <w:fldChar w:fldCharType="begin"/>
        </w:r>
        <w:r w:rsidRPr="005A38ED">
          <w:rPr>
            <w:rFonts w:ascii="宋体" w:hAnsi="宋体"/>
            <w:noProof/>
            <w:sz w:val="24"/>
          </w:rPr>
          <w:instrText xml:space="preserve"> PAGEREF _Toc231305802 \h </w:instrText>
        </w:r>
        <w:r w:rsidRPr="005A38ED">
          <w:rPr>
            <w:rFonts w:ascii="宋体" w:hAnsi="宋体"/>
            <w:noProof/>
            <w:sz w:val="24"/>
          </w:rPr>
        </w:r>
        <w:r w:rsidRPr="005A38ED">
          <w:rPr>
            <w:rFonts w:ascii="宋体" w:hAnsi="宋体"/>
            <w:noProof/>
            <w:sz w:val="24"/>
          </w:rPr>
          <w:fldChar w:fldCharType="separate"/>
        </w:r>
        <w:r w:rsidRPr="005A38ED">
          <w:rPr>
            <w:rFonts w:ascii="宋体" w:hAnsi="宋体"/>
            <w:noProof/>
            <w:sz w:val="24"/>
          </w:rPr>
          <w:t>110</w:t>
        </w:r>
        <w:r w:rsidRPr="005A38ED">
          <w:rPr>
            <w:rFonts w:ascii="宋体" w:hAnsi="宋体"/>
            <w:noProof/>
            <w:sz w:val="24"/>
          </w:rPr>
          <w:fldChar w:fldCharType="end"/>
        </w:r>
      </w:hyperlink>
    </w:p>
    <w:p w:rsidR="005A38ED" w:rsidRPr="005A38ED" w:rsidRDefault="005A38ED" w:rsidP="005A38ED">
      <w:pPr>
        <w:pStyle w:val="10"/>
        <w:tabs>
          <w:tab w:val="right" w:leader="dot" w:pos="8550"/>
        </w:tabs>
        <w:spacing w:line="360" w:lineRule="auto"/>
        <w:rPr>
          <w:rFonts w:ascii="宋体" w:hAnsi="宋体" w:cstheme="minorBidi"/>
          <w:noProof/>
          <w:sz w:val="24"/>
        </w:rPr>
      </w:pPr>
      <w:hyperlink w:anchor="_Toc231305803" w:history="1">
        <w:r w:rsidRPr="005A38ED">
          <w:rPr>
            <w:rStyle w:val="aa"/>
            <w:rFonts w:ascii="宋体" w:hAnsi="宋体" w:hint="eastAsia"/>
            <w:noProof/>
            <w:sz w:val="24"/>
          </w:rPr>
          <w:t>二十、基金合同的变更、终止与基金财产的清算</w:t>
        </w:r>
        <w:r w:rsidRPr="005A38ED">
          <w:rPr>
            <w:rFonts w:ascii="宋体" w:hAnsi="宋体"/>
            <w:noProof/>
            <w:sz w:val="24"/>
          </w:rPr>
          <w:tab/>
        </w:r>
        <w:r w:rsidRPr="005A38ED">
          <w:rPr>
            <w:rFonts w:ascii="宋体" w:hAnsi="宋体"/>
            <w:noProof/>
            <w:sz w:val="24"/>
          </w:rPr>
          <w:fldChar w:fldCharType="begin"/>
        </w:r>
        <w:r w:rsidRPr="005A38ED">
          <w:rPr>
            <w:rFonts w:ascii="宋体" w:hAnsi="宋体"/>
            <w:noProof/>
            <w:sz w:val="24"/>
          </w:rPr>
          <w:instrText xml:space="preserve"> PAGEREF _Toc231305803 \h </w:instrText>
        </w:r>
        <w:r w:rsidRPr="005A38ED">
          <w:rPr>
            <w:rFonts w:ascii="宋体" w:hAnsi="宋体"/>
            <w:noProof/>
            <w:sz w:val="24"/>
          </w:rPr>
        </w:r>
        <w:r w:rsidRPr="005A38ED">
          <w:rPr>
            <w:rFonts w:ascii="宋体" w:hAnsi="宋体"/>
            <w:noProof/>
            <w:sz w:val="24"/>
          </w:rPr>
          <w:fldChar w:fldCharType="separate"/>
        </w:r>
        <w:r w:rsidRPr="005A38ED">
          <w:rPr>
            <w:rFonts w:ascii="宋体" w:hAnsi="宋体"/>
            <w:noProof/>
            <w:sz w:val="24"/>
          </w:rPr>
          <w:t>121</w:t>
        </w:r>
        <w:r w:rsidRPr="005A38ED">
          <w:rPr>
            <w:rFonts w:ascii="宋体" w:hAnsi="宋体"/>
            <w:noProof/>
            <w:sz w:val="24"/>
          </w:rPr>
          <w:fldChar w:fldCharType="end"/>
        </w:r>
      </w:hyperlink>
    </w:p>
    <w:p w:rsidR="005A38ED" w:rsidRPr="005A38ED" w:rsidRDefault="005A38ED" w:rsidP="005A38ED">
      <w:pPr>
        <w:pStyle w:val="10"/>
        <w:tabs>
          <w:tab w:val="right" w:leader="dot" w:pos="8550"/>
        </w:tabs>
        <w:spacing w:line="360" w:lineRule="auto"/>
        <w:rPr>
          <w:rFonts w:ascii="宋体" w:hAnsi="宋体" w:cstheme="minorBidi"/>
          <w:noProof/>
          <w:sz w:val="24"/>
        </w:rPr>
      </w:pPr>
      <w:hyperlink w:anchor="_Toc231305804" w:history="1">
        <w:r w:rsidRPr="005A38ED">
          <w:rPr>
            <w:rStyle w:val="aa"/>
            <w:rFonts w:ascii="宋体" w:hAnsi="宋体" w:hint="eastAsia"/>
            <w:noProof/>
            <w:sz w:val="24"/>
          </w:rPr>
          <w:t>二十一、基金合同内容摘要</w:t>
        </w:r>
        <w:r w:rsidRPr="005A38ED">
          <w:rPr>
            <w:rFonts w:ascii="宋体" w:hAnsi="宋体"/>
            <w:noProof/>
            <w:sz w:val="24"/>
          </w:rPr>
          <w:tab/>
        </w:r>
        <w:r w:rsidRPr="005A38ED">
          <w:rPr>
            <w:rFonts w:ascii="宋体" w:hAnsi="宋体"/>
            <w:noProof/>
            <w:sz w:val="24"/>
          </w:rPr>
          <w:fldChar w:fldCharType="begin"/>
        </w:r>
        <w:r w:rsidRPr="005A38ED">
          <w:rPr>
            <w:rFonts w:ascii="宋体" w:hAnsi="宋体"/>
            <w:noProof/>
            <w:sz w:val="24"/>
          </w:rPr>
          <w:instrText xml:space="preserve"> PAGEREF _Toc231305804 \h </w:instrText>
        </w:r>
        <w:r w:rsidRPr="005A38ED">
          <w:rPr>
            <w:rFonts w:ascii="宋体" w:hAnsi="宋体"/>
            <w:noProof/>
            <w:sz w:val="24"/>
          </w:rPr>
        </w:r>
        <w:r w:rsidRPr="005A38ED">
          <w:rPr>
            <w:rFonts w:ascii="宋体" w:hAnsi="宋体"/>
            <w:noProof/>
            <w:sz w:val="24"/>
          </w:rPr>
          <w:fldChar w:fldCharType="separate"/>
        </w:r>
        <w:r w:rsidRPr="005A38ED">
          <w:rPr>
            <w:rFonts w:ascii="宋体" w:hAnsi="宋体"/>
            <w:noProof/>
            <w:sz w:val="24"/>
          </w:rPr>
          <w:t>123</w:t>
        </w:r>
        <w:r w:rsidRPr="005A38ED">
          <w:rPr>
            <w:rFonts w:ascii="宋体" w:hAnsi="宋体"/>
            <w:noProof/>
            <w:sz w:val="24"/>
          </w:rPr>
          <w:fldChar w:fldCharType="end"/>
        </w:r>
      </w:hyperlink>
    </w:p>
    <w:p w:rsidR="005A38ED" w:rsidRPr="005A38ED" w:rsidRDefault="005A38ED" w:rsidP="005A38ED">
      <w:pPr>
        <w:pStyle w:val="10"/>
        <w:tabs>
          <w:tab w:val="right" w:leader="dot" w:pos="8550"/>
        </w:tabs>
        <w:spacing w:line="360" w:lineRule="auto"/>
        <w:rPr>
          <w:rFonts w:ascii="宋体" w:hAnsi="宋体" w:cstheme="minorBidi"/>
          <w:noProof/>
          <w:sz w:val="24"/>
        </w:rPr>
      </w:pPr>
      <w:hyperlink w:anchor="_Toc231305805" w:history="1">
        <w:r w:rsidRPr="005A38ED">
          <w:rPr>
            <w:rStyle w:val="aa"/>
            <w:rFonts w:ascii="宋体" w:hAnsi="宋体" w:hint="eastAsia"/>
            <w:noProof/>
            <w:sz w:val="24"/>
          </w:rPr>
          <w:t>二十二、托管协议的内容摘要</w:t>
        </w:r>
        <w:r w:rsidRPr="005A38ED">
          <w:rPr>
            <w:rFonts w:ascii="宋体" w:hAnsi="宋体"/>
            <w:noProof/>
            <w:sz w:val="24"/>
          </w:rPr>
          <w:tab/>
        </w:r>
        <w:r w:rsidRPr="005A38ED">
          <w:rPr>
            <w:rFonts w:ascii="宋体" w:hAnsi="宋体"/>
            <w:noProof/>
            <w:sz w:val="24"/>
          </w:rPr>
          <w:fldChar w:fldCharType="begin"/>
        </w:r>
        <w:r w:rsidRPr="005A38ED">
          <w:rPr>
            <w:rFonts w:ascii="宋体" w:hAnsi="宋体"/>
            <w:noProof/>
            <w:sz w:val="24"/>
          </w:rPr>
          <w:instrText xml:space="preserve"> PAGEREF _Toc231305805 \h </w:instrText>
        </w:r>
        <w:r w:rsidRPr="005A38ED">
          <w:rPr>
            <w:rFonts w:ascii="宋体" w:hAnsi="宋体"/>
            <w:noProof/>
            <w:sz w:val="24"/>
          </w:rPr>
        </w:r>
        <w:r w:rsidRPr="005A38ED">
          <w:rPr>
            <w:rFonts w:ascii="宋体" w:hAnsi="宋体"/>
            <w:noProof/>
            <w:sz w:val="24"/>
          </w:rPr>
          <w:fldChar w:fldCharType="separate"/>
        </w:r>
        <w:r w:rsidRPr="005A38ED">
          <w:rPr>
            <w:rFonts w:ascii="宋体" w:hAnsi="宋体"/>
            <w:noProof/>
            <w:sz w:val="24"/>
          </w:rPr>
          <w:t>140</w:t>
        </w:r>
        <w:r w:rsidRPr="005A38ED">
          <w:rPr>
            <w:rFonts w:ascii="宋体" w:hAnsi="宋体"/>
            <w:noProof/>
            <w:sz w:val="24"/>
          </w:rPr>
          <w:fldChar w:fldCharType="end"/>
        </w:r>
      </w:hyperlink>
    </w:p>
    <w:p w:rsidR="005A38ED" w:rsidRPr="005A38ED" w:rsidRDefault="005A38ED" w:rsidP="005A38ED">
      <w:pPr>
        <w:pStyle w:val="10"/>
        <w:tabs>
          <w:tab w:val="right" w:leader="dot" w:pos="8550"/>
        </w:tabs>
        <w:spacing w:line="360" w:lineRule="auto"/>
        <w:rPr>
          <w:rFonts w:ascii="宋体" w:hAnsi="宋体" w:cstheme="minorBidi"/>
          <w:noProof/>
          <w:sz w:val="24"/>
        </w:rPr>
      </w:pPr>
      <w:hyperlink w:anchor="_Toc231305806" w:history="1">
        <w:r w:rsidRPr="005A38ED">
          <w:rPr>
            <w:rStyle w:val="aa"/>
            <w:rFonts w:ascii="宋体" w:hAnsi="宋体" w:hint="eastAsia"/>
            <w:noProof/>
            <w:sz w:val="24"/>
          </w:rPr>
          <w:t>二十三、对基金份额持有人的服务</w:t>
        </w:r>
        <w:r w:rsidRPr="005A38ED">
          <w:rPr>
            <w:rFonts w:ascii="宋体" w:hAnsi="宋体"/>
            <w:noProof/>
            <w:sz w:val="24"/>
          </w:rPr>
          <w:tab/>
        </w:r>
        <w:r w:rsidRPr="005A38ED">
          <w:rPr>
            <w:rFonts w:ascii="宋体" w:hAnsi="宋体"/>
            <w:noProof/>
            <w:sz w:val="24"/>
          </w:rPr>
          <w:fldChar w:fldCharType="begin"/>
        </w:r>
        <w:r w:rsidRPr="005A38ED">
          <w:rPr>
            <w:rFonts w:ascii="宋体" w:hAnsi="宋体"/>
            <w:noProof/>
            <w:sz w:val="24"/>
          </w:rPr>
          <w:instrText xml:space="preserve"> PAGEREF _Toc231305806 \h </w:instrText>
        </w:r>
        <w:r w:rsidRPr="005A38ED">
          <w:rPr>
            <w:rFonts w:ascii="宋体" w:hAnsi="宋体"/>
            <w:noProof/>
            <w:sz w:val="24"/>
          </w:rPr>
        </w:r>
        <w:r w:rsidRPr="005A38ED">
          <w:rPr>
            <w:rFonts w:ascii="宋体" w:hAnsi="宋体"/>
            <w:noProof/>
            <w:sz w:val="24"/>
          </w:rPr>
          <w:fldChar w:fldCharType="separate"/>
        </w:r>
        <w:r w:rsidRPr="005A38ED">
          <w:rPr>
            <w:rFonts w:ascii="宋体" w:hAnsi="宋体"/>
            <w:noProof/>
            <w:sz w:val="24"/>
          </w:rPr>
          <w:t>160</w:t>
        </w:r>
        <w:r w:rsidRPr="005A38ED">
          <w:rPr>
            <w:rFonts w:ascii="宋体" w:hAnsi="宋体"/>
            <w:noProof/>
            <w:sz w:val="24"/>
          </w:rPr>
          <w:fldChar w:fldCharType="end"/>
        </w:r>
      </w:hyperlink>
    </w:p>
    <w:p w:rsidR="005A38ED" w:rsidRPr="005A38ED" w:rsidRDefault="005A38ED" w:rsidP="005A38ED">
      <w:pPr>
        <w:pStyle w:val="10"/>
        <w:tabs>
          <w:tab w:val="right" w:leader="dot" w:pos="8550"/>
        </w:tabs>
        <w:spacing w:line="360" w:lineRule="auto"/>
        <w:rPr>
          <w:rFonts w:ascii="宋体" w:hAnsi="宋体" w:cstheme="minorBidi"/>
          <w:noProof/>
          <w:sz w:val="24"/>
        </w:rPr>
      </w:pPr>
      <w:hyperlink w:anchor="_Toc231305807" w:history="1">
        <w:r w:rsidRPr="005A38ED">
          <w:rPr>
            <w:rStyle w:val="aa"/>
            <w:rFonts w:ascii="宋体" w:hAnsi="宋体" w:hint="eastAsia"/>
            <w:noProof/>
            <w:sz w:val="24"/>
          </w:rPr>
          <w:t>二十四、其他应披露事项</w:t>
        </w:r>
        <w:r w:rsidRPr="005A38ED">
          <w:rPr>
            <w:rFonts w:ascii="宋体" w:hAnsi="宋体"/>
            <w:noProof/>
            <w:sz w:val="24"/>
          </w:rPr>
          <w:tab/>
        </w:r>
        <w:r w:rsidRPr="005A38ED">
          <w:rPr>
            <w:rFonts w:ascii="宋体" w:hAnsi="宋体"/>
            <w:noProof/>
            <w:sz w:val="24"/>
          </w:rPr>
          <w:fldChar w:fldCharType="begin"/>
        </w:r>
        <w:r w:rsidRPr="005A38ED">
          <w:rPr>
            <w:rFonts w:ascii="宋体" w:hAnsi="宋体"/>
            <w:noProof/>
            <w:sz w:val="24"/>
          </w:rPr>
          <w:instrText xml:space="preserve"> PAGEREF _Toc231305807 \h </w:instrText>
        </w:r>
        <w:r w:rsidRPr="005A38ED">
          <w:rPr>
            <w:rFonts w:ascii="宋体" w:hAnsi="宋体"/>
            <w:noProof/>
            <w:sz w:val="24"/>
          </w:rPr>
        </w:r>
        <w:r w:rsidRPr="005A38ED">
          <w:rPr>
            <w:rFonts w:ascii="宋体" w:hAnsi="宋体"/>
            <w:noProof/>
            <w:sz w:val="24"/>
          </w:rPr>
          <w:fldChar w:fldCharType="separate"/>
        </w:r>
        <w:r w:rsidRPr="005A38ED">
          <w:rPr>
            <w:rFonts w:ascii="宋体" w:hAnsi="宋体"/>
            <w:noProof/>
            <w:sz w:val="24"/>
          </w:rPr>
          <w:t>162</w:t>
        </w:r>
        <w:r w:rsidRPr="005A38ED">
          <w:rPr>
            <w:rFonts w:ascii="宋体" w:hAnsi="宋体"/>
            <w:noProof/>
            <w:sz w:val="24"/>
          </w:rPr>
          <w:fldChar w:fldCharType="end"/>
        </w:r>
      </w:hyperlink>
    </w:p>
    <w:p w:rsidR="005A38ED" w:rsidRPr="005A38ED" w:rsidRDefault="005A38ED" w:rsidP="005A38ED">
      <w:pPr>
        <w:pStyle w:val="10"/>
        <w:tabs>
          <w:tab w:val="right" w:leader="dot" w:pos="8550"/>
        </w:tabs>
        <w:spacing w:line="360" w:lineRule="auto"/>
        <w:rPr>
          <w:rFonts w:ascii="宋体" w:hAnsi="宋体" w:cstheme="minorBidi"/>
          <w:noProof/>
          <w:sz w:val="24"/>
        </w:rPr>
      </w:pPr>
      <w:hyperlink w:anchor="_Toc231305808" w:history="1">
        <w:r w:rsidRPr="005A38ED">
          <w:rPr>
            <w:rStyle w:val="aa"/>
            <w:rFonts w:ascii="宋体" w:hAnsi="宋体" w:hint="eastAsia"/>
            <w:noProof/>
            <w:sz w:val="24"/>
          </w:rPr>
          <w:t>二十五、招募说明书的存放及查阅方式</w:t>
        </w:r>
        <w:r w:rsidRPr="005A38ED">
          <w:rPr>
            <w:rFonts w:ascii="宋体" w:hAnsi="宋体"/>
            <w:noProof/>
            <w:sz w:val="24"/>
          </w:rPr>
          <w:tab/>
        </w:r>
        <w:r w:rsidRPr="005A38ED">
          <w:rPr>
            <w:rFonts w:ascii="宋体" w:hAnsi="宋体"/>
            <w:noProof/>
            <w:sz w:val="24"/>
          </w:rPr>
          <w:fldChar w:fldCharType="begin"/>
        </w:r>
        <w:r w:rsidRPr="005A38ED">
          <w:rPr>
            <w:rFonts w:ascii="宋体" w:hAnsi="宋体"/>
            <w:noProof/>
            <w:sz w:val="24"/>
          </w:rPr>
          <w:instrText xml:space="preserve"> PAGEREF _Toc231305808 \h </w:instrText>
        </w:r>
        <w:r w:rsidRPr="005A38ED">
          <w:rPr>
            <w:rFonts w:ascii="宋体" w:hAnsi="宋体"/>
            <w:noProof/>
            <w:sz w:val="24"/>
          </w:rPr>
        </w:r>
        <w:r w:rsidRPr="005A38ED">
          <w:rPr>
            <w:rFonts w:ascii="宋体" w:hAnsi="宋体"/>
            <w:noProof/>
            <w:sz w:val="24"/>
          </w:rPr>
          <w:fldChar w:fldCharType="separate"/>
        </w:r>
        <w:r w:rsidRPr="005A38ED">
          <w:rPr>
            <w:rFonts w:ascii="宋体" w:hAnsi="宋体"/>
            <w:noProof/>
            <w:sz w:val="24"/>
          </w:rPr>
          <w:t>164</w:t>
        </w:r>
        <w:r w:rsidRPr="005A38ED">
          <w:rPr>
            <w:rFonts w:ascii="宋体" w:hAnsi="宋体"/>
            <w:noProof/>
            <w:sz w:val="24"/>
          </w:rPr>
          <w:fldChar w:fldCharType="end"/>
        </w:r>
      </w:hyperlink>
    </w:p>
    <w:p w:rsidR="005A38ED" w:rsidRPr="005A38ED" w:rsidRDefault="005A38ED" w:rsidP="005A38ED">
      <w:pPr>
        <w:pStyle w:val="10"/>
        <w:tabs>
          <w:tab w:val="right" w:leader="dot" w:pos="8550"/>
        </w:tabs>
        <w:spacing w:line="360" w:lineRule="auto"/>
        <w:rPr>
          <w:rFonts w:ascii="宋体" w:hAnsi="宋体" w:cstheme="minorBidi"/>
          <w:noProof/>
          <w:sz w:val="24"/>
        </w:rPr>
      </w:pPr>
      <w:hyperlink w:anchor="_Toc231305809" w:history="1">
        <w:r w:rsidRPr="005A38ED">
          <w:rPr>
            <w:rStyle w:val="aa"/>
            <w:rFonts w:ascii="宋体" w:hAnsi="宋体" w:hint="eastAsia"/>
            <w:noProof/>
            <w:sz w:val="24"/>
          </w:rPr>
          <w:t>二十六、备查文件</w:t>
        </w:r>
        <w:r w:rsidRPr="005A38ED">
          <w:rPr>
            <w:rFonts w:ascii="宋体" w:hAnsi="宋体"/>
            <w:noProof/>
            <w:sz w:val="24"/>
          </w:rPr>
          <w:tab/>
        </w:r>
        <w:r w:rsidRPr="005A38ED">
          <w:rPr>
            <w:rFonts w:ascii="宋体" w:hAnsi="宋体"/>
            <w:noProof/>
            <w:sz w:val="24"/>
          </w:rPr>
          <w:fldChar w:fldCharType="begin"/>
        </w:r>
        <w:r w:rsidRPr="005A38ED">
          <w:rPr>
            <w:rFonts w:ascii="宋体" w:hAnsi="宋体"/>
            <w:noProof/>
            <w:sz w:val="24"/>
          </w:rPr>
          <w:instrText xml:space="preserve"> PAGEREF _Toc231305809 \h </w:instrText>
        </w:r>
        <w:r w:rsidRPr="005A38ED">
          <w:rPr>
            <w:rFonts w:ascii="宋体" w:hAnsi="宋体"/>
            <w:noProof/>
            <w:sz w:val="24"/>
          </w:rPr>
        </w:r>
        <w:r w:rsidRPr="005A38ED">
          <w:rPr>
            <w:rFonts w:ascii="宋体" w:hAnsi="宋体"/>
            <w:noProof/>
            <w:sz w:val="24"/>
          </w:rPr>
          <w:fldChar w:fldCharType="separate"/>
        </w:r>
        <w:r w:rsidRPr="005A38ED">
          <w:rPr>
            <w:rFonts w:ascii="宋体" w:hAnsi="宋体"/>
            <w:noProof/>
            <w:sz w:val="24"/>
          </w:rPr>
          <w:t>165</w:t>
        </w:r>
        <w:r w:rsidRPr="005A38ED">
          <w:rPr>
            <w:rFonts w:ascii="宋体" w:hAnsi="宋体"/>
            <w:noProof/>
            <w:sz w:val="24"/>
          </w:rPr>
          <w:fldChar w:fldCharType="end"/>
        </w:r>
      </w:hyperlink>
    </w:p>
    <w:p w:rsidR="00821577" w:rsidRPr="005A38ED" w:rsidRDefault="005A38ED" w:rsidP="005A38ED">
      <w:pPr>
        <w:pStyle w:val="ad"/>
        <w:snapToGrid w:val="0"/>
        <w:spacing w:after="240" w:line="360" w:lineRule="auto"/>
        <w:jc w:val="center"/>
        <w:rPr>
          <w:rFonts w:ascii="宋体" w:hAnsi="宋体"/>
          <w:color w:val="000000"/>
          <w:sz w:val="24"/>
        </w:rPr>
      </w:pPr>
      <w:r w:rsidRPr="005A38ED">
        <w:rPr>
          <w:rFonts w:ascii="宋体" w:hAnsi="宋体"/>
          <w:color w:val="000000"/>
          <w:position w:val="-4"/>
          <w:sz w:val="24"/>
          <w:szCs w:val="30"/>
        </w:rPr>
        <w:fldChar w:fldCharType="end"/>
      </w:r>
      <w:bookmarkStart w:id="3" w:name="_GoBack"/>
      <w:bookmarkEnd w:id="3"/>
    </w:p>
    <w:p w:rsidR="00821577" w:rsidRDefault="00821577">
      <w:pPr>
        <w:autoSpaceDE w:val="0"/>
        <w:autoSpaceDN w:val="0"/>
        <w:adjustRightInd w:val="0"/>
        <w:snapToGrid w:val="0"/>
        <w:spacing w:line="360" w:lineRule="auto"/>
        <w:ind w:left="120" w:rightChars="6" w:right="13"/>
        <w:rPr>
          <w:rFonts w:ascii="宋体" w:hAnsi="宋体"/>
          <w:kern w:val="0"/>
          <w:szCs w:val="24"/>
        </w:rPr>
        <w:sectPr w:rsidR="00821577">
          <w:pgSz w:w="11920" w:h="16840"/>
          <w:pgMar w:top="1480" w:right="1680" w:bottom="280" w:left="1680" w:header="0" w:footer="1073" w:gutter="0"/>
          <w:cols w:space="720"/>
        </w:sectPr>
      </w:pPr>
    </w:p>
    <w:p w:rsidR="00821577" w:rsidRDefault="00451388">
      <w:pPr>
        <w:pStyle w:val="1"/>
        <w:snapToGrid w:val="0"/>
        <w:spacing w:beforeLines="0" w:before="240" w:after="240"/>
        <w:rPr>
          <w:rFonts w:ascii="宋体" w:hAnsi="宋体"/>
          <w:szCs w:val="30"/>
        </w:rPr>
      </w:pPr>
      <w:bookmarkStart w:id="4" w:name="_Toc231305784"/>
      <w:r>
        <w:rPr>
          <w:rFonts w:ascii="Times New Roman" w:hAnsi="Times New Roman"/>
          <w:sz w:val="30"/>
        </w:rPr>
        <w:lastRenderedPageBreak/>
        <w:t>一、绪言</w:t>
      </w:r>
      <w:bookmarkEnd w:id="4"/>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鸿信一年持有期混合型证券投资基金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和其他相关法律法规的规定以及《交银施罗德鸿信一年持有期混合型证券投资基金基金合同》（以下简称“基金合同”）编写。</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45138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21577" w:rsidRDefault="00451388">
      <w:pPr>
        <w:pStyle w:val="1"/>
        <w:snapToGrid w:val="0"/>
        <w:spacing w:beforeLines="0" w:before="240" w:after="240"/>
        <w:rPr>
          <w:rFonts w:ascii="宋体" w:hAnsi="宋体"/>
          <w:szCs w:val="30"/>
        </w:rPr>
      </w:pPr>
      <w:bookmarkStart w:id="5" w:name="_Toc231305785"/>
      <w:r>
        <w:rPr>
          <w:rFonts w:ascii="Times New Roman" w:hAnsi="Times New Roman"/>
          <w:sz w:val="30"/>
        </w:rPr>
        <w:lastRenderedPageBreak/>
        <w:t>二、释义</w:t>
      </w:r>
      <w:bookmarkEnd w:id="5"/>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1、基金或本基金：指交银施罗德鸿信一年持有期混合型证券投资基金</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2、基金管理人：指交银施罗德基金管理有限公司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3、基金托管人：指中信银行股份有限公司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4、基金合同：指《交银施罗德鸿信一年持有期混合型证券投资基金基金合同》及对基金合同的任何有效修订和补充</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5、托管协议：指基金管理人与基金托管人就本基金签订之《交银施罗德鸿信一年持有期混合型证券投资基金托管协议》及对该托管协议的任何有效修订和补充</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6、招募说明书或本招募说明书：指《交银施罗德鸿信一年持有期混合型证券投资基金招募说明书》及其更新</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7、基金产品资料概要：指《交银施罗德鸿信一年持有期混合型证券投资基金基金产品资料概要》及其更新</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8、基金份额发售公告：指《交银施罗德鸿信一年持有期混合型证券投资基金基金份额发售公告》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11、《销售办法》：指《公开募集证券投资基金销售机构监督管理办法》及颁布机关对其不时做出的修订</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16、银行业监督管理机构：指中国人民银行和/或中国银行保险监督管理委员</w:t>
      </w:r>
      <w:r>
        <w:rPr>
          <w:rFonts w:ascii="宋体" w:hAnsi="宋体"/>
          <w:sz w:val="24"/>
        </w:rPr>
        <w:lastRenderedPageBreak/>
        <w:t>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投资者：指符合《合格境外机构投资者和人民币合格境外机构投资者境内证券期货投资管理办法》（包括其不时修订）及相关法律法规规定使用来自境外的资金进行境内证券期货投资的境外机构投资者，包括合格境外机构投资者和人民币合格境外机构投资者</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21、投资人、投资者：指个人投资者、机构投资者、合格境外投资者以及法律法规或中国证监会允许购买证券投资基金的其他投资人的合称</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22、基金份额持有人：指依基金合同和招募说明书合法取得基金份额的投资人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23、基金销售业务：指基金管理人或销售机构宣传推介基金，发售基金份额，办理基金份额的申购、赎回、转换、转托管及定期定额投资等业务</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24、销售机构：指交银施罗德基金管理有限公司以及符合《销售办法》和中国证监会规定的其他条件，取得基金销售业务资格并与基金管理人签订了基金销售服务协议，办理基金销售业务的机构</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26、登记机构：指办理登记业务的机构。基金的登记机构为交银施罗德基金管理有限公司或接受交银施罗德基金管理有限公司委托代为办理登记业务的机构</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27、基金账户：指登记机构为投资人开立的、记录其持有的、基金管理人所管理的基金份额余额及其变动情况的账户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28、基金交易账户：指销售机构为投资人开立的、记录投资人通过该销售机构办理认购、申购、赎回、转换及转托管等业务而引起的基金份额变动及结余情况的账户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29、基金合同生效日：指基金募集达到法律法规规定及基金合同规定的条件，</w:t>
      </w:r>
      <w:r>
        <w:rPr>
          <w:rFonts w:ascii="宋体" w:hAnsi="宋体"/>
          <w:sz w:val="24"/>
        </w:rPr>
        <w:lastRenderedPageBreak/>
        <w:t>基金管理人向中国证监会办理基金备案手续完毕，并获得中国证监会书面确认的日期</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30、基金合同终止日：指基金合同规定的基金合同终止事由出现后，基金财产清算完毕，清算结果报中国证监会备案并予以公告的日期</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31、基金募集期：指自基金份额发售之日起至发售结束之日止的期间，最长不得超过3个月</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32、存续期：指基金合同生效至终止之间的不定期期限</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33、工作日：指上海证券交易所、深圳证券交易所的正常交易日</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34、T日：指销售机构在规定时间受理投资人申购、赎回或其他业务申请的开放日</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35、T+n日：指自T日起第n个工作日(不包含T日)</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最短持有期限：基金份额持有人持有的每份基金份额最短持有期限为一年，在最短持有期限内该份基金份额不可赎回，自最短持有期限届满的下一工作日起（含该日）可赎回。对于每笔认购的基金份额而言，最短持有期限自基金合同生效之日起（含该日）至一年后年度对日的前一日；对于每笔申购的基金份额而言，最短持有期限自该笔申购份额确认日（含该日）至一年后年度对日的前一日</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年度对日：指某一特定日期在后续日历年度中的对应日期，若该日历年度中不存在对应日期的，则该年度对日为该特定日期在后续日历年度中对应月度的最后一日。如该年度对日为非工作日的，则顺延至下一个工作日</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38、开放日：指为投资人办理基金份额申购、赎回或其他业务的工作日（若该工作日为非港股通交易日，则本基金可不开放）</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39、开放时间：指开放日基金接受申购、赎回或其他交易的时间段</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40、《业务规则》：指中国证券登记结算有限责任公司相关业务规则及其不时做出的修订</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41、认购：指在基金募集期内，投资人根据基金合同和招募说明书的规定申请购买基金份额的行为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42、申购：指基金合同生效后，投资人根据基金合同和招募说明书的规定申请购买基金份额的行为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43、赎回：指基金合同生效后，基金份额持有人按基金合同和招募说明书规定的条件要求将基金份额兑换为现金的行为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44、基金转换：指基金份额持有人按照基金合同和基金管理人届时有效公告规定的条件，申请将其持有基金管理人管理的、某一基金的基金份额转换为基金管理人管理的其他基金基金份额的行为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45、转托管：指基金份额持有人在本基金的不同销售机构之间实施的变更所持基金份额销售机构的操作</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48、元：指人民币元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49、基金收益：指基金投资所得红利、股息、债券利息、买卖证券价差、银行存款利息、已实现的其他合法收入及因运用基金财产带来的成本和费用的节约</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50、基金资产总值：指基金拥有的各类有价证券、股指期货合约、银行存款本息、基金应收款项及其他资产的价值总和</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51、基金资产净值：指基金资产总值减去基金负债后的价值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52、基金份额净值：指计算日基金资产净值除以计算日基金份额总数</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53、基金资产估值：指计算评估基金资产和负债的价值，以确定基金资产净值和基金份额净值的过程</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54、港股通：指内地投资者委托内地证券公司，经由内地证券交易所在香港设立的证券交易服务公司，向香港联合交易所进行申报，买卖规定范围内的香港联合交易所上市的股票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55、销售服务费：指从基金财产中计提的，用于本基金市场推广、销售以及基金份额持有人服务的费用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56、A类基金份额：指在投资人认购/申购时收取认购/申购费用且不从本类别基金资产中计提销售服务费的基金份额</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57、C类基金份额：指在投资人认购/申购时不收取认购/申购费用，并从本类别基金资产中计提销售服务费的基金份额</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58、规定媒介：指符合中国证监会规定条件的用以进行信息披露的全国性报刊</w:t>
      </w:r>
      <w:r>
        <w:rPr>
          <w:rFonts w:ascii="宋体" w:hAnsi="宋体"/>
          <w:sz w:val="24"/>
        </w:rPr>
        <w:lastRenderedPageBreak/>
        <w:t>及《信息披露办法》规定的互联网网站（包括基金管理人网站、基金托管人网站、中国证监会基金电子披露网站）等媒介</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63、不可抗力：指基金合同当事人不能预见、不能避免且不能克服的客观事件</w:t>
      </w:r>
    </w:p>
    <w:p w:rsidR="00B439CC" w:rsidRDefault="0045138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21577" w:rsidRDefault="00451388">
      <w:pPr>
        <w:pStyle w:val="1"/>
        <w:snapToGrid w:val="0"/>
        <w:spacing w:beforeLines="0" w:before="240" w:after="240"/>
        <w:rPr>
          <w:rFonts w:ascii="宋体" w:hAnsi="宋体"/>
          <w:szCs w:val="30"/>
        </w:rPr>
      </w:pPr>
      <w:bookmarkStart w:id="6" w:name="_Toc231305786"/>
      <w:r>
        <w:rPr>
          <w:rFonts w:ascii="Times New Roman" w:hAnsi="Times New Roman"/>
          <w:sz w:val="30"/>
        </w:rPr>
        <w:lastRenderedPageBreak/>
        <w:t>三、基金管理人</w:t>
      </w:r>
      <w:bookmarkEnd w:id="6"/>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袁庆伟女士，董事，总经理，硕士。历任交通银行乌鲁木齐分行财务会计处副</w:t>
      </w:r>
      <w:r>
        <w:rPr>
          <w:rFonts w:ascii="宋体" w:hAnsi="宋体"/>
          <w:sz w:val="24"/>
        </w:rPr>
        <w:lastRenderedPageBreak/>
        <w:t>处长、会计结算部高级经理，交通银行总行资产托管业务中心（资产托管部）副总裁、总裁，交通银行总行金融机构部总经理、资产管理业务中心总裁等职务。</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女士:基金经理。天津大学数量经济学硕士、经济学学士，20年证券投资行业从业经验。2004年至2006年任北方国际信托投资股份有限公司固定收益研究员，2006年至2010年任光大保德信基金管理有限公司交易员、基金经理助理、基金经理，2010年至2014年任银华基金管理有限公司基金经理，2014年至2016年任五矿证券有限公司固定收益事业部投资管理部总经理。于2007年11月9日至2010年8月30日任光大保德信货币市场基金基金经理，2008年10月29日至2010年8月30日任光大保德信增利收益债券型证券投资基金基金经理，2011年6月28日至2013年6月16日任银华永祥保本混合型证券投资基金基金经理，2011年8月2日至2014年4月24日任银华货币市场证券投资基金基金经理,2012年8月9日至2014年10月7日任银华纯债信用主题债券型证券投资基金（LOF）基金经理，2013年4月1日至2014年4月24日任银华交易型货币市场基金基金经理，2013年8月7日至2014年10月7日任银华信用四季红债券型证券投资基金基金经理，2013年9月18日至2014年10月7日任银华信用季季红债券型证券投资基金基金经理，2014年5月8日至2014年10月7日任银华信用债券型证券投资基金(LOF)基金经理。2016年加入交银施罗德基金管理有限公司，曾任固定收益（公募）投资总监、多元资产管理总监，现任混合资产投资总监、基金经理。曾任交银施罗德丰盈收益债券型证券投资基金(2016年12月29日至2020年08月21日)、交银施罗德强化回报债券型证券投资基金(2017年06月10日至2019年03月14日)、交银施罗德增利债券证券投资基金(2017年06月10日至2020年08月21日)、交银施罗德增利增强债券型证券投资基金(2017年06月10日至2019年03月15日)、交银施罗德增强收益债券型证券投资基金(2017年06月10日至2019年03月15日)、交银施罗德丰硕收益债券型证券投资基金(2017年06月10日至2018年07月19日)、交银施罗德稳固收益债券型证券投资基金(2017年06月10日至2019年03月15日)、交银施罗德定期支付月月丰债券型证券投资基金(2017年06月10日至2019年03月14日)、交银施罗德荣鑫灵活配置混合型证券投资基金(2017年06月10日至2019年03月15日)、交银施罗德裕如纯债债券型证券投资基金(2018年05月25日至2021年01月15日)、交银施</w:t>
      </w:r>
      <w:r>
        <w:rPr>
          <w:rFonts w:ascii="宋体" w:hAnsi="宋体"/>
          <w:sz w:val="24"/>
        </w:rPr>
        <w:lastRenderedPageBreak/>
        <w:t>罗德裕泰两年定期开放债券型证券投资基金(2019年12月10日至2024年04月12日)、交银施罗德鸿福六个月持有期混合型证券投资基金(2021年03月30日至2025年01月24日)、交银施罗德鸿泰一年持有期混合型证券投资基金(2021年11月24日至2025年12月16日)、交银施罗德裕如纯债债券型证券投资基金(2023年09月07日至2024年11月23日)的基金经理。现任交银施罗德纯债债券型发起式证券投资基金(2017年06月10日至今)、交银施罗德丰晟收益债券型证券投资基金(2018年05月23日至今)、交银施罗德裕坤纯债一年定期开放债券型发起式证券投资基金(2019年12月26日至今)、交银施罗德鸿光一年持有期混合型证券投资基金(2021年03月08日至今)、交银施罗德鸿信一年持有期混合型证券投资基金(2021年08月06日至今)、交银施罗德裕盈纯债债券型证券投资基金(2022年11月12日至今)、交银施罗德裕道纯债一年定期开放债券型发起式证券投资基金(2024年03月29日至今)、交银施罗德裕通纯债债券型证券投资基金(2024年12月17日至今)的基金经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庆祥先生:基金经理，上海交通大学管理学硕士、学士。10年证券投资行业从业经验。2016年加入交银施罗德基金管理有限公司，历任行业分析师、混合资产投资部基金经理助理，现任混合资产投资部基金经理。曾任交银施罗德鸿泰一年持有期混合型证券投资基金(2025年08月29日至2025年12月16日)的基金经理。现任交银施罗德鸿信一年持有期混合型证券投资基金(2025年07月19日至今)、交银施罗德鸿光一年持有期混合型证券投资基金(2026年02月07日至今)、交银施罗德荣鑫灵活配置混合型证券投资基金(2026年02月13日至今)的基金经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陈俊华女士(2021年08月06日至2025年07月19日)。</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（三）基金管理人的职责</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4、基金管理人承诺加强人员管理，强化职业操守，督促和约束员工遵守国家有关法律法规及行业规范，诚实信用、勤勉尽责；</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w:t>
      </w:r>
      <w:r>
        <w:rPr>
          <w:rFonts w:ascii="宋体" w:hAnsi="宋体"/>
          <w:sz w:val="24"/>
        </w:rPr>
        <w:lastRenderedPageBreak/>
        <w:t>责监察公司的风险管理措施的执行。具体而言，包括如下组成部分：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（8）业务部门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45138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21577" w:rsidRDefault="00451388">
      <w:pPr>
        <w:pStyle w:val="1"/>
        <w:snapToGrid w:val="0"/>
        <w:spacing w:beforeLines="0" w:before="240" w:after="240"/>
        <w:rPr>
          <w:rFonts w:ascii="宋体" w:hAnsi="宋体"/>
          <w:szCs w:val="30"/>
        </w:rPr>
      </w:pPr>
      <w:bookmarkStart w:id="7" w:name="_Toc231305787"/>
      <w:r>
        <w:rPr>
          <w:rFonts w:ascii="Times New Roman" w:hAnsi="Times New Roman"/>
          <w:sz w:val="30"/>
        </w:rPr>
        <w:lastRenderedPageBreak/>
        <w:t>四、基金托管人</w:t>
      </w:r>
      <w:bookmarkEnd w:id="7"/>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（一）基金托管人基本情况</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名称：中信银行股份有限公司（简称“中信银行”）</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住所：北京市朝阳区光华路10号院1号楼6-30层、32-42层</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办公地址：北京市朝阳区光华路10号院1号楼6-30层、32-42层</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法定代表人：方合英</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成立时间：1987年4月20日</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注册资本：489.35亿元人民币</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批准设立文号：中华人民共和国国务院办公厅国办函[1987]14号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基金托管业务批准文号：中国证监会证监基金字[2004]125号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联系人：中信银行资产托管部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联系电话：4006800000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客服电话：95558</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网址：www.citicbank.com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成立于1987年，是中国改革开放中最早成立的新兴商业银行之一，是中国最早参与国内外金融市场融资的商业银行，并以屡创中国现代金融史上多个第一而蜚声海内外，为中国经济建设作出了积极贡献。2007年4月，本行实现在上海证券</w:t>
      </w:r>
      <w:r>
        <w:rPr>
          <w:rFonts w:ascii="宋体" w:hAnsi="宋体"/>
          <w:sz w:val="24"/>
        </w:rPr>
        <w:lastRenderedPageBreak/>
        <w:t>交易所和香港联合交易所A+H 股同步上市。</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依托中信集团“金融+实业”综合禀赋优势，以全面建设“四有”银行、跨入世界一流银行竞争前列为发展愿景，坚持“诚实守信、以义取利、稳健审慎、守正创新、依法合规”，以客户为中心，通过实施“五个领先”银行战略，打造有特色、差异化的中信金融服务模式，向政府与机构客户、企业客户和同业客户提供公司银行业务、投资银行业务、国际业务、交易银行业务、托管业务、金融市场业务等综合金融解决方案；向个人客户提供财富管理业务、个人信贷业务、信用卡业务、私人银行业务、养老金融业务、出国金融业务等多元化金融产品及服务，全方位满足政府与机构、企业、同业及个人客户的综合金融服务需求。</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2025年末，本行在国内153个大中城市设有1,484家营业网点，在境内外下设中信国际金融控股有限公司、信银（香港）投资有限公司、中信金融租赁有限公司、信银理财有限责任公司、信银金融资产投资有限公司、中信百信银行股份有限公司、阿尔金银行股份有限公司和浙江临安中信村镇银行股份有限公司 8 家附属机构。其中，中信国际金融控股有限公司子公司中信银行（国际）有限公司在香港、澳门、纽约、 洛杉矶、新加坡和中国内地设有28家营业网点、2 家商务理财中心及1家私人银行中心。信银（香港）投资有限公司在香港和境内设有3家子公司。信银理财有限责任公司为本行全资理财子公司。中信百信银行股份有限公司为本行与百度联合发起设立的国内首家独立法人直销银行。阿尔金银行股份有限公司在哈萨克斯坦设有7家营业网点和1家私人银行中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深刻把握金融工作的政治性、人民性，始终在党和国家战略大局中找准金融定位、履行金融职责，坚持做国家战略的忠实践行者、实体经济的有力服务者和金融强国的积极建设者。成立38年来，本行已成为一家总资产规模突破10万亿元、员工人数超6.7万名，具有强大综合实力和品牌竞争力的金融集团。2025年，本行在英国Brand Finance 发布的“全球银行品牌价值500 强”榜单中排名第19位，以27.2%的增幅居中国内地银行第一；一级资本在英国《银行家》杂志“世界1000 家银行排名”中位列第18位。荣膺英国《银行家》杂志“2025年中国年度银行”大奖。</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方合英先生，本行党委书记、董事长、执行董事，代为履行行长职责。方先生于2020年12月起任中国中信集团有限公司副总经理、中国中信股份有限公司副总经</w:t>
      </w:r>
      <w:r>
        <w:rPr>
          <w:rFonts w:ascii="宋体" w:hAnsi="宋体"/>
          <w:sz w:val="24"/>
        </w:rPr>
        <w:lastRenderedPageBreak/>
        <w:t>理及执行委员会成员、中国中信有限公司副总经理，2020年11月起任中国中信集团有限公司党委委员。方先生曾任本行苏州分行行长、杭州分行行长、本行金融市场业务总监、副行长、财务总监。此前，先后在浙江银行学校任教，浙江银行学校实验城市信用社信贷部任总经理助理等。方先生具有三十余年银行从业经验，毕业于湖南财经学院（现湖南大学），获北京大学高级管理人员工商管理硕士学位，正高级经济师。</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胡罡先生，中信银行党委委员、执行董事、副行长，分管托管业务。胡先生现同时担任中信银行（国际）有限公司董事。胡先生曾任本行长沙分行筹备组副组长、长沙分行党委委员、副行长，重庆分行党委委员、副行长、党委书记、行长，上海分行党委书记、行长及本行首席风险官、批发业务总监、风险总监。此前，胡先生曾先后就职于湖南省检察院政治部，于湖南省委办公厅人事处任副主任科员，于湖南众立实业集团公司下属北海湘房地产开发公司任总经理助理、总经理，下属鸿都企业公司任副董事长，于湖南长沙湘财城市信用社任董事长。胡先生拥有近三十年中国银行业从业经验，毕业于湖南大学，获经济学博士学位，高级经济师。</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杨璋琪先生，中信银行资产托管部总经理，硕士研究生学历。杨先生2018年1月至2019年3月，任中信银行金融同业部副总经理；2015年5月至2018年1月，任中信银行长春分行副行长；2013年4月至2015年5月，任中信银行机构业务部总经理助理；1996年7月至2013年4月，就职于中信银行北京分行（原总行营业部），历任支行行长、投资银行部总经理、贸易金融部总经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2004年8月18日，中信银行经中国证券监督管理委员会和中国银行业监督管理委员会批准，取得基金托管人资格。中信银行本着“诚实信用、勤勉尽责”的原则，切实履行托管人职责。</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截至2026年一季度末，中信银行托管435只公开募集证券投资基金，以及基金公司、证券公司资产管理产品、信托产品、企业年金、股权基金、QDII等其他托管资产，托管总规模达到19.28万亿元人民币。</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（四）基金托管人的内部控制制度</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强化内部管理，确保有关法律法规及规章在基金托管业务中得到全面严格的贯彻执行；建立完善的规章制度和操作规程，保证基金托管业务持续、稳健发展；加强稽核监察，建立高效的风险监控体系，及时有效地发现、分</w:t>
      </w:r>
      <w:r>
        <w:rPr>
          <w:rFonts w:ascii="宋体" w:hAnsi="宋体"/>
          <w:sz w:val="24"/>
        </w:rPr>
        <w:lastRenderedPageBreak/>
        <w:t>析、控制和避免风险，确保基金财产安全，维护基金份额持有人利益。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内部控制组织结构。中信银行总行建立了风险管理委员会，负责全行的风险控制和风险防范工作；托管部内设内控合规岗，专门负责托管部内部风险控制，对基金托管业务的各个工作环节和业务流程进行独立、客观、公正的稽核监察。</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中信银行严格按照《基金法》以及其他法律法规及规章的规定，以控制和防范基金托管业务风险为主线，制定了《中信银行基金托管业务管理办法》、《中信银行基金托管业务内部控制管理办法》和《中信银行托管业务内控检查实施细则》等一整套规章制度，涵盖证券投资基金托管业务的各个环节，保证证券投资基金托管业务合法、合规、持续、稳健发展。</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内部控制措施。建立了各项规章制度、操作流程、岗位职责、行为规范等，从制度上、人员上保证基金托管业务稳健发展；建立了安全保管基金财产的物质条件，对业务运行场所实行封闭管理，在要害部门和岗位设立了安全保密区，安装了录像、录音监控系统，保证基金信息的安全；建立严密的内部控制防线和业务授权管理等制度，确保所托管的基金财产独立运行；营造良好的内部控制环境，开展多种形式的持续培训，加强职业道德教育。</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（五）基金托管人对基金管理人运作基金进行监督的方法和程序</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基金法》、《运作办法》、《信息披露办法》、基金合同、托管协议和有关法律法规及规章的规定，对基金的投资运作、基金资产净值计算、基金份额净值计算、应收资金到账、基金费用开支及收入确定、基金收益分配、相关信息披露、基金宣传推介材料中登载的基金业绩表现数据等进行监督和核查。</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托管人发现基金管理人违反《基金法》、《运作办法》、《信息披露办法》、基金合同和有关法律法规及规章的行为，将及时以书面形式通知基金管理人限期纠正。在限期内，基金托管人有权随时对通知事项进行复查，督促基金管理人改正。基金托管人发现基金管理人有重大违规行为或违规事项未能在限期内纠正的，基金托管人将以书面形式报告中国证监会。</w:t>
      </w:r>
    </w:p>
    <w:p w:rsidR="00B439CC" w:rsidRDefault="0045138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21577" w:rsidRDefault="00451388">
      <w:pPr>
        <w:pStyle w:val="1"/>
        <w:snapToGrid w:val="0"/>
        <w:spacing w:beforeLines="0" w:before="240" w:after="240"/>
        <w:rPr>
          <w:rFonts w:ascii="宋体" w:hAnsi="宋体"/>
          <w:szCs w:val="30"/>
        </w:rPr>
      </w:pPr>
      <w:bookmarkStart w:id="8" w:name="_Toc231305788"/>
      <w:r>
        <w:rPr>
          <w:rFonts w:ascii="Times New Roman" w:hAnsi="Times New Roman"/>
          <w:sz w:val="30"/>
        </w:rPr>
        <w:lastRenderedPageBreak/>
        <w:t>五、相关服务机构</w:t>
      </w:r>
      <w:bookmarkEnd w:id="8"/>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本基金直销机构为基金管理人直销柜台以及基金管理人的网上直销交易平台（网站及手机APP，下同）。</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（2）名称：东莞农村商业银行股份有限公司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住所：东莞市东城区鸿福东路2号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办公地址：东莞市东城区鸿福东路2号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法定代表人：王耀球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电话：（0769）22866254</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传真：（0769）22866282</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联系人：林培珊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客户服务电话：（0769）961122</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网址：www.drcbank.com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（3）名称：中信银行股份有限公司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（4）名称：宁波银行股份有限公司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（5）名称：招商银行股份有限公司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传真：（0755）83195109</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（6）名称：中国银河证券股份有限公司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（7）名称：中信证券股份有限公司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（8）名称：中国中金财富证券有限公司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（9）名称：山西证券股份有限公司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办公地址：山西省太原市府西街69号山西国际贸易中心东塔楼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（10）名称：西部证券股份有限公司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（11）名称：国投证券股份有限公司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（12）名称：中信建投证券股份有限公司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（13）名称：中原证券股份有限公司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住所：郑州市郑东新区商务外环路10号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办公地址：郑州市郑东新区商务外环路10号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法定代表人：菅明军</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联系人：程月艳 李盼盼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电话：0371-69099881/2</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客户服务电话：95377</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网址：https://www.ccnew.com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（14）名称：东方财富证券股份有限公司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（15）名称：国信证券股份有限公司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（16）名称：湘财证券股份有限公司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住所：湖南省长沙市黄兴中路63号中山国际大厦12楼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办公地址：湖南省长沙市天心区湘府中路198号标志商务中心11楼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法定代表人：林俊波</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电话：（021）68634518</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传真：（021）68865680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联系人：钟康莺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客户服务电话：400-888-1551</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网址：www.xcsc.com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（17）名称：华龙证券股份有限公司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（18）名称：华宝证券股份有限公司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（19）名称：长城国瑞证券有限公司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住所：厦门市思明区台北路1号海西金谷广场T2办公楼13-14层</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办公地址：厦门市思明区台北路1号海西金谷广场T2办公楼13-14层</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法定代表人：李鹏</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电话：0592-2079658</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传真：0592-5162590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联系人：陈月月</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客户服务电话：400-0099-886</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网址：www.gwgsc.com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（20）名称：大同证券有限责任公司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注册地址：山西省大同市城区迎宾街15号桐城中央21层</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办公地址：太原市长治路 111 号山西世贸中心 A 座 F12、F13</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邮政编码：030600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法定代表人：董祥</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 话：（0351）4130322</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 真：（0351）7219891</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客服电话：4007121212</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网址：www.dtsbc.com.cn</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（21）名称：招商证券股份有限公司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（22）名称：申万宏源证券有限公司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（23）名称：平安证券股份有限公司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办公地址：深圳市福田区金田路大中华国际交易广场裙楼8楼(518048)</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（24）名称：中信证券（山东）有限责任公司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（25）名称：申万宏源西部证券有限公司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（26）名称：华鑫证券有限责任公司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华鑫证券有限责任公司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4001099918，95323</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www.cfsc.com.cn</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（27）名称：长城证券有限责任公司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住所：深圳市福田区深南大道6008号特区报业大厦14、16、17层</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法定代表人：黄耀华</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电话：（0755）83516289</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传真：（0755）83516199</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联系人：匡婷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客户服务电话：（0755）33680000，400-6666-888</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网址：www.cc168.com.cn</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（28）名称：国金证券股份有限公司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（29）名称：信达证券股份有限公司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住所：北京市西城区闹市口大街9号院1号楼信达金融中心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办公地址：北京市西城区闹市口大街9号院1号楼信达金融中心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法定代表人：张志刚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电话：（010）63081000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传真：（010）63081344</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联系人：尹旭航</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网址：www.cindasc.com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（30）名称：国新证券股份有限公司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传真：（010）58568062</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（31）名称：华西证券股份有限公司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（32）名称：第一创业证券股份有限公司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（33）名称：中信证券华南股份有限公司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网址：www.gzs.com.cn</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（34）名称：海通证券股份有限公司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（35）名称：国泰海通证券股份有限公司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（36）名称：深圳市新兰德证券投资咨询有限公司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（37）名称：大连网金基金销售有限公司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 辽宁省大连市沙河口区体坛路22号诺德大厦2层202室</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（38）名称：阳光人寿保险股份有限公司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（39）名称：京东肯特瑞基金销售有限公司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（40）名称：和耕传承基金销售有限公司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法定代表人：温丽燕</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（41）名称：珠海盈米基金销售有限公司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（42）名称：北京度小满基金销售有限公司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（43）名称：南京苏宁基金销售有限公司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联系人：冯鹏鹏</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（44）名称：嘉实财富管理有限公司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（45）名称：北京汇成基金销售有限公司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（46）名称：上海利得基金销售有限公司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（47）名称：上海挖财基金销售有限公司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（48）名称：万家财富基金销售（天津）有限公司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（49）名称：上海万得基金销售有限公司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（50）名称：深圳市金斧子基金销售有限公司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办公地址：深圳市南山区粤海街道科苑路科兴科学园B3单元7楼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（51）名称：北京雪球基金销售有限公司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（52）名称：北京新浪仓石基金销售有限公司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（53）名称：中证金牛（北京）基金销售有限公司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电话：（010）59336512</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（54）名称：上海证达通基金销售有限公司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（55）名称：奕丰基金销售有限公司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（56）名称：上海天天基金销售有限公司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联系人：屠彦洋</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（57）名称：和讯信息科技有限公司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（58）名称：诺亚正行基金销售有限公司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（59）名称：上海好买基金销售有限公司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（60）名称：上海长量基金销售有限公司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住所：上海市浦东新区高翔路526号2幢220室</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（61）名称：深圳众禄基金销售股份有限公司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（62）名称：蚂蚁（杭州）基金销售有限公司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（63）名称：中信期货有限公司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w:t>
      </w:r>
      <w:r>
        <w:rPr>
          <w:rFonts w:ascii="宋体" w:hAnsi="宋体"/>
          <w:sz w:val="24"/>
        </w:rPr>
        <w:lastRenderedPageBreak/>
        <w:t>1305室、14层</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（64）名称：上海基煜基金销售有限公司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（65）名称：浙江同花顺基金销售有限公司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（66）名称：宜信普泽（北京）基金销售有限公司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电话：010-5090-5707</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（67）名称：上海联泰基金销售有限公司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（68）名称：泛华普益基金销售有限公司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（69）名称：北京展恒基金销售股份有限公司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客户服务电话：400-888-6661</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（70）名称：济安财富（北京）基金销售有限公司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（71）名称：腾安基金销售（深圳）有限公司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（72）名称：博时财富基金销售有限公司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（73）名称：深圳前海微众银行股份有限公司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住所：深圳前海深港合作区前湾一路1号A栋201室（入驻深圳市前海商务秘书有限公司）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（74）名称：上海中欧财富基金销售有限公司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基金管理人可根据有关法律法规的要求，选择其它符合要求的机构销售本基金，并在基金管理人网站公示。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住所：上海市银城中路68号时代金融中心19楼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名称：安永华明会计师事务所（特殊普通合伙）</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住所：北京市东城区东长安街1号东方广场安永大楼17层</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办公地址：北京市东城区东长安街1号东方广场安永大楼17层</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执行事务合伙人：毛鞍宁</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电话：（010）58153000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传真：（010）85188298</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联系人：蒋燕华</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经办注册会计师：蒋燕华、费泽旭</w:t>
      </w:r>
    </w:p>
    <w:p w:rsidR="00B439CC" w:rsidRDefault="0045138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21577" w:rsidRDefault="00451388">
      <w:pPr>
        <w:pStyle w:val="1"/>
        <w:snapToGrid w:val="0"/>
        <w:spacing w:beforeLines="0" w:before="240" w:after="240"/>
        <w:rPr>
          <w:rFonts w:ascii="宋体" w:hAnsi="宋体"/>
          <w:szCs w:val="30"/>
        </w:rPr>
      </w:pPr>
      <w:bookmarkStart w:id="9" w:name="_Toc231305789"/>
      <w:r>
        <w:rPr>
          <w:rFonts w:ascii="Times New Roman" w:hAnsi="Times New Roman"/>
          <w:sz w:val="30"/>
        </w:rPr>
        <w:lastRenderedPageBreak/>
        <w:t>六、基金的募集</w:t>
      </w:r>
      <w:bookmarkEnd w:id="9"/>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本基金由基金管理人依照《基金法》、《运作办法》、《销售办法》、基金合同及其他有关规定，并经中国证监会2021年6月8日证监许可【2021】2007号文准予募集注册。</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本基金为契约型开放式混合型基金。基金存续期间为不定期。</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本基金于2021年7月28日至2021年8月3日进行发售，本基金设立募集期共募集1,548,793,410.59份基金份额，有效认购户数为14,629户。</w:t>
      </w:r>
    </w:p>
    <w:p w:rsidR="00B439CC" w:rsidRDefault="0045138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21577" w:rsidRDefault="00451388">
      <w:pPr>
        <w:pStyle w:val="1"/>
        <w:snapToGrid w:val="0"/>
        <w:spacing w:beforeLines="0" w:before="240" w:after="240"/>
        <w:rPr>
          <w:rFonts w:ascii="宋体" w:hAnsi="宋体"/>
          <w:szCs w:val="30"/>
        </w:rPr>
      </w:pPr>
      <w:bookmarkStart w:id="10" w:name="_Toc231305790"/>
      <w:r>
        <w:rPr>
          <w:rFonts w:ascii="Times New Roman" w:hAnsi="Times New Roman"/>
          <w:sz w:val="30"/>
        </w:rPr>
        <w:lastRenderedPageBreak/>
        <w:t>七、基金合同的生效</w:t>
      </w:r>
      <w:bookmarkEnd w:id="10"/>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根据有关规定，本基金满足基金合同生效条件，基金合同已于2021年8月6日正式生效。自基金合同生效之日起，本基金管理人正式开始管理本基金。</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法律法规或中国证监会另有规定时，从其规定。</w:t>
      </w:r>
    </w:p>
    <w:p w:rsidR="00B439CC" w:rsidRDefault="0045138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21577" w:rsidRDefault="00451388">
      <w:pPr>
        <w:pStyle w:val="1"/>
        <w:snapToGrid w:val="0"/>
        <w:spacing w:beforeLines="0" w:before="240" w:after="240"/>
        <w:rPr>
          <w:rFonts w:ascii="宋体" w:hAnsi="宋体"/>
          <w:szCs w:val="30"/>
        </w:rPr>
      </w:pPr>
      <w:bookmarkStart w:id="11" w:name="_Toc231305791"/>
      <w:r>
        <w:rPr>
          <w:rFonts w:ascii="Times New Roman" w:hAnsi="Times New Roman"/>
          <w:sz w:val="30"/>
        </w:rPr>
        <w:lastRenderedPageBreak/>
        <w:t>八、基金份额的申购与赎回</w:t>
      </w:r>
      <w:bookmarkEnd w:id="11"/>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个人投资者可以通过基金管理人网上直销交易平台办理开户、本基金的申购、赎回、转换、定期定额投资等业务，具体交易细则请参阅基金管理人网站。</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投资人应当通过上述销售机构办理基金申购、赎回业务的营业场所或按上述销售机构提供的其他方式进行申购或赎回。本基金管理人可根据情况变更或增减基金销售机构，并在基金管理人网站公示。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（二）申购和赎回的开放日及时间</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但对于每份基金份额，基金份额持有人仅可在该份额最短持有期限届满后申请赎回，具体办理时间为上海证券交易所、深圳证券交易所的正常交易日的交易时间（若该工作日为非港股通交易日，则</w:t>
      </w:r>
      <w:r>
        <w:rPr>
          <w:rFonts w:ascii="宋体" w:hAnsi="宋体"/>
          <w:sz w:val="24"/>
        </w:rPr>
        <w:lastRenderedPageBreak/>
        <w:t>本基金可不开放），但基金管理人根据法律法规、中国证监会的要求或基金合同的规定公告暂停申购、赎回时除外。</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本基金已于2021年11月4日起开放申购业务。</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本基金已于2022年8月8日起开放赎回业务。</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基金份额申购、赎回或转换的价格。投资人在最短持有期限内提出的赎回或转换申请，视为无效申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（三）申购与赎回的原则</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w:t>
      </w:r>
      <w:r>
        <w:rPr>
          <w:rFonts w:ascii="宋体" w:hAnsi="宋体"/>
          <w:sz w:val="24"/>
        </w:rPr>
        <w:lastRenderedPageBreak/>
        <w:t>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3、最低基金份额余额的限制</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本基金暂无最低保留余额限制。</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5、基金管理人可在法律法规允许的情况下，调整上述规定申购金额和赎回份额的数量限制。基金管理人必须在调整实施前依照《信息披露办法》的有关规定在规定媒介上公告。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（五）申购和赎回的程序</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投资人申购基金份额时，必须全额交付申购款项，若申购资金在规定时间内未全额到账则申购不成立。投资人全额交付申购款项，申购成立；基金登记机构确认基金份额时，申购生效。</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基金份额持有人递交赎回申请，赎回成立；基金登记机构确认赎回时，赎回生</w:t>
      </w:r>
      <w:r>
        <w:rPr>
          <w:rFonts w:ascii="宋体" w:hAnsi="宋体"/>
          <w:sz w:val="24"/>
        </w:rPr>
        <w:lastRenderedPageBreak/>
        <w:t>效。投资者赎回申请生效后，基金管理人将在T＋7日(包括该日)内支付赎回款项。在发生巨额赎回或基金合同载明的其他暂停赎回或延缓支付赎回款项的情形时，款项的支付办法参照基金合同有关条款处理。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基金管理人可在法律法规允许的范围内，依法对上述申购和赎回申请的确认时间进行调整，并必须在调整实施日前按照《信息披露办法》的有关规定在规定媒介上公告。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（1）投资人T日申购基金成功后，正常情况下，登记机构在T＋1日为投资人增加权益并办理登记手续。投资人应及时查询有关申请的确认情况。</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（3）基金管理人可在法律法规允许的范围内，对上述登记办理时间进行调整，并于开始实施前按照《信息披露办法》的有关规定在规定媒介上公告。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本基金基金份额分为A类基金份额和C类基金份额。投资人申购A类基金份额在申购时支付申购费用；申购C类基金份额不支付申购费用，并从该类别基金资产中计提销售服务费。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A类基金份额的申购费用由A类基金份额申购人承担，不列入基金财产，主要用于本基金的市场推广、销售、登记等各项费用。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821577">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82157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21577" w:rsidRDefault="0082157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r>
      <w:tr w:rsidR="0082157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21577" w:rsidRDefault="0082157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82157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21577" w:rsidRDefault="0082157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本基金对通过基金管理人直销柜台申购本基金A类基金份额的养老金客户实施特定申购费率。</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企业年金理事会委托的特定客户资产管理计划、企业年金养老金产品。如将来出现经养老基金监管部门认可的新的养老基金类型，基金管理人可在招募说明书更新或发布临时公告将其纳入养老金客户范围。</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821577">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82157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21577" w:rsidRDefault="0082157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0.40%</w:t>
            </w:r>
          </w:p>
        </w:tc>
      </w:tr>
      <w:tr w:rsidR="0082157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21577" w:rsidRDefault="0082157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rsidR="0082157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21577" w:rsidRDefault="0082157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持有的每份基金份额最短持有期限为一年，最短持有期限届满后，本基金不收取赎回费。其中，对于不受最短持有期限制的红利再投资所得基金份额，对持续持有期少于7日的投资者收取1.5%的赎回费，并全额计入基金财产。</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3、经与基金托管人协商一致，基金管理人可以在基金合同约定的范围内调整费率或收费方式，并最迟应于新的费率或收费方式实施日前依照《信息披露办法》的有关规定在规定媒介上公告。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4、当本基金发生大额申购或赎回情形时，基金管理人可以采用摆动定价机制，以确保基金估值的公平性。具体处理原则与操作规范遵循相关法律法规以及监管部门、自律规则的规定。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A类基金份额或C类基金份额的赎回金额为按实际确认的有效赎回份额乘以当日该类基金份额的基金份额净值并扣除相应的费用（如有），赎回金额单位为元。赎回金额计算结果按四舍五入方法，保留到小数点后2位，由此产生的收益或损失由基金财产承担。</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申购份额=（申购总金额-申购费用）/T日A类基金份额净值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例四：某投资者（非养老金客户）投资100,000元申购本基金的A类基金份额，假设申购当日A类基金份额净值为1.0400元，申购费率为1.0%，则其可得到的申购份额为：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净申购金额=100,000/（1+1.0%）=99,009.90元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申购费用=100,000-99,009.90=990.10元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申购份额=（100,000-990.10）/1.0400=95,201.83份</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即：某投资者（非养老金客户）投资100,000元申购本基金的A类基金份额，假设申购当日A类基金份额净值为1.0400元，则其可得到95,201.83份A类基金份额。</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例五：某养老金客户投资100,000元通过基金管理人的直销柜台申购本基金的A类基金份额，假设申购当日A类基金份额净值为1.0400元，申购费率为0.40%，则其可得到的申购份额为：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净申购金额=100,000/（1+0.40%）=99,601.59元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申购费用=100,000-99,601.59=398.41元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申购份额=（100,000-398.41）/1.0400=95,770.76份</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即：该养老金客户投资100,000元通过基金管理人的直销柜台申购本基金的A类基金份额，假设申购当日A类基金份额净值为1.0400元，则其可得到95,770.76份A类基金份额。</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例六：某投资者投资100,000元申购本基金的C类基金份额，假设申购当日C类基金份额净值为1.0400元，则其可得到的申购份额为：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赎回费用=赎回份额×T日该类基金份额净值×赎回费率</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赎回金额=赎回份额×T日该类基金份额净值-赎回费用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例七：某投资者赎回持有的10,000份A类基金份额，持有期限为两年，对应的赎回费率为0，假设赎回当日A类基金份额净值是1.0160元，则其可得到的赎回金额为：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赎回费用=10,000×1.0160×0＝0.00元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赎回金额=10,000×1.0160-0.00＝10,160.00元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即：投资者赎回本基金10,000份A类基金份额，持有期限为两年，对应的赎回费率为0，假设赎回当日A类基金份额净值是1.0160元，则其可得到的赎回金额为10,160.00元。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履行适当程序，可以适当延迟计算或公告。本基金A类基金份额和C类基金份额的基金份额净值的计算，保留到小数点后4位，小数点后第5位四舍五入，由此产生的收益或损失由基金财产承担。</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（八）拒绝或暂停申购的情形</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7、港股通交易每日额度不足。</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8、基金管理人接受某笔或者某些申购申请有可能导致单一投资者持有基金份额的比例超过50%，或者变相规避50%集中度的。出现上述情形时，基金管理人有权将上述申购申请全部或部分确认失败。</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9、法律法规规定、中国证监会认定或基金合同约定的其他情形。</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发生上述第1、2、3、5、6、7、9项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5、发生继续接受赎回申请将损害现有基金份额持有人利益的情形时，基金管理人可暂停接受基金份额持有人的赎回申请。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7、法律法规规定、中国证监会认定或基金合同约定的其他情形。</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发生上述情形之一且基金管理人决定暂停接受基金份额持有人的赎回申请或延缓支付赎回款项时，基金管理人应及时报中国证监会备案，已确认的赎回申请，基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w:t>
      </w:r>
      <w:r>
        <w:rPr>
          <w:rFonts w:ascii="宋体" w:hAnsi="宋体"/>
          <w:sz w:val="24"/>
        </w:rPr>
        <w:lastRenderedPageBreak/>
        <w:t>换中转出申请份额总数后扣除申购申请份额总数及基金转换中转入申请份额总数后的余额)超过前一开放日的基金总份额的10%，即认为是发生了巨额赎回。</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当基金出现巨额赎回时，基金管理人可以根据基金当时的资产组合状况决定全额赎回、部分延期赎回或暂停赎回。</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w:t>
      </w:r>
      <w:r>
        <w:rPr>
          <w:rFonts w:ascii="宋体" w:hAnsi="宋体"/>
          <w:sz w:val="24"/>
        </w:rPr>
        <w:lastRenderedPageBreak/>
        <w:t>受理的部分赎回申请将被撤销。</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当发生上述巨额赎回并延期办理时，基金管理人应当通过邮寄、传真、刊登公告或者通知销售机构代为告知等方式在3个交易日内通知基金份额持有人，说明有关处理方法，并在两日内在规定媒介上刊登公告。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1、发生上述暂停申购或赎回情况的，基金管理人应在规定期限内在规定媒介上刊登暂停公告。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2、如发生暂停的时间为1日，基金管理人应于重新开放日，在规定媒介上刊登基金重新开放申购或赎回公告，并公布最近1个开放日的基金份额净值。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（十二）基金的非交易过户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（十三）基金的转托管</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（十四）定期定额投资计划</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本基金2021年10月30日刊登公告自2021年11月4日起开通定期定额投资计划业务，具体开通销售机构名单和业务规则参见相关公告。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（十五）基金份额的冻结和解冻</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（十六）基金份额的转让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（十七）实施侧袋机制期间本基金的申购与赎回</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（十八）其他业务</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45138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21577" w:rsidRDefault="00451388">
      <w:pPr>
        <w:pStyle w:val="1"/>
        <w:snapToGrid w:val="0"/>
        <w:spacing w:beforeLines="0" w:before="240" w:after="240"/>
        <w:rPr>
          <w:rFonts w:ascii="宋体" w:hAnsi="宋体"/>
          <w:szCs w:val="30"/>
        </w:rPr>
      </w:pPr>
      <w:bookmarkStart w:id="12" w:name="_Toc231305792"/>
      <w:r>
        <w:rPr>
          <w:rFonts w:ascii="Times New Roman" w:hAnsi="Times New Roman"/>
          <w:sz w:val="30"/>
        </w:rPr>
        <w:lastRenderedPageBreak/>
        <w:t>九、基金的转换</w:t>
      </w:r>
      <w:bookmarkEnd w:id="12"/>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本基金2022年8月4日刊登公告自2022年8月8日起开放日常转换业务。</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w:t>
      </w:r>
      <w:r>
        <w:rPr>
          <w:rFonts w:ascii="宋体" w:hAnsi="宋体"/>
          <w:sz w:val="24"/>
        </w:rPr>
        <w:lastRenderedPageBreak/>
        <w:t>后两位以后的部分四舍五入，误差部分归基金财产。</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w:t>
      </w:r>
      <w:r>
        <w:rPr>
          <w:rFonts w:ascii="宋体" w:hAnsi="宋体"/>
          <w:sz w:val="24"/>
        </w:rPr>
        <w:lastRenderedPageBreak/>
        <w:t>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w:t>
      </w:r>
      <w:r>
        <w:rPr>
          <w:rFonts w:ascii="宋体" w:hAnsi="宋体"/>
          <w:sz w:val="24"/>
        </w:rPr>
        <w:lastRenderedPageBreak/>
        <w:t>份额转换为交银增利A类基金份额，则转入确认的交银增利A类基金份额为：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w:t>
      </w:r>
      <w:r>
        <w:rPr>
          <w:rFonts w:ascii="宋体" w:hAnsi="宋体"/>
          <w:sz w:val="24"/>
        </w:rPr>
        <w:lastRenderedPageBreak/>
        <w:t>份额净值为1.00元。若该投资者将100,000份交银先锋后端A类基金份额转换为交银货币，则转入交银货币的基金份额为：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45138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21577" w:rsidRDefault="00451388">
      <w:pPr>
        <w:pStyle w:val="1"/>
        <w:snapToGrid w:val="0"/>
        <w:spacing w:beforeLines="0" w:before="240" w:after="240"/>
        <w:rPr>
          <w:rFonts w:ascii="宋体" w:hAnsi="宋体"/>
          <w:szCs w:val="30"/>
        </w:rPr>
      </w:pPr>
      <w:bookmarkStart w:id="13" w:name="_Toc231305793"/>
      <w:r>
        <w:rPr>
          <w:rFonts w:ascii="Times New Roman" w:hAnsi="Times New Roman"/>
          <w:sz w:val="30"/>
        </w:rPr>
        <w:lastRenderedPageBreak/>
        <w:t>十、基金的投资</w:t>
      </w:r>
      <w:bookmarkEnd w:id="13"/>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（一）投资目标</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在合理控制风险并保持基金资产良好流动性的前提下，追求超越业绩比较基准的投资回报，力争实现基金资产的长期稳健增值。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投资（含存托凭证）占基金资产的比例为0%-30%（其中投资于港股通标的股票的比例占股票资产的0%-50%），同业存单投资占基金资产的比例不超过20%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（三）投资策略</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股和个券；在保持总体风险水平相对稳定的基础上，力争获取投资组合的较高回报。</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1、大类资产配置</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利用经交银施罗德研究团队修正后的投资时钟分析框架，通过“自上而下”的定性分析和定量分析相结合形成对不同资产市场表现的预测和判断，确定基金资产在沪深A股、港股、债券及货币市场工具等各类别资产间的分配比例，并随着各类证券风险收益特征的相对变化，在基金合同约定的范围内动态调整组合中各类资产的比例，以规避或控制市场风险，提高基金收益率。</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2、股票投资策略</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发挥公司股票研究团队“自下而上”的主动选股能力，基于对个股深入的基本面研究和细致的实地调研，精选股票构建股票投资组合。</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（1）品质筛选</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筛选出在公司治理、财务及管理品质上符合基本品质要求的公司，构建备选股票池。主要筛选指标包括：</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■盈利能力指标：如市盈率（P/E）、市现率（P/Cash Flow）、股价与每股自由现金流比率（P/FCF）、市销率（P/S）、股价与每股息税前利润比率（P/EBIT）等；</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■经营效率指标：如净资产收益率（ROE）、资产收益率（ROA）、经营资产回报率（Return on operating assets）等；</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■财务状况指标：如资产负债率（D/A）、流动比率等；</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■研发投入指标：如研发投入与营业收入比率、科研人员数量及占比、专利数量及在同行业的占比等。</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（2）价值评估</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股票估值水平的高低将最终决定投资回报率的高低。由于驱动公司价值创造的因素不同，本基金将借鉴市场通用估值理念，针对不同类型公司以及公司发展中所处的不同阶段，采用不同的价值评估指标对公司的内在价值进行评估，筛选出估值具有吸引力的公司作为投资目标。</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（3）港股通标的股票投资策略</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本基金可通过内地与香港股票市场交易互联互通机制投资于香港股票市场。本基金优先将基本面健康、业绩向上弹性较大、具有估值优势的港股纳入本基金的股票投资组合。</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本基金可根据投资策略需要或不同配置地市场环境的变化，选择将部分基金资</w:t>
      </w:r>
      <w:r>
        <w:rPr>
          <w:rFonts w:ascii="宋体" w:hAnsi="宋体"/>
          <w:sz w:val="24"/>
        </w:rPr>
        <w:lastRenderedPageBreak/>
        <w:t>产投资于港股或选择不将基金资产投资于港股，基金资产并非必然投资港股。</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（4）存托凭证的投资策略</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3、债券投资策略</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调整策略、类属配置策略、期限结构配置策略、回购策略、信用债券投资策略、可转换债券投资策略等多种策略，以期获取债券市场的长期稳定收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（1）久期调整策略</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本基金根据中长期宏观经济走势和经济周期波动趋势，判断债券市场未来的走势，并形成对未来市场利率变动方向的预期，动态调整组合久期。</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（2）债券的类属配置策略</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定性和定量地分析不同类属债券类资产的信用风险、流动性风险、市场风险等因素及其经风险调整后的收益率水平或盈利能力，通过比较并合理预期不同类属债券类资产的风险与收益率变化，确定不同类属债券类资产间的配置。</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（3）期限结构配置策略</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预期收益率曲线形态变化来调整投资组合的期限结构配置策略。根据债券收益率曲线形态、各期限段品种收益率变动、结合短期资金利率水平与变动趋势，分析预测收益率曲线的变化，测算子弹、哑铃或梯形等不同期限结构配置策略的风险收益，形成具体的期限结构配置策略。</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（4）回购策略</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当回购利率低于债券收益率时，本基金将实施正回购融入资金并投资于信用债券等可投资标的，从而获取收益率超出回购资金成本（即回购利率）的套利价值。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（5）信用债券投资策略</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本基金通过交银施罗德的信用债券信用评级指标体系，对信用债券进行信用评级，并在信用评级的基础上，建立本基金的信用债券池。基金经理从信用债券池中</w:t>
      </w:r>
      <w:r>
        <w:rPr>
          <w:rFonts w:ascii="宋体" w:hAnsi="宋体"/>
          <w:sz w:val="24"/>
        </w:rPr>
        <w:lastRenderedPageBreak/>
        <w:t>精选债券构建信用债券投资组合。</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动投资的信用债为信用评级在AA级（含）以上的信用债，对信用评级的认定参照基金管理人选定的评级机构出具的信用评级，其中，信用债的信用评级依照评级机构出具的债项信用评级，若无债项信用评级的或债项信用评级为A-1的，依照其主体信用评级。本基金投资于评级AA的信用债比例不高于信用债资产的20%，投资于评级AA+的信用债比例不高于信用债资产的70%，投资于评级AAA的信用债比例不低于信用债资产的30%。本基金所指的信用债包括金融债（不包含政策性金融债）、政府支持债、政府支持机构债、企业债、公司债、可转换债券（含可分离交易可转换债券）、可交换公司债券、次级债、短期融资券、超短期融资券、中期票据等非国家信用的债券资产。</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（6）可转换债券与可交换公司债券投资策略</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可转换债券、可交换公司债券的比例合计不超过基金资产净值的20%，因证券市场波动、基金规模变动等基金管理人之外的因素致使基金投资比例不符合上述规定的，基金管理人应当在不符合上述规定之日起3个月内进行调整。本基金对于可转换债券与可交换公司债券股性的研究将完全依托于公司投研团队对标的股票的研究，在此基础上利用可转换债券与可交换公司债券定价模型，充分考虑转债发行后目标转债标的股票股价波动率可能出现的变化，对目标转债的股性进行合理定价。通过对标的转债股性与债性的合理定价，力求寻找出被市场低估的品种，构建本基金可转换债券与可交换公司债券的投资组合。</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1）行业配置策略</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综合考虑各种宏观因素，以宏观经济走势、经济周期特征和阶段性市场投资主题的研究为基础，综合考量可转债市场的供给和需求情况，追求最优行业配置。同时，结合经济和市场阶段性特征，动态调整不同行业的可转换债券与可交换公司债券进行投资。</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2）个券精选策略</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借鉴信用债的基本面研究，从行业基本面、公司的信用资质、行业地位、财务状况等方面进行定性分析，精选财务稳健、信用违约风险小的个券；对于可转换为正股的转股价值，将通过盈利能力指标（如市盈率、市现率、股价与每股息税前利润比率等）、经营效率指标（如净资产收益率、资产收益率、经营资产回报率等）、财务状况指标（如资产负债率、流动比率等）等进行定量分析，选择基</w:t>
      </w:r>
      <w:r>
        <w:rPr>
          <w:rFonts w:ascii="宋体" w:hAnsi="宋体"/>
          <w:sz w:val="24"/>
        </w:rPr>
        <w:lastRenderedPageBreak/>
        <w:t>本面优质且估值合理的正股。综上所述，本基金将结合可转换债券与可交换公司债券自身的信用评估和其正股的价值分析来进行个券的筛选。</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4、资产支持证券投资策略</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5、股指期货投资策略</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（四）投资限制</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（1）股票投资（含存托凭证）占基金资产的比例为0%-30%（其中投资于港股通标的股票的比例占股票资产的0%-50%），同业存单投资占基金资产的比例不超过20%；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投资比例合计不低于基金资产净值的5%，其中现金不包括结算备付金、存出保证金、应收申购款等；</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（3）本基金持有一家公司发行的证券（同一家公司在内地和香港同时上市的A+H股合计计算），其市值不超过基金资产净值的10％；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本基金管理人管理的全部基金持有一家公司发行的证券（同一家公司在内地和香港同时上市的A+H股合计计算），不超过该证券的10％，完全按照有关指数的构成比例进行证券投资的基金品种可以不受此条款规定的比例限制；</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（11）本基金进入全国银行间同业市场进行债券回购的最长期限为1年，债券回购到期后不得展期；</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（14）本基金与私募类证券资管产品及中国证监会认定的其他主体为交易对手开展逆回购交易的，可接受质押品的资质要求应当与基金合同约定的投资范围保持一致；</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（15）本基金参与股指期货交易，则：</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3）本基金在任何交易日日终，持有的卖出股指期货合约价值不得超过基金持有的股票总市值的20%；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（16）本基金资产总值不超过基金资产净值的140%；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（17）本基金投资存托凭证的比例限制依照境内上市交易的股票执行；</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（18）法律法规及中国证监会规定的和《基金合同》约定的其他投资限制。</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9）、（13）、（14）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（3）从事承担无限责任的投资；</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（五）业绩比较基准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沪深300指数收益率×10%+恒生指数收益率×5%+中证综合债券指数收益率×85%</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是沪深证券交易所第一次联合发布的反映A股市场整体走势的指数，由中证指数有限公司编制和维护，是在上海和深圳证券市场中选取300只A股作为样本编制而成。该指数样本对沪深市场的覆盖度高，具有良好的市场代表性，投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金A股资产投资的业绩比较基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恒生指数是由恒生指数服务有限公司编制，以香港股票市场中的50家上市股票为成份股样本，以其发行量为权数的加权平均股价指数，是反映香港股市价幅趋势最有影响的一种股价指数。</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综合债券指数是综合反映银行间债券市场和沪深交易所债券市场国债、金融债、企业债、央行票据及短期融资券整体走势的跨市场债券指数，该指数旨在更全面地反映我国债券市场的整体价格变动趋势，具有较强的市场代表性，适合作为</w:t>
      </w:r>
      <w:r>
        <w:rPr>
          <w:rFonts w:ascii="宋体" w:hAnsi="宋体"/>
          <w:sz w:val="24"/>
        </w:rPr>
        <w:lastRenderedPageBreak/>
        <w:t>本基金债券资产投资的业绩比较基准。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根据本基金的投资范围和投资比例，选用上述业绩比较基准能够客观、合理地反映本基金的风险收益特征。</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并按照监管部门要求履行适当程序后，调整或变更本基金的业绩比较基准并及时公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（六）风险收益特征</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本基金是一只混合型基金，其预期风险和预期收益理论上高于债券型基金和货币市场基金，低于股票型基金。</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（七）基金管理人代表基金行使股东或债权人权利的处理原则及方法</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1、基金管理人按照国家有关规定代表基金独立行使股东或债权人权利，保护基金份额持有人的利益；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（八）侧袋机制的实施和投资运作安排</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（九）基金的投资组合报告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w:t>
      </w:r>
      <w:r>
        <w:rPr>
          <w:rFonts w:ascii="宋体" w:hAnsi="宋体"/>
          <w:sz w:val="24"/>
        </w:rPr>
        <w:lastRenderedPageBreak/>
        <w:t>述或重大遗漏，并对其内容的真实性、准确性和完整性承担个别及连带责任。</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本基金托管人中信银行股份有限公司根据本基金合同规定，于2026年04月20日复核了本报告中的财务指标、净值表现和投资组合报告等内容，保证复核内容不存在虚假记载、误导性陈述或者重大遗漏。</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本投资组合报告期为2026年01月01日至03月31日。所载财务数据未经审计师审计。</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38,268,934.18</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28.06</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38,268,934.18</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28.06</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88,561,003.30</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64.94</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88,561,003.30</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64.94</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9,446,328.90</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6.93</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95,911.46</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0.07</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136,372,177.84</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注：本基金本报告期末通过港股通机制投资香港股票的公允价值为10,588,838.04元，占基金资产净值比例为7.80%。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2,211,832.00</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1.63</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21,692,863.10</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15.98</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F</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324,682.00</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0.24</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2,768,639.04</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2.04</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291,870.00</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0.22</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211,440.00</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0.16</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178,770.00</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0.13</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27,680,096.14</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20.39</w:t>
            </w:r>
          </w:p>
        </w:tc>
      </w:tr>
    </w:tbl>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tbl>
      <w:tblPr>
        <w:tblW w:w="5000" w:type="pct"/>
        <w:tblCellMar>
          <w:left w:w="0" w:type="dxa"/>
          <w:right w:w="0" w:type="dxa"/>
        </w:tblCellMar>
        <w:tblLook w:val="0000" w:firstRow="0" w:lastRow="0" w:firstColumn="0" w:lastColumn="0" w:noHBand="0" w:noVBand="0"/>
      </w:tblPr>
      <w:tblGrid>
        <w:gridCol w:w="1547"/>
        <w:gridCol w:w="4645"/>
        <w:gridCol w:w="2478"/>
      </w:tblGrid>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可选消费</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3,106,881.20</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2.29</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原材料</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2,561,363.52</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1.89</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通信服务</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2,345,288.26</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1.73</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能源</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933,983.31</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0.69</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工业</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630,635.90</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0.46</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信息技术</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630,487.58</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0.46</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主要消费</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380,198.27</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0.28</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10,588,838.04</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7.80</w:t>
            </w:r>
          </w:p>
        </w:tc>
      </w:tr>
    </w:tbl>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注：本报告采用中证CICS一级分类标准编制。</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300750</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宁德时代</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5,400</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2,169,180.00</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1.60</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00700 HK</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腾讯控股</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5,009</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2,140,585.13</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1.58</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09988 HK</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阿里巴巴</w:t>
            </w:r>
            <w:r>
              <w:rPr>
                <w:rFonts w:ascii="Times New Roman" w:hAnsi="Times New Roman"/>
                <w:color w:val="000000"/>
                <w:kern w:val="0"/>
                <w:sz w:val="25"/>
                <w:szCs w:val="24"/>
              </w:rPr>
              <w:t>-W</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16,017</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1,682,923.01</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1.24</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4</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603061</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金海通</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4,900</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1,324,617.00</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0.98</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300677</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英科医疗</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22,400</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1,314,432.00</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0.97</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600066</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宇通客车</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36,400</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1,305,304.00</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0.96</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01378 HK</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中国宏桥</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42,500</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1,304,382.04</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0.96</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02259 HK</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紫金黄金国际</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8,177</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1,256,981.48</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0.93</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001203</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大中矿业</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30,400</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1,213,872.00</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0.89</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688041</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海光信息</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5,089</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1,070,013.14</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0.79</w:t>
            </w:r>
          </w:p>
        </w:tc>
      </w:tr>
    </w:tbl>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7,556,638.36</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5.57</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70,585,258.09</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52.00</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29,726,219.18</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21.90</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10,419,106.85</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7.68</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88,561,003.30</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65.25</w:t>
            </w:r>
          </w:p>
        </w:tc>
      </w:tr>
    </w:tbl>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250215</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国开</w:t>
            </w: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300,000</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29,726,219.18</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21.90</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241283</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津投</w:t>
            </w:r>
            <w:r>
              <w:rPr>
                <w:rFonts w:ascii="Times New Roman" w:hAnsi="Times New Roman"/>
                <w:color w:val="000000"/>
                <w:kern w:val="0"/>
                <w:sz w:val="25"/>
                <w:szCs w:val="24"/>
              </w:rPr>
              <w:t>24</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10,419,106.85</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7.68</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232480012</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农行二级资本债</w:t>
            </w:r>
            <w:r>
              <w:rPr>
                <w:rFonts w:ascii="Times New Roman" w:hAnsi="Times New Roman"/>
                <w:color w:val="000000"/>
                <w:kern w:val="0"/>
                <w:sz w:val="25"/>
                <w:szCs w:val="24"/>
              </w:rPr>
              <w:t>02B</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10,408,101.92</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7.67</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232580006</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民生银行二级资本债</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10,306,638.36</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7.59</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232580001</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工行二级资本债</w:t>
            </w:r>
            <w:r>
              <w:rPr>
                <w:rFonts w:ascii="Times New Roman" w:hAnsi="Times New Roman"/>
                <w:color w:val="000000"/>
                <w:kern w:val="0"/>
                <w:sz w:val="25"/>
                <w:szCs w:val="24"/>
              </w:rPr>
              <w:t>01BC</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10,076,030.14</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7.42</w:t>
            </w:r>
          </w:p>
        </w:tc>
      </w:tr>
    </w:tbl>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w:t>
      </w:r>
      <w:r>
        <w:rPr>
          <w:rFonts w:ascii="宋体" w:hAnsi="宋体"/>
          <w:sz w:val="24"/>
        </w:rPr>
        <w:lastRenderedPageBreak/>
        <w:t>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2026年02月14日,央行公示银罚决字[2026]5号行政处罚决定书,给予中国建设银行股份有限公司罚没共计4350.6076万元人民币的行政处罚。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2025年12月31日,国家金融监督管理总局宁波监管局公示行政处罚决定书,给予中国民生银行股份有限公司220万元人民币的行政处罚。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2025年12月18日,国家外汇管理局北京市分局公示京汇罚[2025]49号行政处罚决定书,给予中国工商银行股份有限公司罚没共计1142.59万元人民币的行政处罚。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2025年12月19日,央行公示银罚决字[2025]110号行政处罚决定书,给予中国工商银行股份有限公司罚没共计4396.0709万元人民币的行政处罚。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 xml:space="preserve">　　2025年10月31日,国家金融监督管理总局公示行政处罚决定书,给予中国民生银行股份有限公司5865万元人民币的行政处罚。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2025年10月31日,国家金融监督管理总局公示行政处罚决定书,给予中国农业银行股份有限公司罚没共计2720万元人民币的行政处罚。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2025年09月30日,央行公示银罚决字[2025]66号行政处罚决定书,给予国家开发银行123万元人民币的行政处罚。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2025年09月12日,金融监管总局公示行政处罚决定书,给予中国民生银行股份有限公司590万元人民币的行政处罚。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2025年09月12日,国家金融监督管理总局公示行政处罚决定书,给予中国建设银行股份有限公司290万元人民币的行政处罚。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2025年07月25日,国家外汇管理局北京市分局公示京汇罚[2025]30号行政处罚决定书,给予国家开发银行罚没共计1394.42万元人民币的行政处罚。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23,769.15</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66,538.34</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5,603.97</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right"/>
              <w:rPr>
                <w:rFonts w:ascii="宋体" w:hAnsi="宋体"/>
                <w:color w:val="000000"/>
                <w:kern w:val="0"/>
                <w:sz w:val="25"/>
                <w:szCs w:val="24"/>
              </w:rPr>
            </w:pPr>
            <w:r>
              <w:rPr>
                <w:rFonts w:ascii="Times New Roman" w:hAnsi="Times New Roman"/>
                <w:color w:val="000000"/>
                <w:kern w:val="0"/>
                <w:sz w:val="25"/>
                <w:szCs w:val="24"/>
              </w:rPr>
              <w:t>95,911.46</w:t>
            </w:r>
          </w:p>
        </w:tc>
      </w:tr>
    </w:tbl>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无。</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45138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21577" w:rsidRDefault="00451388">
      <w:pPr>
        <w:pStyle w:val="1"/>
        <w:snapToGrid w:val="0"/>
        <w:spacing w:beforeLines="0" w:before="240" w:after="240"/>
        <w:rPr>
          <w:rFonts w:ascii="宋体" w:hAnsi="宋体"/>
          <w:szCs w:val="30"/>
        </w:rPr>
      </w:pPr>
      <w:bookmarkStart w:id="14" w:name="_Toc231305794"/>
      <w:r>
        <w:rPr>
          <w:rFonts w:ascii="Times New Roman" w:hAnsi="Times New Roman"/>
          <w:sz w:val="30"/>
        </w:rPr>
        <w:lastRenderedPageBreak/>
        <w:t>十一、基金的业绩</w:t>
      </w:r>
      <w:bookmarkEnd w:id="14"/>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1、本报告期基金份额净值增长率及其与同期业绩比较基准收益率的比较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（1）交银鸿信一年持有期混合A：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8215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8215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0.95%</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0.49%</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0.78%</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0.33%</w:t>
            </w:r>
          </w:p>
        </w:tc>
      </w:tr>
      <w:tr w:rsidR="008215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7.52%</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0.34%</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3.75%</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3.77%</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r>
      <w:tr w:rsidR="008215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5.28%</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9.36%</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0.18%</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-4.08%</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8215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0.33%</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2.25%</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-1.92%</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r>
      <w:tr w:rsidR="008215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-2.75%</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-2.64%</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8215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年（自基金合同生效日起至</w:t>
            </w:r>
            <w:r>
              <w:rPr>
                <w:rFonts w:ascii="Times New Roman" w:hAnsi="Times New Roman"/>
                <w:color w:val="000000"/>
                <w:kern w:val="0"/>
                <w:sz w:val="25"/>
                <w:szCs w:val="24"/>
              </w:rPr>
              <w:t>2021</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0.71%</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r>
    </w:tbl>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（2）交银鸿信一年持有期混合C：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8215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8215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0.87%</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0.49%</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0.33%</w:t>
            </w:r>
          </w:p>
        </w:tc>
      </w:tr>
      <w:tr w:rsidR="008215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7.09%</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0.34%</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3.75%</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3.34%</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r>
      <w:tr w:rsidR="008215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4.86%</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9.36%</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0.18%</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-4.50%</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8215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2.25%</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-2.32%</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r>
      <w:tr w:rsidR="008215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-3.14%</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-3.03%</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8215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年（自基金合同生效日起至</w:t>
            </w:r>
            <w:r>
              <w:rPr>
                <w:rFonts w:ascii="Times New Roman" w:hAnsi="Times New Roman"/>
                <w:color w:val="000000"/>
                <w:kern w:val="0"/>
                <w:sz w:val="25"/>
                <w:szCs w:val="24"/>
              </w:rPr>
              <w:t>2021</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0.71%</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r>
    </w:tbl>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2、自基金合同生效以来基金份额累计净值增长率变动及其与同期业绩比较基准收益率变动的比较</w:t>
      </w:r>
    </w:p>
    <w:p w:rsidR="00821577" w:rsidRDefault="00451388">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交银鸿信一年持有期混合型证券投资基金</w:t>
      </w:r>
    </w:p>
    <w:p w:rsidR="00821577" w:rsidRDefault="00451388">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821577" w:rsidRDefault="00451388">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（2021年8月6日至2026年03月31日）</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（1）交银鸿信一年持有期混合A</w:t>
      </w:r>
    </w:p>
    <w:p w:rsidR="00821577" w:rsidRDefault="005A38ED">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（2）交银鸿信一年持有期混合C</w:t>
      </w:r>
    </w:p>
    <w:p w:rsidR="00821577" w:rsidRDefault="005A38ED">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6" type="#_x0000_t75" style="width:439.5pt;height:268.5pt">
            <v:imagedata r:id="rId16" o:title="1521256610242020828"/>
          </v:shape>
        </w:pic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45138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21577" w:rsidRDefault="00451388">
      <w:pPr>
        <w:pStyle w:val="1"/>
        <w:snapToGrid w:val="0"/>
        <w:spacing w:beforeLines="0" w:before="240" w:after="240"/>
        <w:rPr>
          <w:rFonts w:ascii="宋体" w:hAnsi="宋体"/>
          <w:szCs w:val="30"/>
        </w:rPr>
      </w:pPr>
      <w:bookmarkStart w:id="15" w:name="_Toc231305795"/>
      <w:r>
        <w:rPr>
          <w:rFonts w:ascii="Times New Roman" w:hAnsi="Times New Roman"/>
          <w:sz w:val="30"/>
        </w:rPr>
        <w:lastRenderedPageBreak/>
        <w:t>十二、基金的财产</w:t>
      </w:r>
      <w:bookmarkEnd w:id="15"/>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基金资产总值是指基金拥有的各类有价证券、股指期货合约、银行存款本息、基金应收款项及其他资产的价值总和。</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协助开立股指期货业务相关账户及交易编码。开立的基金专用账户与基金管理人、基金托管人、基金销售机构和基金登记机构自有的财产账户以及其他基金财产账户相独立。</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45138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21577" w:rsidRDefault="00451388">
      <w:pPr>
        <w:pStyle w:val="1"/>
        <w:snapToGrid w:val="0"/>
        <w:spacing w:beforeLines="0" w:before="240" w:after="240"/>
        <w:rPr>
          <w:rFonts w:ascii="宋体" w:hAnsi="宋体"/>
          <w:szCs w:val="30"/>
        </w:rPr>
      </w:pPr>
      <w:bookmarkStart w:id="16" w:name="_Toc231305796"/>
      <w:r>
        <w:rPr>
          <w:rFonts w:ascii="Times New Roman" w:hAnsi="Times New Roman"/>
          <w:sz w:val="30"/>
        </w:rPr>
        <w:lastRenderedPageBreak/>
        <w:t>十三、基金资产的估值</w:t>
      </w:r>
      <w:bookmarkEnd w:id="16"/>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基金所拥有的股票、债券、资产支持证券、衍生工具和其他投资等持续以公允价值计量的金融资产及负债。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（三）估值原则</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（四）估值方法</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交易所上市的有价证券（包括股票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（2）交易所上市交易或挂牌转让的固定收益品种（另有规定的除外），选取估值日第三方估值机构提供的相应品种当日的估值净价进行估值；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（4）交易所上市实行全价交易的债券（可转债除外），选取第三方估值机构提供的估值全价减去估值全价中所含的债券（税后）应收利息得到的净价进行估值；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（2）首次公开发行未上市的股票和债券，采用估值技术确定公允价值，在估值技术难以可靠计量公允价值的情况下，按成本估值；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w:t>
      </w:r>
      <w:r>
        <w:rPr>
          <w:rFonts w:ascii="宋体" w:hAnsi="宋体"/>
          <w:sz w:val="24"/>
        </w:rPr>
        <w:lastRenderedPageBreak/>
        <w:t>等，不包括停牌、新发行未上市、回购交易中的质押券等流通受限股票，按监管机构或行业协会有关规定确定公允价值。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5、同一证券同时在两个或两个以上市场交易的，按证券所处的市场分别估值。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估值计算中涉及港币对人民币汇率的，将依据下列信息提供机构所提供的汇率为基准：当日中国人民银行或其授权机构公布的人民币汇率中间价。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税收：对于按照中国法律法规和基金投资境内外股票市场交易互联互通机制涉及的境外交易场所所在地的法律法规规定应交纳的各项税金，本基金将按权责发生制原则进行估值；对于因税收规定调整或其他原因导致基金实际交纳税金与估算的应交税金有差异的，基金将在相关税金调整日或实际支付日进行相应的估值调整。</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6、如有确凿证据表明按上述方法进行估值不能客观反映其公允价值的，基金管理人可根据具体情况与基金托管人商定后，按最能反映公允价值的价格估值。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7、当发生大额申购或赎回情形时，基金管理人可以采用摆动定价机制，以确保基金估值的公平性。</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8、本基金投资存托凭证的估值核算依照境内上市交易的股票执行。</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9、相关法律法规以及监管部门有强制规定的，从其规定。如有新增事项，按国家最新规定估值。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（五）估值程序</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基金管理人于每个工作日计算各类基金份额的基金资产净值及基金份额净值，并按规定公告。如遇特殊情况，经履行适当程序，可以适当延迟计算或公告。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（六）估值错误的处理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w:t>
      </w:r>
      <w:r>
        <w:rPr>
          <w:rFonts w:ascii="宋体" w:hAnsi="宋体"/>
          <w:sz w:val="24"/>
        </w:rPr>
        <w:lastRenderedPageBreak/>
        <w:t>等，因不可抗力原因出现估值错误的当事人不对其他当事人承担赔偿责任，但因该估值错误取得不当得利的当事人仍应负有返还不当得利的义务。</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4、基金份额净值估值错误处理的方法如下：</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（2）错误偏差达到基金份额净值的0.25%时，基金管理人应当通报基金托管人并报中国证监会备案；错误偏差达到基金份额净值的0.5%时，基金管理人应当公告，并报中国证监会备案。</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（七）暂停估值的情形</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（八）基金净值的确认</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资产净值、基金份额累计净值和基金份额净值由基金管理人负责计算，基金托管人负责进行复核。基金管理人应于每个开放日交易结束后计算当日各类基金份额的基金资产净值和基金份额净值并发送给基金托管人。基金托管人对净值计算结果复核确认后发送给基金管理人，由基金管理人依据基金合同和相关法律法规的规定对基金净值予以公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（九）特殊情形的处理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1、基金管理人或基金托管人按估值方法的第6项进行估值时，所造成的误差不作为基金资产估值错误处理。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机构、期货公司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（十）实施侧袋机制期间的基金资产估值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w:t>
      </w:r>
      <w:r>
        <w:rPr>
          <w:rFonts w:ascii="宋体" w:hAnsi="宋体"/>
          <w:sz w:val="24"/>
        </w:rPr>
        <w:lastRenderedPageBreak/>
        <w:t>主袋账户的基金净值信息，暂停披露侧袋账户份额净值。</w:t>
      </w:r>
    </w:p>
    <w:p w:rsidR="00B439CC" w:rsidRDefault="0045138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21577" w:rsidRDefault="00451388">
      <w:pPr>
        <w:pStyle w:val="1"/>
        <w:snapToGrid w:val="0"/>
        <w:spacing w:beforeLines="0" w:before="240" w:after="240"/>
        <w:rPr>
          <w:rFonts w:ascii="宋体" w:hAnsi="宋体"/>
          <w:szCs w:val="30"/>
        </w:rPr>
      </w:pPr>
      <w:bookmarkStart w:id="17" w:name="_Toc231305797"/>
      <w:r>
        <w:rPr>
          <w:rFonts w:ascii="Times New Roman" w:hAnsi="Times New Roman"/>
          <w:sz w:val="30"/>
        </w:rPr>
        <w:lastRenderedPageBreak/>
        <w:t>十四、基金收益与分配</w:t>
      </w:r>
      <w:bookmarkEnd w:id="17"/>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1、由于本基金A类基金份额不收取销售服务费，C类基金份额收取销售服务费，各基金份额类别对应的可供分配利润将有所不同；</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2、在符合有关基金分红条件的前提下，本基金管理人可以根据实际情况进行收益分配，具体分配方案以公告为准，若《基金合同》生效不满3个月可不进行收益分配；</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收益分配方式分两种：现金分红与红利再投资，投资者可选择现金红利或将现金红利自动转为相应类别的基金份额进行再投资；投资者红利再投资所得基金份额不受最短持有期限制；若投资者不选择，本基金默认的收益分配方式是现金分红；基金份额持有人可对其持有的A类基金份额和C类基金份额分别选择不同的收益分配方式；</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4、基金收益分配后任一类基金份额净值不能低于面值；即基金收益分配基准日的任一类基金份额净值减去该类每单位基金份额收益分配金额后不能低于面值；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5、本基金同一基金份额类别的每一基金份额享有同等分配权；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6、法律法规或监管机关另有规定的，从其规定。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本基金收益分配方案由基金管理人拟定，并由基金托管人复核，依照《信息披露办法》的规定在规定媒介公告。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（六）基金收益分配中发生的费用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（八）实施侧袋机制期间的收益分配</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45138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21577" w:rsidRDefault="00451388">
      <w:pPr>
        <w:pStyle w:val="1"/>
        <w:snapToGrid w:val="0"/>
        <w:spacing w:beforeLines="0" w:before="240" w:after="240"/>
        <w:rPr>
          <w:rFonts w:ascii="宋体" w:hAnsi="宋体"/>
          <w:szCs w:val="30"/>
        </w:rPr>
      </w:pPr>
      <w:bookmarkStart w:id="18" w:name="_Toc231305798"/>
      <w:r>
        <w:rPr>
          <w:rFonts w:ascii="Times New Roman" w:hAnsi="Times New Roman"/>
          <w:sz w:val="30"/>
        </w:rPr>
        <w:lastRenderedPageBreak/>
        <w:t>十五、基金的费用与税收</w:t>
      </w:r>
      <w:bookmarkEnd w:id="18"/>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9、因投资港股通标的股票而产生的各项合理费用；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10、本基金从C类基金份额的基金财产中计提的销售服务费；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11、按照国家有关规定和《基金合同》约定，可以在基金财产中列支的其他费用。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本基金的管理费按前一日基金资产净值的0.6%年费率计提。管理费的计算方法如下：</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H＝E×年管理费率÷当年天数</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基金管理费每日计提，按月支付。由基金管理人向基金托管人发送基金管理费划付指令，经基金托管人复核无误后于次月首日起3个工作日内从基金财产中一次性支付给基金管理人。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本基金的托管费按前一日基金资产净值的0.2%年费率计提。托管费的计算方法</w:t>
      </w:r>
      <w:r>
        <w:rPr>
          <w:rFonts w:ascii="宋体" w:hAnsi="宋体"/>
          <w:sz w:val="24"/>
        </w:rPr>
        <w:lastRenderedPageBreak/>
        <w:t>如下：</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H＝E×年托管费率÷当年天数</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基金托管费每日计提，按月支付。由基金管理人向基金托管人发送基金托管费划付指令，经基金托管人复核无误后于次月首日起3个工作日内从基金财产中一次性支付给基金托管人。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本基金A类基金份额不收取销售服务费，C类基金份额的销售服务费按前一日C类基金资产净值的0.4%年费率计提。计算方法如下：</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H＝E×年销售服务费率÷当年天数</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按月支付。由基金管理人与基金托管人核对一致后，由基金托管人复核后于次月首日起第3个工作日从基金财产中一次性支付给基金管理人，由基金管理人代付给销售机构，若遇法定节假日、休息日或不可抗力致使无法按时支付的，支付日期顺延。</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（4）上述“（一）基金费用的种类”中第3－9项、第11项费用，根据有关法规及相应协议规定，按费用实际支出金额列入当期费用，由基金托管人从基金财产中支付。</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（2）赎回费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（四）实施侧袋机制期间的基金费用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rsidR="00B439CC" w:rsidRDefault="0045138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21577" w:rsidRDefault="00451388">
      <w:pPr>
        <w:pStyle w:val="1"/>
        <w:snapToGrid w:val="0"/>
        <w:spacing w:beforeLines="0" w:before="240" w:after="240"/>
        <w:rPr>
          <w:rFonts w:ascii="宋体" w:hAnsi="宋体"/>
          <w:szCs w:val="30"/>
        </w:rPr>
      </w:pPr>
      <w:bookmarkStart w:id="19" w:name="_Toc231305799"/>
      <w:r>
        <w:rPr>
          <w:rFonts w:ascii="Times New Roman" w:hAnsi="Times New Roman"/>
          <w:sz w:val="30"/>
        </w:rPr>
        <w:lastRenderedPageBreak/>
        <w:t>十六、基金的会计与审计</w:t>
      </w:r>
      <w:bookmarkEnd w:id="19"/>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3、基金管理人认为有充足理由更换会计师事务所，须通报基金托管人。更换会计师事务所需依照《信息披露办法》的规定在规定媒介公告。</w:t>
      </w:r>
    </w:p>
    <w:p w:rsidR="00B439CC" w:rsidRDefault="0045138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21577" w:rsidRDefault="00451388">
      <w:pPr>
        <w:pStyle w:val="1"/>
        <w:snapToGrid w:val="0"/>
        <w:spacing w:beforeLines="0" w:before="240" w:after="240"/>
        <w:rPr>
          <w:rFonts w:ascii="宋体" w:hAnsi="宋体"/>
          <w:szCs w:val="30"/>
        </w:rPr>
      </w:pPr>
      <w:bookmarkStart w:id="20" w:name="_Toc231305800"/>
      <w:r>
        <w:rPr>
          <w:rFonts w:ascii="Times New Roman" w:hAnsi="Times New Roman"/>
          <w:sz w:val="30"/>
        </w:rPr>
        <w:lastRenderedPageBreak/>
        <w:t>十七、基金的信息披露</w:t>
      </w:r>
      <w:bookmarkEnd w:id="20"/>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（一）本基金的信息披露应符合《基金法》、《运作办法》、《信息披露办法》、《流动性风险管理规定》、《基金合同》及其他有关规定。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（四）本基金公开披露的信息应采用中文文本。同时采用外文文本的，基金信息披露义务人应保证不同文本的内容一致。不同文本之间发生歧义的，以中文文本为准。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公开披露的基金信息包括：</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（1）《基金合同》是界定《基金合同》当事人的各项权利、义务关系，明确基金份额持有人大会召开的规则及具体程序，说明基金产品的特性等涉及基金投资者重大利益的事项的法律文件。</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基金管理人应当就基金份额发售的具体事宜编制基金份额发售公告，并在披露招募说明书的当日登载于规定媒介上。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基金管理人应当在收到中国证监会确认文件的次日在规定媒介上登载《基金合同》生效公告。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《基金合同》生效后，在开始办理基金份额申购或者赎回前，基金管理人应当至少每周在规定网站分别披露一次A类基金份额和C类基金份额所对应的基金份额净值和基金份额累计净值。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次日，通过规定网站、基金销售机构网站或者营业网点分别披露开放日A类基金份额和C类基金份额所对应的基金份额净值和基金份额累计净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基金管理人应当在不晚于半年度和年度最后一日的次日，在规定网站披露半年度和年度最后一日A类基金份额和C类基金份额所对应的基金份额净值和基金份额累计净值。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7、临时报告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本基金发生重大事件，有关信息披露义务人应当依照《信息披露办法》的规定编制临时报告书，并登载在规定报刊和规定网站上。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w:t>
      </w:r>
      <w:r>
        <w:rPr>
          <w:rFonts w:ascii="宋体" w:hAnsi="宋体"/>
          <w:sz w:val="24"/>
        </w:rPr>
        <w:lastRenderedPageBreak/>
        <w:t>方式和费率发生变更；</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（22）基金管理人采用摆动定价机制进行估值；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（23）本基金增加或调整基金份额类别；</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（24）本基金推出新业务或服务；</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（25）本基金连续30个工作日、40个工作日、45个工作日出现基金份额持有人数量不满200人或者基金资产净值低于5000万元情形的；</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（26）基金信息披露义务人认为可能对基金份额持有人权益或者基金份额的价格产生重大影响的其他事项或中国证监会规定和基金合同约定的其他事项。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10、实施侧袋机制期间的信息披露</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11、清算报告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基金合同终止的，基金管理人应当依法组织清算小组对基金财产进行清算并作</w:t>
      </w:r>
      <w:r>
        <w:rPr>
          <w:rFonts w:ascii="宋体" w:hAnsi="宋体"/>
          <w:sz w:val="24"/>
        </w:rPr>
        <w:lastRenderedPageBreak/>
        <w:t>出清算报告。清算报告应当经过符合《中华人民共和国证券法》规定的会计师事务所审计，并由律师事务所出具法律意见书。清算小组应当将清算报告登载在规定网站上，并将清算报告提示性公告登载在规定报刊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12、基金投资股指期货情况</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13、基金投资资产支持证券情况</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14、基金投资港股通标的股票情况</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基金应当在季度报告、中期报告、年度报告等定期报告和招募说明书（更新）等文件中披露港股通标的股票的投资情况。法律法规或中国证监会另有规定的，从其规定。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15、中国证监会规定的其他信息。</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基金信息披露义务人公开披露基金信息，应当符合中国证监会相关基金信息披露内容与格式准则等法律法规的规定。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相关基金信息进行复核、审查，并向基金管理人进行书面或电子确认。</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基金管理人、基金托管人应当在规定报刊中选择一家报刊披露本基金信息。基金管理人、基金托管人应当向中国证监会基金电子披露网站报送拟披露的基金信</w:t>
      </w:r>
      <w:r>
        <w:rPr>
          <w:rFonts w:ascii="宋体" w:hAnsi="宋体"/>
          <w:sz w:val="24"/>
        </w:rPr>
        <w:lastRenderedPageBreak/>
        <w:t>息，并保证相关报送信息的真实、准确、完整、及时。</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rsidR="00B439CC" w:rsidRDefault="0045138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21577" w:rsidRDefault="00451388">
      <w:pPr>
        <w:pStyle w:val="1"/>
        <w:snapToGrid w:val="0"/>
        <w:spacing w:beforeLines="0" w:before="240" w:after="240"/>
        <w:rPr>
          <w:rFonts w:ascii="宋体" w:hAnsi="宋体"/>
          <w:szCs w:val="30"/>
        </w:rPr>
      </w:pPr>
      <w:bookmarkStart w:id="21" w:name="_Toc231305801"/>
      <w:r>
        <w:rPr>
          <w:rFonts w:ascii="Times New Roman" w:hAnsi="Times New Roman"/>
          <w:sz w:val="30"/>
        </w:rPr>
        <w:lastRenderedPageBreak/>
        <w:t>十八、侧袋机制</w:t>
      </w:r>
      <w:bookmarkEnd w:id="21"/>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451388"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821577" w:rsidRDefault="00451388">
      <w:pPr>
        <w:pStyle w:val="1"/>
        <w:snapToGrid w:val="0"/>
        <w:spacing w:beforeLines="0" w:before="240" w:after="240"/>
        <w:rPr>
          <w:rFonts w:ascii="宋体" w:hAnsi="宋体"/>
          <w:szCs w:val="30"/>
        </w:rPr>
      </w:pPr>
      <w:bookmarkStart w:id="22" w:name="_Toc231305802"/>
      <w:r>
        <w:rPr>
          <w:rFonts w:ascii="Times New Roman" w:hAnsi="Times New Roman"/>
          <w:sz w:val="30"/>
        </w:rPr>
        <w:lastRenderedPageBreak/>
        <w:t>十九、风险揭示</w:t>
      </w:r>
      <w:bookmarkEnd w:id="22"/>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谨慎勤勉的原则管理和运用基金资产，但不保证投资于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基金份额持有人须了解并承受以下风险：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基金份额持有人持有的每份基金份额最短持有期限为一年，对于满足持有期限的投资人，在基金的所有开放日，基金管理人都有义务接受投资人的赎回。如果基金资产不能迅速转变成现金，或者变现为现金时使资金净值产生不利的影响，都会影响基金运作和收益水平。尤其是在发生巨额赎回时，如</w:t>
      </w:r>
      <w:r>
        <w:rPr>
          <w:rFonts w:ascii="宋体" w:hAnsi="宋体"/>
          <w:sz w:val="24"/>
        </w:rPr>
        <w:lastRenderedPageBreak/>
        <w:t>果基金资产变现能力差，可能会产生基金仓位调整的困难，导致流动性风险，可能影响基金份额净值。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但对于每份基金份额，基金份额持有人仅可在该份额最短持有期限届满后申请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基金管理人自基金合同生效之日起不超过3个月开始办理申购业务，具体业务办理时间在申购开始公告中规定。基金管理人自基金合同生效之日起一年后年度对日（含该日）开始办理赎回，具体业务办理时间在赎回开始公告中规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份额持有人多次认购或申购本基金导致持有多笔不同期限的本基金份额时，基金份额持有人在赎回时需特别关注申请赎回的基金份额数量，若申请赎回的基金份额超过了该基金份额持有人持续持有超过一年的基金份额数量，则基金份额持有人的赎回申请将全部被予以拒绝。基金份额持有人需承担赎回申请失败的风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w:t>
      </w:r>
      <w:r>
        <w:rPr>
          <w:rFonts w:ascii="宋体" w:hAnsi="宋体"/>
          <w:sz w:val="24"/>
        </w:rPr>
        <w:lastRenderedPageBreak/>
        <w:t>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w:t>
      </w:r>
      <w:r>
        <w:rPr>
          <w:rFonts w:ascii="宋体" w:hAnsi="宋体"/>
          <w:sz w:val="24"/>
        </w:rPr>
        <w:lastRenderedPageBreak/>
        <w:t>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（五）本基金的特有风险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本基金每份基金份额的最短持有期限为一年，在最短持有期限内该份基金份额不可赎回，自最短持有期限届满的下一工作日起（含该日）可赎回。对于每笔认购的基金份额而言，最短持有期限自基金合同生效之日起（含该日）至一年后年度对日的前一日；对于每笔申购的基金份额而言，最短持有期限自该笔申购份额确认日（含该日）至一年后年度对日的前一日。因此，对于基金份额持有人而言，存在投资本基金后一年内无法赎回的风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3、本基金可投资港股通标的股票，会面临港股通机制下因投资环境、投资标的、市场制度以及交易规则等差异带来的特有风险，具体如下：</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（1）港股交易失败风险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（2）汇率风险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（3）境外市场的风险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2）香港市场交易规则有别于内地A股市场规则，此外，在“内地与香港股票市场交易互联互通机制”下参与香港股票投资还将面临包括但不限于如下特殊风险：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a）香港市场实行T+0回转交易机制（即当日买入的股票，在交收前可以于当日卖出），且证券交易价格并无涨跌幅上下限的规定，因此每日涨跌幅空间相对较</w:t>
      </w:r>
      <w:r>
        <w:rPr>
          <w:rFonts w:ascii="宋体" w:hAnsi="宋体"/>
          <w:sz w:val="24"/>
        </w:rPr>
        <w:lastRenderedPageBreak/>
        <w:t>大，可能表现出比A股更为剧烈的股价波动；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香港出现香港联合交易所规定的其他情形时，香港联合交易所将可能停市，投资者将面临在停市期间无法进行港股通交易的风险；出现上海证券交易所及深圳证券交易所证券交易服务公司认定的交易异常情况时，上海证券交易所及深圳证券交易所证券交易服务公司将可能暂停提供部分或者全部港股通服务，投资者将面临在暂停服务期间无法进行港股通交易的风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投资者因港股通股票权益分派、转换、上市公司被收购等情形或者异常情况，所取得的港股通股票以外的香港联合交易所上市证券，只能通过港股通卖出，但不得买入，上海证券交易所及深圳证券交易所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（4）本基金可根据投资策略需要或不同配置地市场环境的变化，选择将部分基金资产投资于港股或选择不将基金资产投资于港股，基金资产并非必然投资港股。</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以上所述因素可能会给本基金投资带来特殊交易风险。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4、对宏观经济趋势、政策以及上市公司基本面研究是否准确、深入，以及对</w:t>
      </w:r>
      <w:r>
        <w:rPr>
          <w:rFonts w:ascii="宋体" w:hAnsi="宋体"/>
          <w:sz w:val="24"/>
        </w:rPr>
        <w:lastRenderedPageBreak/>
        <w:t>股票的优选和判断是否科学、准确将影响本基金的收益。基本面研究及上市公司分析的错误均可能导致所选择的证券不能完全符合本基金的预期目标。</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5、基金合同提前终止风险。连续50个工作日出现基金份额持有人数量不满200人或者基金资产净值低于5000万元情形的，基金合同终止，不需召开基金份额持有人大会。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6、本基金可投资创业板股票，创业板个股上市后的前五个交易日不设价格涨跌幅限制，第六个交易日开始涨跌幅限制比例为20%。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（六）投资股指期货的特定风险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（2）流动性风险是指由于股指期货合约无法及时变现所带来的风险。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（七）投资资产支持证券的特定风险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（八）投资流通受限证券的特定风险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（九）投资科创板股票的特定风险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（5）政策风险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（十）投资存托凭证的特定风险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（十一）本基金法律文件风险收益特征表述与销售机构基金风险评价可能不一致的风险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（十二）其他风险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4、对主要业务人员如基金经理的依赖而可能产生的风险；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45138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21577" w:rsidRDefault="00451388">
      <w:pPr>
        <w:pStyle w:val="1"/>
        <w:snapToGrid w:val="0"/>
        <w:spacing w:beforeLines="0" w:before="240" w:after="240"/>
        <w:rPr>
          <w:rFonts w:ascii="宋体" w:hAnsi="宋体"/>
          <w:szCs w:val="30"/>
        </w:rPr>
      </w:pPr>
      <w:bookmarkStart w:id="23" w:name="_Toc231305803"/>
      <w:r>
        <w:rPr>
          <w:rFonts w:ascii="Times New Roman" w:hAnsi="Times New Roman"/>
          <w:sz w:val="30"/>
        </w:rPr>
        <w:lastRenderedPageBreak/>
        <w:t>二十、基金合同的变更、终止与基金财产的清算</w:t>
      </w:r>
      <w:bookmarkEnd w:id="23"/>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（3）对基金财产进行估值和变现；</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45138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21577" w:rsidRDefault="00451388">
      <w:pPr>
        <w:pStyle w:val="1"/>
        <w:snapToGrid w:val="0"/>
        <w:spacing w:beforeLines="0" w:before="240" w:after="240"/>
        <w:rPr>
          <w:rFonts w:ascii="宋体" w:hAnsi="宋体"/>
          <w:szCs w:val="30"/>
        </w:rPr>
      </w:pPr>
      <w:bookmarkStart w:id="24" w:name="_Toc231305804"/>
      <w:r>
        <w:rPr>
          <w:rFonts w:ascii="Times New Roman" w:hAnsi="Times New Roman"/>
          <w:sz w:val="30"/>
        </w:rPr>
        <w:lastRenderedPageBreak/>
        <w:t>二十一、基金合同内容摘要</w:t>
      </w:r>
      <w:bookmarkEnd w:id="24"/>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（15）选择、更换律师事务所、会计师事务所、证券经纪商、期货经纪机构或其他为基金提供服务的外部机构；</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（16）在符合有关法律、法规的前提下，制定和调整有关基金认购、申购、赎回、转换等的业务规则；</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（14）按规定受理申购与赎回申请，及时、足额支付赎回款项；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（16）按规定保存基金财产管理业务活动的会计账册、报表、记录和其他相关资料不低于法律法规规定的最低期限；</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根据《基金法》、《运作办法》及其他有关规定，基金托管人的权利包括但不限于：</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（1）自《基金合同》生效之日起，依法律法规和《基金合同》的规定安全保管基金财产；</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（4）根据相关市场规则，为基金开设资金账户、证券账户等投资所需账户、协助开立股指期货业务相关账户及交易编码、为基金办理证券、期货交易资金清算；</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（6）按规定开设基金财产的资金账户和证券账户等投资所需账户，协助开立股指期货业务相关账户及交易编码，按照《基金合同》的约定，根据基金管理人的投资指令，及时办理清算、交割事宜；</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（8）复核、审查基金管理人计算的基金资产净值、基金份额净值、基金份额申购、赎回价格；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（11）保存基金托管业务活动的记录、账册、报表和其他相关资料不低于法律法规规定的最低期限；</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w:t>
      </w:r>
      <w:r>
        <w:rPr>
          <w:rFonts w:ascii="宋体" w:hAnsi="宋体"/>
          <w:sz w:val="24"/>
        </w:rPr>
        <w:lastRenderedPageBreak/>
        <w:t>《基金合同》的当事人，直至其不再持有本基金的基金份额。基金份额持有人作为《基金合同》当事人并不以在《基金合同》上书面签章或签字为必要条件。</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根据《基金法》、《运作办法》及其他有关规定，基金份额持有人的权利包括但不限于：</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（3）依法并按照基金合同和招募说明书的规定转让或者申请赎回其持有的基金份额；</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根据《基金法》、《运作办法》及其他有关规定，基金份额持有人的义务包括但不限于：</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（4）交纳基金认购、申购款项及法律法规和《基金合同》所规定的费用；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w:t>
      </w:r>
      <w:r>
        <w:rPr>
          <w:rFonts w:ascii="宋体" w:hAnsi="宋体"/>
          <w:sz w:val="24"/>
        </w:rPr>
        <w:lastRenderedPageBreak/>
        <w:t>规则；</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5）调整基金管理人、基金托管人的报酬标准和提高销售服务费；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w:t>
      </w:r>
      <w:r>
        <w:rPr>
          <w:rFonts w:ascii="宋体" w:hAnsi="宋体"/>
          <w:sz w:val="24"/>
        </w:rPr>
        <w:lastRenderedPageBreak/>
        <w:t>不需召开基金份额持有人大会：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1）调低基金销售服务费；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3）在法律法规和《基金合同》规定的范围内调整本基金的申购费率、调低赎回费率、在对现有基金份额持有人利益无实质性不利影响的前提下变更收费方式；</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4）因相应的法律法规、登记机构的相关业务规则发生变动而应当对《基金合同》进行修改；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6）在法律法规允许的情况下，且在对现有基金份额持有人利益无实质性不利影响的前提下，基金推出新业务或服务；</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7）在符合法律法规及本基金合同规定、并且对基金份额持有人利益无实质不利影响的前提下，调整本基金份额类别的设置；</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9）按照法律法规和《基金合同》规定不需召开基金份额持有人大会的其他情形。</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w:t>
      </w:r>
      <w:r>
        <w:rPr>
          <w:rFonts w:ascii="宋体" w:hAnsi="宋体"/>
          <w:sz w:val="24"/>
        </w:rPr>
        <w:lastRenderedPageBreak/>
        <w:t>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w:t>
      </w:r>
      <w:r>
        <w:rPr>
          <w:rFonts w:ascii="宋体" w:hAnsi="宋体"/>
          <w:sz w:val="24"/>
        </w:rPr>
        <w:lastRenderedPageBreak/>
        <w:t>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w:t>
      </w:r>
      <w:r>
        <w:rPr>
          <w:rFonts w:ascii="宋体" w:hAnsi="宋体"/>
          <w:sz w:val="24"/>
        </w:rPr>
        <w:lastRenderedPageBreak/>
        <w:t>规定的方式收取基金份额持有人的表决意见；基金托管人或基金管理人经通知不参加收取表决意见的，不影响表决效力；</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基金份额持有人大会的各项提案或同一项提案内并列的各项议题应当分开审议、逐项表决。</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基金份额持有人大会的决议自表决通过之日起生效。法律法规另有规定的，从其规定。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基金份额持有人大会决议自生效之日起依照《信息披露办法》的规定在规定媒介上公告。如果采用通讯方式进行表决，在公告基金份额持有人大会决议时，必须</w:t>
      </w:r>
      <w:r>
        <w:rPr>
          <w:rFonts w:ascii="宋体" w:hAnsi="宋体"/>
          <w:sz w:val="24"/>
        </w:rPr>
        <w:lastRenderedPageBreak/>
        <w:t>将公证书全文、公证机构、公证员姓名等一同公告。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9、实施侧袋机制期间基金份额持有人大会的特殊约定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10、本部分对基金份额持有人大会召开事由、召开条件、议事程序、表决条件</w:t>
      </w:r>
      <w:r>
        <w:rPr>
          <w:rFonts w:ascii="宋体" w:hAnsi="宋体"/>
          <w:sz w:val="24"/>
        </w:rPr>
        <w:lastRenderedPageBreak/>
        <w:t>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1）《基金合同》终止情形出现时，由基金财产清算小组统一接管基金；</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w:t>
      </w:r>
      <w:r>
        <w:rPr>
          <w:rFonts w:ascii="宋体" w:hAnsi="宋体"/>
          <w:sz w:val="24"/>
        </w:rPr>
        <w:lastRenderedPageBreak/>
        <w:t>点为北京市。仲裁裁决是终局的，对各方当事人均有约束力，除非仲裁裁决另有规定，仲裁费由败诉方承担。</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《基金合同》受中国法律（不含港澳台地区法律）管辖。</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（五）基金合同存放地和投资者取得基金合同的方式</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《基金合同》正本一式三份，除上报有关监管机构一式一份外，基金管理人、基金托管人各持有一份，每份具有同等的法律效力。</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45138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21577" w:rsidRDefault="00451388">
      <w:pPr>
        <w:pStyle w:val="1"/>
        <w:snapToGrid w:val="0"/>
        <w:spacing w:beforeLines="0" w:before="240" w:after="240"/>
        <w:rPr>
          <w:rFonts w:ascii="宋体" w:hAnsi="宋体"/>
          <w:szCs w:val="30"/>
        </w:rPr>
      </w:pPr>
      <w:bookmarkStart w:id="25" w:name="_Toc231305805"/>
      <w:r>
        <w:rPr>
          <w:rFonts w:ascii="Times New Roman" w:hAnsi="Times New Roman"/>
          <w:sz w:val="30"/>
        </w:rPr>
        <w:lastRenderedPageBreak/>
        <w:t>二十二、托管协议的内容摘要</w:t>
      </w:r>
      <w:bookmarkEnd w:id="25"/>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名称：中信银行股份有限公司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住所：北京市朝阳区光华路10号院1号楼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法定代表人：李庆萍</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成立时间：1987年4月20日</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批准设立文号：中华人民共和国国务院办公厅国办函[1987]14号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基金托管业务批准文号：中国证监会证监基金字[2004]125号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注册资本：489.35亿元人民币</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投资者托管业务；经国务院银行业监督管</w:t>
      </w:r>
      <w:r>
        <w:rPr>
          <w:rFonts w:ascii="宋体" w:hAnsi="宋体"/>
          <w:sz w:val="24"/>
        </w:rPr>
        <w:lastRenderedPageBreak/>
        <w:t>理机构批准的其他业务。（企业依法自主选择经营项目，开展经营活动；依法须经批准的项目，经相关部门批准后依批准的内容开展经营活动；不得从事本市产业政策禁止和限制类项目的经营活动。）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（二）（二） 基金托管人对基金管理人的业务监督和核查</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1、基金托管人对基金管理人的投资行为行使监督权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（1）基金托管人根据有关法律法规的规定和基金合同的约定，对下述基金投资范围、投资对象进行监督。本基金将投资于以下金融工具：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投资（含存托凭证）占基金资产的比例为0%-30%（其中投资于港股通标的股票的比例占股票资产的0%-50%），同业存单投资占基金资产的比例不超过20%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（2）基金托管人根据有关法律法规的规定及基金合同的约定对下述基金投融资比例进行监督：</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1）股票投资（含存托凭证）占基金资产的比例为0%-30%（其中投资于港股通标的股票的比例占股票资产的0%-50%），同业存单投资占基金资产的比例不超过20%；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2）每个交易日日终在扣除股指期货合约需缴纳的交易保证金后，本基金持有</w:t>
      </w:r>
      <w:r>
        <w:rPr>
          <w:rFonts w:ascii="宋体" w:hAnsi="宋体"/>
          <w:sz w:val="24"/>
        </w:rPr>
        <w:lastRenderedPageBreak/>
        <w:t>的现金或者到期日在一年以内的政府债券的投资比例合计不低于基金资产净值的5%，其中现金不包括结算备付金、存出保证金、应收申购款等；</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3）本基金持有一家公司发行的证券（同一家公司在内地和香港同时上市的A+H 股合计计算），其市值不超过基金资产净值的10％；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4）本基金管理人管理的全部基金持有一家公司发行的证券（同一家公司在内地和香港同时上市的A+H 股合计计算），不超过该证券的10％，完全按照有关指数的构成比例进行证券投资的基金品种可以不受此条款规定的比例限制；</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11）本基金进入全国银行间同业市场进行债券回购的最长期限为1年，债券回购到期后不得展期；</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14）本基金与私募类证券资管产品及中国证监会认定的其他主体为交易对手开展逆回购交易的，可接受质押品的资质要求应当与基金合同约定的投资范围保持一致；</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15）本基金参与股指期货交易，则：</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a.本基金在任何交易日日终，持有的买入股指期货合约价值，不得超过基金资产净值的10%；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c.本基金在任何交易日日终，持有的卖出股指期货合约价值不得超过基金持有的股票总市值的20%；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d.本基金所持有的股票市值和买入、卖出股指期货合约价值，合计（轧差计算）应当符合基金合同关于股票投资比例的有关约定；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e.本基金在任何交易日内交易（不包括平仓）的股指期货合约的成交金额不得超过上一交易日基金资产净值的20%；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16）本基金资产总值不超过基金资产净值的140%；</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（17）本基金投资存托凭证的比例限制依照境内上市交易的股票执行；</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18）法律法规及中国证监会规定的和《基金合同》约定的其他投资限制。</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9）、13）、14）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（3）基金托管人根据有关法律法规的规定及基金合同的约定对下述基金投资</w:t>
      </w:r>
      <w:r>
        <w:rPr>
          <w:rFonts w:ascii="宋体" w:hAnsi="宋体"/>
          <w:sz w:val="24"/>
        </w:rPr>
        <w:lastRenderedPageBreak/>
        <w:t>禁止行为进行监督：</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（4）基金托管人依据有关法律法规的规定和基金合同的约定对于基金关联投资进行监督。</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有关基金从事的关联交易的规定，基金管理人和基金托管人应事先相互提供与本机构有控股关系的股东或与本机构有其他重大利害关系的公司名单及有关关联方发行的证券名单及其更新，加盖公章并书面提交，并确保所提供名单的真实性、完整性、全面性。基金管理人或基金托管人在名单变更后应及时发送对方，收到方于2个工作日内进行回函确认已知名单的变更。名单变更时间以收到方回函确认的时间为准。如果基金托管人在运作中严格遵循了监督流程，基金管理人仍违规进行交易，并造成基金资产损失的，由基金管理人承担责任，基金托管人不承担任何损失和责任。</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相关交易必须事先得到基金托管人的同意，若基金托管人发现基金管理人与关联方进行违反法律法规规定的关联交易时，基金托管人应及时提醒并协助基金管理人采取必要措施阻止该交易的发生，若基金托管人采取必要措施后仍无法阻止该交易发生时，基金托管人有权向中国证监会报告，由此造成的损失和责任由基金管理人承担。对于交易所场内已成交的违规交易，基金托管人应按相关法律法规和交易所规则的规定进行结算，同时向中国证监会报告，基金托管人不承担由此造成的损失和责任。</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（5）基金托管人依据有关法律法规的规定和基金合同的约定对基金管理人参与银行间债券市场进行监督。</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1）基金托管人依据有关法律法规的规定和基金合同的约定对于基金管理人参与银行间债券市场交易时面临的交易对手资信风险进行监督。</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基金投资运作之前向基金托管人提供符合法律法规及行业标准的银行间债券市场交易对手的名单。基金托管人在收到名单后2个工作日内回函确认收到该名单。基金管理人应定期或不定期对银行间债券市场现券及回购交易对手的名单进行更新，名单中增加或减少银行间债券市场交易对手时须及时通知基金托管人，基金托管人于2个工作日内回函确认收到后，对名单进行更新。基金管理人收到基金托管人书面确认后，被确认调整的名单开始生效，新名单生效前已与本次剔除的交易对手所进行但尚未结算的交易，仍应按照双方原定协议进行结算。</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如果基金托管人发现基金管理人与不在名单内的银行间债券市场交易对手进行交易，应及时提醒基金管理人撤销交易，经提醒后基金管理人仍执行交易并造成基金资产损失的，基金托管人不承担责任。</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有责任控制交易对手的资信风险，按银行间债券市场的交易规则进行交易。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（6）基金托管人对基金投资流通受限证券的监督</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有关法律法规规定。流通受限证券包括由《上市公司证券发行管理办法》规范的在发行时明确一定期限锁定期的可交易证券，不包括由于发布重大消息或其他原因而临时停牌的证券、已发行未上市证券、回购交易中的质押券等流通受限证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管理人应在基金首次投资流通受限证券前，向基金托管人提供经基金管理人董事会批准的有关基金投资流通受限证券的投资决策流程、风险控制制度。上述资料应包括但不限于基金投资流通受限证券的投资额度和投资比例控制情况。</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3）基金投资流通受限证券前，基金管理人应向基金托管人提供符合法律法规要求的有关必要书面信息。基金管理人应保证上述信息的真实、完整，并应至少于拟执行投资指令前将上述信息书面发至基金托管人。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应对基金管理人是否遵守法律法规、投资决策流程、风险控制制度情况进行监督，并审核基金管理人提供的有关书面信息。基金托管人认为上述资料可能导致基金出现风险的，有权要求基金管理人在投资流通受限证券前就该风险的消除或防范措施进行补充书面说明，否则，基金托管人有权拒绝执行有关指令并报告中国证监会。因拒绝执行该指令造成基金财产损失的，基金托管人不承担任何责任，但基金托管人未经提前告知基金管理人于合理时间内提供说明的除外。</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如基金管理人和基金托管人无法达成一致，应及时上报中国证监会请求解决。</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（7）基金托管人根据有关法律法规的规定及基金合同的约定，对基金管理人选择存款银行进行监督。</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1）基金管理人、基金托管人应当与存款银行建立定期对账机制，确保基金银行存款业务账目及核算的真实、准确。</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2）基金托管人应加强对基金银行存款业务的监督与核查，严格审查、复核相关协议、账户资料、投资指令、存款证实书等有关文件，切实履行托管职责。</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3）基金管理人与基金托管人在开展基金存款业务时，应严格遵守《基金法》、《运作办法》等有关法律法规，以及国家有关账户管理、利率管理、支付结算等的各项规定。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基金托管人对基金管理人选择存款银行的监督应依据基金管理人向基金托管人</w:t>
      </w:r>
      <w:r>
        <w:rPr>
          <w:rFonts w:ascii="宋体" w:hAnsi="宋体"/>
          <w:sz w:val="24"/>
        </w:rPr>
        <w:lastRenderedPageBreak/>
        <w:t>提供的符合条件的存款银行的名单执行，如基金托管人发现基金管理人将基金资产投资于该名单之外的存款银行，有权拒绝执行。该名单如有变更，基金管理人应在启用新名单前提前及时将新名单发送给基金托管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根据有关法律法规的规定及基金合同的约定，对基金资产净值计算、基金份额累计净值、基金份额净值计算、应收资金到账、基金费用开支及收入确定、基金收益分配、相关信息披露、基金宣传推介材料中登载基金业绩表现数据等进行监督和核查。</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发现基金管理人的投资运作及其他运作违反《基金法》、基金合同、本托管协议及其他有关规定时，应及时以书面形式通知基金管理人限期纠正，基金管理人收到通知后应在下一个工作日及时核对，并以书面形式向基金托管人发出回函，进行解释或举证。</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在限期内，基金托管人有权随时对通知事项进行复查，督促基金管理人改正。基金管理人对基金托管人通知的违规事项未能在限期内纠正的，基金托管人应报告中国证监会。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基金托管人发现基金管理人的投资指令违反关法律法规规定或者违反基金合同约定的，应当拒绝执行，立即通知基金管理人。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依据交易程序已经生效的投资指令违反法律、行政法规和其他有关规定，或者违反基金合同约定的，应当立即通知基金管理人，并及时向中国证监会报告，基金管理人应依法承担相应责任。</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积极配合和协助基金托管人的监督和核查，必须在规定时间内答复基金托管人并改正，就基金托管人的疑义进行解释或举证，对基金托管人按照法规要求需向中国证监会报送基金监督报告的，基金管理人应积极配合提供相关数据资料和制度等。</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基金托管人发现基金管理人有重大违规行为，应立即报告中国证监会，同时通知基金管理人限期纠正。</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无正当理由，拒绝、阻挠基金托管人根据本协议规定行使监督权，或采取拖延、欺诈等手段妨碍基金托管人进行有效监督，情节严重或经基金托管人提出警告仍不改正的，基金托管人应报告中国证监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基金管理人应遵守中华人民共和国反洗钱法律法规，不参与涉嫌洗钱、恐怖融资、扩散融资等违法犯罪活动；主动配合基金托管人客户身份识别与尽职调查，提</w:t>
      </w:r>
      <w:r>
        <w:rPr>
          <w:rFonts w:ascii="宋体" w:hAnsi="宋体"/>
          <w:sz w:val="24"/>
        </w:rPr>
        <w:lastRenderedPageBreak/>
        <w:t>供真实、准确、完整客户资料，遵守反洗钱与反恐怖融资相关管理规定。对具备合理理由怀疑涉嫌洗钱、恐怖融资的客户，基金托管人将按照中国人民银行反洗钱监管规定采取必要管控措施。</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基金托管人履行托管职责情况进行核查，核查事项包括但不限于基金托管人安全保管基金财产、开设基金财产的资金账户和证券账户等投资所需账户、复核基金管理人计算的基金资产净值、基金份额累计净值和基金份额净值、根据基金管理人指令办理清算交收、相关信息披露和监督基金投资运作等行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发现基金托管人擅自挪用基金财产、未对基金财产实行分账管理、未执行或无故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金管理人发出回函。在限期内，基金管理人有权随时对通知事项进行复查，督促基金托管人改正，并予协助配合。基金托管人对基金管理人通知的违规事项未能在限期内纠正或未在合理期限内确认的，基金管理人应报告中国证监会。基金管理人有义务要求基金托管人赔偿基金、基金管理人因此所遭受的损失。</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基金管理人发现基金托管人有重大违规行为，应立即报告中国证监会和银行业监督管理机构，同时通知基金托管人限期纠正。</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基金托管人应积极配合基金管理人的核查行为，包括但不限于：提交相关资料以供基金管理人核查托管财产的完整性和真实性，在规定时间内答复基金管理人并改正。</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无正当理由，拒绝、阻挠基金管理人根据本协议规定行使监督权，或采取拖延、欺诈等手段妨碍基金管理人进行有效监督，情节严重或经基金管理人提出警告仍不改正的，基金管理人应报告中国证监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（四）基金财产保管</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（2）基金托管人应安全保管基金财产。除依据法律法规规定、基金合同和本托管协议约定及基金管理人的正当指令外，不得自行运用、处分、分配基金的任何财产。</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（3）基金托管人按照规定开设基金财产的资金账户和证券账户等投资所需账户。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（6）除依据法律法规和基金合同的规定外，基金托管人不得委托第三人托管基金资产。</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2、募集资金的验资</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基金募集期间募集认购款项应存于基金认购专用账户，该账户由基金管理人或基金管理人委托的登记机构开立并管理。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期满或基金提前结束募集时，募集的基金份额总额、基金募集金额、基金份额持有人人数符合《基金法》、《运作办法》等有关规定后，基金管理人应将募集的属于本基金财产的全部资金划入基金托管人为本基金开立的资产托管专户中，基金托管人在收到资金当日出具确认文件。同时，基金管理人应聘请符合《中华人民共和国证券法》规定的会计师事务所进行验资，出具验资报告，出具的验资报告应由参加验资的2名以上（含2名）中国注册会计师签字有效。</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若基金募集期限届满，未能达到基金备案条件，由基金管理人按规定办理退款事宜，基金托管人应提供充分协助。</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3、基金的银行账户的开立和管理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（1）基金托管人以本基金的名义在其营业机构开立基金的银行账户，并根据基金管理人合法合规的指令办理资金收付。本基金的银行预留印鉴由基金托管人刻制、保管和使用。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（2）基金银行账户的开立和使用，限于满足开展本基金业务的需要。基金托管人和基金管理人不得假借本基金的名义开立任何其他银行账户；亦不得使用本基金的任何账户进行本基金业务以外的活动。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（3）基金银行账户的开立和管理应符合有关法律法规以及银行业监督管理机构的有关规定。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4、基金证券账户与证券交易资金账户的开设和管理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基金托管人以基金托管人和本基金联名的方式在中国证券登记结算有限责任公</w:t>
      </w:r>
      <w:r>
        <w:rPr>
          <w:rFonts w:ascii="宋体" w:hAnsi="宋体"/>
          <w:sz w:val="24"/>
        </w:rPr>
        <w:lastRenderedPageBreak/>
        <w:t>司上海分公司/深圳分公司开设证券账户。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基金托管人以基金托管人的名义在中国证券登记结算有限责任公司上海分公司/深圳分公司开立基金证券交易资金账户，用于证券清算。</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基金证券账户的开立和使用，限于满足开展本基金业务的需要。基金托管人和基金管理人不得出借和未经对方同意擅自转让基金的任何证券账户；亦不得使用基金的任何账户进行本基金业务以外的活动。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5、债券托管账户的开立和管理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基金管理人负责以本基金的名义申请并取得进入全国银行间同业拆借市场的交易资格，并代表本基金进行交易；基金托管人负责以本基金的名义在中央国债登记结算有限责任公司开设银行间债券市场债券托管账户，并由基金托管人负责本基金的债券的后台匹配及资金的清算。</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（2）基金管理人和基金托管人应一起负责为本基金对外签订全国银行间国债市场回购主协议，正本由基金托管人保管，基金管理人保存副本。</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6、其他账户的开设和管理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托管协议生效之后，本基金被允许从事符合法律法规规定和基金合同约定的其他投资品种的投资业务时，如果涉及相关账户的开设和使用，由基金管理人协助基金托管人根据有关法律法规的规定和基金合同的约定，开立有关账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 基金财产投资的有关实物证券、银行定期存款存单等有价凭证的保管</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由基金托管人存放于基金托管人的保管库；其中实物证券也可存入中央国债登记结算有限责任公司或银行间市场清算所股份有限公司或中国证券登记结算有限责任公司上海分公司/深圳分公司或票据营业中心的代保管库。实物证券的购买和转让，由基金托管人根据基金管理人的指令办理。属于基金托管人控制下的实物证券在基金托管人保管期间的损坏、灭失，由此产生的责任应由基金托管人承担。基金托管人对基金托管人以外机构实际有效控制的证券不承担保管责任。</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基金财产有关的重大合同的签署，由基金管理人负责。由基金管理人代表本基金签署的与本基金有关的重大合同的原件分别应由基金托管人、基金管理人保管。基金管理人在代表本基金签署与本基金有关的重大合同时应保证基金一方持有两份以上的正本原件，以便基金管理人和基金托管人至少各持有一份正本的原件。</w:t>
      </w:r>
      <w:r>
        <w:rPr>
          <w:rFonts w:ascii="宋体" w:hAnsi="宋体"/>
          <w:sz w:val="24"/>
        </w:rPr>
        <w:lastRenderedPageBreak/>
        <w:t>基金管理人在合同签署后30个工作日内通过专人送达、挂号邮寄等安全方式将合同送达基金托管人处。合同应存放于基金管理人和基金托管人各自文件保管部门不低于法律法规规定的最低期限。对于无法取得二份以上的正本的，基金管理人应向基金托管人提供加盖授权业务章的合同传真件，未经双方协商或未在合同约定范围内，合同原件不得转移，由基金管理人保管。</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（五）基金资产净值计算与复核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（1）基金资产净值的计算、复核的时间和程序</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各类基金份额的基金份额净值是指每个工作日闭市后，该类基金份额的基金资产净值除以当日该类基金份额的余额数量计算。基金份额净值的计算保留到小数点后4位，小数点后第5位四舍五入。基金管理人可以设立大额赎回情形下的净值精度应急调整机制，具体可参见相关公告。国家另有规定的，从其规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每个估值日对基金资产估值，但基金管理人根据法律法规或基金合同的规定暂停估值时除外。估值原则应符合基金合同及相关法律、法规的规定。基金资产净值和基金份额净值由基金管理人负责计算，基金托管人复核。基金管理人应于每个估值日交易结束后计算当日的基金份额净值并以双方认可的方式发送给基金托管人。基金托管人对净值计算结果复核后以双方认可的方式发送给基金管理人，由基金管理人依据基金合同和相关法律法规的规定对基金净值予以公布。月末、年中和年末估值复核与基金会计账目的核对同时进行。</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基金管理人计算并公告基金资产净值，基金托管人复核、审查基金管理人计算的基金资产净值。因此，本基金的会计责任方是基金管理人，就与本基金有关的会计问题，如经相关各方在平等基础上充分讨论后，仍无法达成一致的意见，按照基金管理人对基金净值信息的计算结果对外予以公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2、基金资产估值方法</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（1）估值对象</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基金所拥有的股票、债券、资产支持证券、衍生工具和其他投资等持续以公允价值计量的金融资产及负债。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（2）估值原则</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w:t>
      </w:r>
      <w:r>
        <w:rPr>
          <w:rFonts w:ascii="宋体" w:hAnsi="宋体"/>
          <w:sz w:val="24"/>
        </w:rPr>
        <w:lastRenderedPageBreak/>
        <w:t>准则》、监管部门有关规定。</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（3）估值方法</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交易所上市的有价证券（包括股票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②交易所上市交易或挂牌转让的固定收益品种（另有规定的除外），选取估值日第三方估值机构提供的相应品种当日的估值净价进行估值；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③交易所上市交易的可转换债券，按估值日收盘价减去可转换债券收盘价中所含债券（税后）应收利息后得到的净价进行估值；估值日没有交易的，且最近交易</w:t>
      </w:r>
      <w:r>
        <w:rPr>
          <w:rFonts w:ascii="宋体" w:hAnsi="宋体"/>
          <w:sz w:val="24"/>
        </w:rPr>
        <w:lastRenderedPageBreak/>
        <w:t>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④交易所上市实行全价交易的债券（可转债除外），选取第三方估值机构提供的估值全价减去估值全价中所含的债券（税后）应收利息得到的净价进行估值；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⑤交易所上市不存在活跃市场的有价证券，采用估值技术确定公允价值。交易所市场挂牌转让的资产支持证券，采用估值技术确定公允价值；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⑥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①送股、转增股、配股和公开增发的新股，按估值日在证券交易所挂牌的同一股票的估值方法估值；该日无交易的，以最近一日的市价（收盘价）估值；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②首次公开发行未上市的股票和债券，采用估值技术确定公允价值，在估值技术难以可靠计量公允价值的情况下，按成本估值；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4）本基金投资股指期货合约，一般以估值当日结算价进行估值，估值当日无</w:t>
      </w:r>
      <w:r>
        <w:rPr>
          <w:rFonts w:ascii="宋体" w:hAnsi="宋体"/>
          <w:sz w:val="24"/>
        </w:rPr>
        <w:lastRenderedPageBreak/>
        <w:t>结算价的，且最近交易日后经济环境未发生重大变化的，采用最近交易日结算价估值。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5）同一证券同时在两个或两个以上市场交易的，按证券所处的市场分别估值。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估值计算中涉及港币对人民币汇率的，将依据下列信息提供机构所提供的汇率为基准：当日中国人民银行或其授权机构公布的人民币汇率中间价。</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税收：对于按照中国法律法规和基金投资境内外股票市场交易互联互通机制涉及的境外交易场所所在地的法律法规规定应交纳的各项税金，本基金将按权责发生制原则进行估值；对于因税收规定调整或其他原因导致基金实际交纳税金与估算的应交税金有差异的，基金将在相关税金调整日或实际支付日进行相应的估值调整。</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6）如有确凿证据表明按上述方法进行估值不能客观反映其公允价值的，基金管理人可根据具体情况与基金托管人商定后，按最能反映公允价值的价格估值。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7）当发生大额申购或赎回情形时，基金管理人可以采用摆动定价机制，以确保基金估值的公平性。</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8）本基金投资存托凭证的估值核算依照境内上市交易的股票执行。</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9）相关法律法规以及监管部门有强制规定的，从其规定。如有新增事项，按国家最新规定估值。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管理人计算的基金资产净值、基金份额净值已由基金托管人复核确认后公告的，由此造成的投资人或基金的损失，应根据法律法规的规定对投资人或基金支付赔偿金，就实际向投资人或基金支付的赔偿金额，基金管理人与基金托管人按照过错程度各自承担相应的责任。</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由于一方当事人提供的信息错误，另一方当事人在采取了必要合理的措施后仍</w:t>
      </w:r>
      <w:r>
        <w:rPr>
          <w:rFonts w:ascii="宋体" w:hAnsi="宋体"/>
          <w:sz w:val="24"/>
        </w:rPr>
        <w:lastRenderedPageBreak/>
        <w:t>不能发现该错误，进而导致基金资产净值、基金份额净值计算错误造成投资人或基金的损失，以及由此造成以后交易日基金资产净值、基金份额净值计算顺延错误而引起的投资人或基金的损失，由提供错误信息的当事人一方负责赔偿。</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或由于证券、期货交易所、证券经纪机构、期货公司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管理人计算的基金资产净值与基金托管人的计算结果不一致时，相关各方应本着勤勉尽责的态度重新计算核对，如果最后仍无法达成一致，应以基金管理人的计算结果为准对外公布，由此造成的损失由基金管理人承担赔偿责任，基金托管人不负赔偿责任。</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基金管理人或基金托管人按估值方法的第（6）项进行估值的，所造成的误差不作为基金资产估值错误处理。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责任方拒绝进行赔偿时，如果因基金管理人过错造成基金资产损失时，基金托管人应为基金的利益向基金管理人追偿，如果因基金托管人过错造成基金资产损失时，基金管理人应为基金的利益向基金托管人追偿。除基金管理人和基金托管人之外的第三方造成基金资产的损失，并拒绝进行赔偿时，由基金管理人负责向估值错误责任方追偿。</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4、基金账册的建立</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在基金合同生效后，应按照相关各方约定的同一记账方法和会计处理原则，分别独立地设置、登录和保管本基金的全套账册，对相关各方各自的账册定期进行核对，互相监督，以保证基金资产的安全。若双方对会计处理方法存在分歧，应以基金管理人的处理方法为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对账发现相关各方的账目存在不符的，基金管理人和基金托管人必须及时查明原因并纠正，保证相关各方平行登录的账册记录完全相符。若当日核对不符，暂时无法查找到错账的原因而影响到基金资产净值的计算和公告的，以基金管理人的账册为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5、基金定期报告的编制和复核</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基金财务报表由基金管理人和基金托管人每月分别独立编制。月度报表的编</w:t>
      </w:r>
      <w:r>
        <w:rPr>
          <w:rFonts w:ascii="宋体" w:hAnsi="宋体"/>
          <w:sz w:val="24"/>
        </w:rPr>
        <w:lastRenderedPageBreak/>
        <w:t>制，应于每月终了后5个工作日内完成。</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基金管理人在季度结束之日起15个工作日内完成季度报告编制并公告；在上半年结束之日起两个月内完成中期报告编制并公告；在每年结束之日起三个月内完成年度报告编制并公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及时完成报表编制，将有关报表提供基金托管人复核；基金托管人应当在收到报告之日起2个工作日内完成月度报表的复核；在收到报告之日起7个工作日内完成基金季度报告的复核；在收到报告之日起20日内完成基金中期报告的复核；在收到报告之日起30日内完成基金年度报告的复核。基金托管人在复核过程中，发现双方的报表存在不符时，基金管理人和基金托管人应共同查明原因，进行调整，调整以国家有关规定为准。</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核对无误后，基金托管人在基金管理人提供的报告上加盖业务印鉴或者出具加盖托管业务部门公章的复核意见书，相关各方各自留存一份。</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基金托管人在对月度报表、季度、中期报告或年度报告复核完毕后，需盖章确认或出具相应的复核确认书，以备有权机构对相关文件审核时提示。</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6、暂停估值的情形</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（六）基金份额持有人名册的保管</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基金管理人和基金托管人须分别妥善保管的基金份额持有人名册，基金份额持有人名册的内容必须包括基金份额持有人的名称和持有的基金份额。</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基金的登记机构根据基金管理人的指令编制和保管，基金管理人和基金托管人应按照目前相关规则分别保管基金份额持有人名册。保管方式可以采用电子或文档的形式。保管期限不低于法律法规规定的最低期限。</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应当及时向基金托管人定期或不定期提交下列日期的基金份额持有人名册。基金份额持有人名册的内容必须包括基金份额持有人的名称和持有的基金份额。基金托管人可以采用电子或文档的形式妥善保管基金份额持有人名册，保存期限不低于法律法规规定的最低期限。基金托管人不得将所保管的基金份额持有人名册用于基金托管业务以外的其他用途，并应遵守保密义务。</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若基金管理人或基金托管人由于自身原因无法妥善保管基金份额持有人名册，应按有关法规规定各自承担相应的责任。</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双方当事人同意，因本协议而产生的或与本协议有关的一切争议，如经友好协商未能解决的，任何一方均有权将争议提交中国国际经济贸易仲裁委员会，按照中国国际经济贸易仲裁委员会届时有效的仲裁规则进行仲裁。仲裁地点为北京市。仲裁裁决是终局的，对双方当事人均有约束力，除非仲裁裁决另有规定，仲裁费由败诉方承担。</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争议处理期间，双方当事人应恪守基金管理人和基金托管人职责，继续忠实、勤勉、尽责地履行基金合同和托管协议规定的义务，维护基金份额持有人的合法权益。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本协议受中国法律（不含港澳台地区法律）管辖。</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（八）托管协议的变更与终止</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1、托管协议的变更与终止</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本协议双方当事人经协商一致，可以对协议的内容进行变更。变更后的托管协议，其内容不得与基金合同的规定有任何冲突。本托管协议的变更报中国证监会备案。</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发生以下情况，本托管协议终止：</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2、基金财产的清算</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（1）基金财产的清算</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①《基金合同》终止情形出现时，由基金财产清算小组统一接管基金；</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②对基金财产和债权债务进行清理和确认；</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③对基金财产进行估值和变现；</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④制作清算报告；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⑤聘请会计师事务所对清算报告进行外部审计，聘请律师事务所对清算报告出具法律意见书；</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⑥将清算报告报中国证监会备案并公告；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⑦对基金剩余财产进行分配。</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（2）清算费用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（3）基金财产清算剩余资产的分配</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（4）基金财产清算的公告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w:t>
      </w:r>
      <w:r>
        <w:rPr>
          <w:rFonts w:ascii="宋体" w:hAnsi="宋体"/>
          <w:sz w:val="24"/>
        </w:rPr>
        <w:lastRenderedPageBreak/>
        <w:t>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（5）基金财产清算账册及文件的保存</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45138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21577" w:rsidRDefault="00451388">
      <w:pPr>
        <w:pStyle w:val="1"/>
        <w:snapToGrid w:val="0"/>
        <w:spacing w:beforeLines="0" w:before="240" w:after="240"/>
        <w:rPr>
          <w:rFonts w:ascii="宋体" w:hAnsi="宋体"/>
          <w:szCs w:val="30"/>
        </w:rPr>
      </w:pPr>
      <w:bookmarkStart w:id="26" w:name="_Toc231305806"/>
      <w:r>
        <w:rPr>
          <w:rFonts w:ascii="Times New Roman" w:hAnsi="Times New Roman"/>
          <w:sz w:val="30"/>
        </w:rPr>
        <w:lastRenderedPageBreak/>
        <w:t>二十三、对基金份额持有人的服务</w:t>
      </w:r>
      <w:bookmarkEnd w:id="26"/>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每次交易结束后，可在T+2个工作日后通过销售机构的网点查询和打印确认单。</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本基金管理人将向持有人提供电子或纸质对账单，需要订阅或取消的客户可与本基金管理人客户服务中心（400-700-5000，021-61055000）联系。</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服务，个人投资者可以直接通过本基金管理人的网上直销交易平台办理开户和本基金的申购、赎回、定期定额投资、转换等业务。通过网上直销交易平台办理本基金申购和定期定额投资业务的个人投资者将享受申购费率的优惠，其他费率标准不变。具体优惠费率请参见公司网站列示的网上直销交易平台申购、定期定额投资费率表或相关公告。基金网上直销交易平台已开通的银行卡及各银行卡交易金额限额请参阅本基金管理人网站。</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（四）基金红利再投资</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本基金收益分配时，基金份额持有人持有的基金份额可选择现金红利或选择红利再投将现金红利自动转为基金份额进行再投资，若投资人不选择，本基金默认的</w:t>
      </w:r>
      <w:r>
        <w:rPr>
          <w:rFonts w:ascii="宋体" w:hAnsi="宋体"/>
          <w:sz w:val="24"/>
        </w:rPr>
        <w:lastRenderedPageBreak/>
        <w:t>收益分配方式是现金分红。再投资红利按红利再投日（即除息日）除息后的基金份额净值自动转为基金份额，并免收申购费用。</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45138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21577" w:rsidRDefault="00451388">
      <w:pPr>
        <w:pStyle w:val="1"/>
        <w:snapToGrid w:val="0"/>
        <w:spacing w:beforeLines="0" w:before="240" w:after="240"/>
        <w:rPr>
          <w:rFonts w:ascii="宋体" w:hAnsi="宋体"/>
          <w:szCs w:val="30"/>
        </w:rPr>
      </w:pPr>
      <w:bookmarkStart w:id="27" w:name="_Toc231305807"/>
      <w:r>
        <w:rPr>
          <w:rFonts w:ascii="Times New Roman" w:hAnsi="Times New Roman"/>
          <w:sz w:val="30"/>
        </w:rPr>
        <w:lastRenderedPageBreak/>
        <w:t>二十四、其他应披露事项</w:t>
      </w:r>
      <w:bookmarkEnd w:id="27"/>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交银施罗德鸿信一年持有期混合型证券投资基金招募说明书更新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交银施罗德鸿信一年持有期混合型证券投资基金（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交银施罗德鸿信一年持有期混合型证券投资基金（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交银施罗德鸿信一年持有期混合型证券投资基金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交银施罗德基金管理有限公司关于交银施罗德鸿信一年持有期混合型证券投资基金基金经理变更公告</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2025-07-19</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交银施罗德鸿信一年持有期混合型证券投资基金招募说明书更新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2025-07-23</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交银施罗德鸿信一年持有期混合型证券投资基金（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2025-07-23</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交银施罗德鸿信一年持有期混合型证券投资基金（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2025-07-23</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交银施罗德鸿信一年持有期混合型证券投资基金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11</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交银施罗德鸿信一年持有期混合型证券投资基金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交银施罗德鸿信一年持有期混合型证券投资基金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交银施罗德鸿信一年持有期混合型证券投资基金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8215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交银施罗德鸿信一年持有期混合型证券投资基金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21577" w:rsidRDefault="00451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rsidR="00B439CC" w:rsidRDefault="0045138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21577" w:rsidRDefault="00451388">
      <w:pPr>
        <w:pStyle w:val="1"/>
        <w:snapToGrid w:val="0"/>
        <w:spacing w:beforeLines="0" w:before="240" w:after="240"/>
        <w:rPr>
          <w:rFonts w:ascii="宋体" w:hAnsi="宋体"/>
          <w:szCs w:val="30"/>
        </w:rPr>
      </w:pPr>
      <w:bookmarkStart w:id="28" w:name="_Toc231305808"/>
      <w:r>
        <w:rPr>
          <w:rFonts w:ascii="Times New Roman" w:hAnsi="Times New Roman"/>
          <w:sz w:val="30"/>
        </w:rPr>
        <w:lastRenderedPageBreak/>
        <w:t>二十五、招募说明书的存放及查阅方式</w:t>
      </w:r>
      <w:bookmarkEnd w:id="28"/>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45138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21577" w:rsidRDefault="00451388">
      <w:pPr>
        <w:pStyle w:val="1"/>
        <w:snapToGrid w:val="0"/>
        <w:spacing w:beforeLines="0" w:before="240" w:after="240"/>
        <w:rPr>
          <w:rFonts w:ascii="宋体" w:hAnsi="宋体"/>
          <w:szCs w:val="30"/>
        </w:rPr>
      </w:pPr>
      <w:bookmarkStart w:id="29" w:name="_Toc231305809"/>
      <w:r>
        <w:rPr>
          <w:rFonts w:ascii="Times New Roman" w:hAnsi="Times New Roman"/>
          <w:sz w:val="30"/>
        </w:rPr>
        <w:lastRenderedPageBreak/>
        <w:t>二十六、备查文件</w:t>
      </w:r>
      <w:bookmarkEnd w:id="29"/>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（一）中国证监会准予交银施罗德鸿信一年持有期混合型证券投资基金募集注册的文件</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（二）《交银施罗德鸿信一年持有期混合型证券投资基金基金合同》</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（三）《交银施罗德鸿信一年持有期混合型证券投资基金托管协议》</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821577" w:rsidRDefault="0045138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（六）关于申请募集注册交银施罗德鸿信一年持有期混合型证券投资基金的法律意见书</w:t>
      </w:r>
    </w:p>
    <w:sectPr w:rsidR="00821577">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1CC0" w:rsidRDefault="00451388">
      <w:r>
        <w:separator/>
      </w:r>
    </w:p>
  </w:endnote>
  <w:endnote w:type="continuationSeparator" w:id="0">
    <w:p w:rsidR="000B1CC0" w:rsidRDefault="004513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577" w:rsidRDefault="00821577">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577" w:rsidRDefault="005A38ED">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821577" w:rsidRDefault="00451388">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5A38ED">
                  <w:rPr>
                    <w:rFonts w:ascii="Times New Roman" w:hAnsi="Times New Roman"/>
                    <w:noProof/>
                    <w:kern w:val="0"/>
                    <w:sz w:val="18"/>
                    <w:szCs w:val="18"/>
                  </w:rPr>
                  <w:t>4</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577" w:rsidRDefault="00821577">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577" w:rsidRDefault="005A38ED">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821577" w:rsidRDefault="00451388">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5A38ED">
                  <w:rPr>
                    <w:rFonts w:ascii="Times New Roman" w:hAnsi="Times New Roman"/>
                    <w:noProof/>
                    <w:kern w:val="0"/>
                    <w:sz w:val="18"/>
                    <w:szCs w:val="18"/>
                  </w:rPr>
                  <w:t>165</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1CC0" w:rsidRDefault="00451388">
      <w:r>
        <w:separator/>
      </w:r>
    </w:p>
  </w:footnote>
  <w:footnote w:type="continuationSeparator" w:id="0">
    <w:p w:rsidR="000B1CC0" w:rsidRDefault="004513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577" w:rsidRDefault="00821577">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577" w:rsidRDefault="00451388">
    <w:pPr>
      <w:pStyle w:val="a3"/>
      <w:jc w:val="right"/>
      <w:rPr>
        <w:rFonts w:ascii="宋体" w:hAnsi="宋体"/>
      </w:rPr>
    </w:pPr>
    <w:r>
      <w:rPr>
        <w:rFonts w:ascii="宋体" w:hAnsi="宋体" w:hint="eastAsia"/>
      </w:rPr>
      <w:t>交银施罗德鸿信一年持有期混合型证券投资基金招募说明书更新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577" w:rsidRDefault="00821577">
    <w:pPr>
      <w:pStyle w:val="10"/>
      <w:jc w:val="right"/>
    </w:pPr>
  </w:p>
  <w:p w:rsidR="00821577" w:rsidRDefault="00821577">
    <w:pPr>
      <w:pStyle w:val="10"/>
      <w:jc w:val="right"/>
    </w:pPr>
  </w:p>
  <w:p w:rsidR="00821577" w:rsidRDefault="00821577">
    <w:pPr>
      <w:pStyle w:val="a3"/>
      <w:jc w:val="right"/>
    </w:pPr>
  </w:p>
  <w:p w:rsidR="00821577" w:rsidRDefault="00451388">
    <w:pPr>
      <w:pStyle w:val="a3"/>
      <w:jc w:val="right"/>
      <w:rPr>
        <w:rFonts w:ascii="宋体" w:hAnsi="宋体"/>
      </w:rPr>
    </w:pPr>
    <w:r>
      <w:rPr>
        <w:rFonts w:ascii="宋体" w:hAnsi="宋体" w:hint="eastAsia"/>
      </w:rPr>
      <w:t>交银施罗德鸿信一年持有期混合型证券投资基金招募说明书更新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577" w:rsidRDefault="00821577">
    <w:pPr>
      <w:pStyle w:val="a3"/>
      <w:jc w:val="right"/>
    </w:pPr>
  </w:p>
  <w:p w:rsidR="00821577" w:rsidRDefault="00821577">
    <w:pPr>
      <w:pStyle w:val="a3"/>
      <w:jc w:val="right"/>
    </w:pPr>
  </w:p>
  <w:p w:rsidR="00821577" w:rsidRDefault="00821577">
    <w:pPr>
      <w:pStyle w:val="a3"/>
      <w:jc w:val="right"/>
    </w:pPr>
  </w:p>
  <w:p w:rsidR="00821577" w:rsidRDefault="00451388">
    <w:pPr>
      <w:pStyle w:val="a3"/>
      <w:jc w:val="right"/>
      <w:rPr>
        <w:rFonts w:ascii="宋体" w:hAnsi="宋体"/>
      </w:rPr>
    </w:pPr>
    <w:r>
      <w:rPr>
        <w:rFonts w:ascii="宋体" w:hAnsi="宋体" w:hint="eastAsia"/>
      </w:rPr>
      <w:t>交银施罗德鸿信一年持有期混合型证券投资基金招募说明书更新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1CC0"/>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1388"/>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38ED"/>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1577"/>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7D4DB520-6C7B-45D0-9C5D-3E1571060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166</Pages>
  <Words>17738</Words>
  <Characters>101108</Characters>
  <Application>Microsoft Office Word</Application>
  <DocSecurity>0</DocSecurity>
  <Lines>842</Lines>
  <Paragraphs>237</Paragraphs>
  <ScaleCrop>false</ScaleCrop>
  <Company>Microsoft</Company>
  <LinksUpToDate>false</LinksUpToDate>
  <CharactersWithSpaces>118609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2026-06-02T07:16:00Z</dcterms:created>
  <dcterms:modified xsi:type="dcterms:W3CDTF">2026-06-02T07:16:00Z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