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484C5F">
      <w:pPr>
        <w:rPr>
          <w:sz w:val="32"/>
        </w:rPr>
      </w:pPr>
    </w:p>
    <w:p w:rsidR="00C92FC0" w:rsidRPr="00EB07BC" w:rsidRDefault="00484C5F">
      <w:pPr>
        <w:rPr>
          <w:sz w:val="32"/>
        </w:rPr>
      </w:pPr>
    </w:p>
    <w:p w:rsidR="00C92FC0" w:rsidRPr="00EB07BC" w:rsidRDefault="00484C5F">
      <w:pPr>
        <w:rPr>
          <w:sz w:val="32"/>
        </w:rPr>
      </w:pPr>
    </w:p>
    <w:p w:rsidR="00A25E5B" w:rsidRDefault="00A25E5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25E5B" w:rsidRDefault="00A25E5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25E5B" w:rsidRDefault="00A25E5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25E5B" w:rsidRDefault="00E1333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交银施罗德产业臻选混合型证券投资基金</w:t>
      </w:r>
    </w:p>
    <w:p w:rsidR="00A25E5B" w:rsidRDefault="00E1333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25E5B" w:rsidRDefault="00A25E5B">
      <w:pPr>
        <w:snapToGrid w:val="0"/>
        <w:spacing w:line="360" w:lineRule="auto"/>
        <w:jc w:val="center"/>
        <w:rPr>
          <w:rFonts w:ascii="宋体" w:hAnsi="宋体"/>
          <w:b/>
          <w:sz w:val="30"/>
          <w:szCs w:val="30"/>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E1333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25E5B" w:rsidRDefault="00E1333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A25E5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25E5B" w:rsidRDefault="00E1333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A25E5B" w:rsidRDefault="00A25E5B">
      <w:pPr>
        <w:autoSpaceDE w:val="0"/>
        <w:autoSpaceDN w:val="0"/>
        <w:adjustRightInd w:val="0"/>
        <w:snapToGrid w:val="0"/>
        <w:spacing w:line="360" w:lineRule="auto"/>
        <w:ind w:left="1347" w:rightChars="6" w:right="13"/>
        <w:rPr>
          <w:rFonts w:ascii="宋体" w:hAnsi="宋体"/>
          <w:kern w:val="0"/>
          <w:sz w:val="32"/>
          <w:szCs w:val="32"/>
        </w:rPr>
        <w:sectPr w:rsidR="00A25E5B">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A25E5B" w:rsidRDefault="00E1333C">
      <w:pPr>
        <w:pStyle w:val="1"/>
        <w:snapToGrid w:val="0"/>
        <w:spacing w:beforeLines="0" w:before="240" w:after="240"/>
        <w:rPr>
          <w:rFonts w:ascii="宋体" w:hAnsi="宋体"/>
          <w:kern w:val="0"/>
        </w:rPr>
      </w:pPr>
      <w:bookmarkStart w:id="0" w:name="_Toc324920538"/>
      <w:bookmarkStart w:id="1" w:name="_Toc496884613"/>
      <w:bookmarkStart w:id="2" w:name="_Toc231196972"/>
      <w:r>
        <w:rPr>
          <w:rFonts w:ascii="Times New Roman" w:hAnsi="Times New Roman"/>
          <w:kern w:val="0"/>
        </w:rPr>
        <w:lastRenderedPageBreak/>
        <w:t>重要提示</w:t>
      </w:r>
      <w:bookmarkEnd w:id="0"/>
      <w:bookmarkEnd w:id="1"/>
      <w:bookmarkEnd w:id="2"/>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交银施罗德产业臻选混合型证券投资基金（以下简称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2025</w:t>
      </w:r>
      <w:r>
        <w:rPr>
          <w:rFonts w:ascii="Times New Roman" w:hAnsi="Times New Roman"/>
          <w:kern w:val="0"/>
          <w:sz w:val="24"/>
        </w:rPr>
        <w:t>】</w:t>
      </w:r>
      <w:r>
        <w:rPr>
          <w:rFonts w:ascii="Times New Roman" w:hAnsi="Times New Roman"/>
          <w:kern w:val="0"/>
          <w:sz w:val="24"/>
        </w:rPr>
        <w:t>1446</w:t>
      </w:r>
      <w:r>
        <w:rPr>
          <w:rFonts w:ascii="Times New Roman" w:hAnsi="Times New Roman"/>
          <w:kern w:val="0"/>
          <w:sz w:val="24"/>
        </w:rPr>
        <w:t>号文准予募集注册。本基金基金合同于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日正式生效。</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本基金是一只混合型基金，其预期风险和预期收益理论上高于债券型基金和货币市场基金，低于股票型基金。</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本基金可根据投资策略需要或不同配置地市场环境的变化，选择将部分基金资产投资于港股通标的股票或选择不将基金资产投资于港股通标的股票，基金资产并非必然投资港股通标的股票。</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基金合同提前终止风险。连续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人或者基金资产净值低于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rsidR="00A25E5B" w:rsidRDefault="00E133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A25E5B" w:rsidRDefault="00A25E5B">
      <w:pPr>
        <w:autoSpaceDE w:val="0"/>
        <w:autoSpaceDN w:val="0"/>
        <w:adjustRightInd w:val="0"/>
        <w:snapToGrid w:val="0"/>
        <w:spacing w:before="51" w:line="360" w:lineRule="auto"/>
        <w:ind w:left="120" w:rightChars="6" w:right="13" w:firstLine="480"/>
        <w:rPr>
          <w:rFonts w:ascii="宋体" w:hAnsi="宋体"/>
          <w:kern w:val="0"/>
          <w:szCs w:val="24"/>
        </w:rPr>
        <w:sectPr w:rsidR="00A25E5B">
          <w:headerReference w:type="default" r:id="rId14"/>
          <w:pgSz w:w="11920" w:h="16840"/>
          <w:pgMar w:top="1440" w:right="1680" w:bottom="280" w:left="1680" w:header="0" w:footer="1073" w:gutter="0"/>
          <w:pgNumType w:start="1"/>
          <w:cols w:space="720"/>
        </w:sectPr>
      </w:pPr>
    </w:p>
    <w:p w:rsidR="00484C5F" w:rsidRPr="00484C5F" w:rsidRDefault="00E1333C" w:rsidP="00484C5F">
      <w:pPr>
        <w:pStyle w:val="ad"/>
        <w:snapToGrid w:val="0"/>
        <w:spacing w:after="240" w:line="360" w:lineRule="auto"/>
        <w:jc w:val="center"/>
        <w:rPr>
          <w:rFonts w:ascii="宋体" w:hAnsi="宋体"/>
          <w:noProof/>
          <w:sz w:val="24"/>
        </w:rPr>
      </w:pPr>
      <w:r w:rsidRPr="00484C5F">
        <w:rPr>
          <w:rFonts w:ascii="宋体" w:hAnsi="宋体"/>
          <w:color w:val="000000"/>
          <w:position w:val="-4"/>
          <w:sz w:val="24"/>
          <w:szCs w:val="30"/>
        </w:rPr>
        <w:lastRenderedPageBreak/>
        <w:t>目</w:t>
      </w:r>
      <w:r w:rsidRPr="00484C5F">
        <w:rPr>
          <w:rFonts w:ascii="宋体" w:hAnsi="宋体"/>
          <w:color w:val="000000"/>
          <w:position w:val="-4"/>
          <w:sz w:val="24"/>
          <w:szCs w:val="30"/>
        </w:rPr>
        <w:tab/>
        <w:t>录</w:t>
      </w:r>
      <w:r w:rsidR="00484C5F" w:rsidRPr="00484C5F">
        <w:rPr>
          <w:rFonts w:ascii="宋体" w:hAnsi="宋体"/>
          <w:color w:val="000000"/>
          <w:position w:val="-4"/>
          <w:sz w:val="24"/>
          <w:szCs w:val="30"/>
        </w:rPr>
        <w:fldChar w:fldCharType="begin"/>
      </w:r>
      <w:r w:rsidR="00484C5F" w:rsidRPr="00484C5F">
        <w:rPr>
          <w:rFonts w:ascii="宋体" w:hAnsi="宋体"/>
          <w:color w:val="000000"/>
          <w:position w:val="-4"/>
          <w:sz w:val="24"/>
          <w:szCs w:val="30"/>
        </w:rPr>
        <w:instrText xml:space="preserve"> TOC \o "1-3" \f - \h \t "-1" </w:instrText>
      </w:r>
      <w:r w:rsidR="00484C5F" w:rsidRPr="00484C5F">
        <w:rPr>
          <w:rFonts w:ascii="宋体" w:hAnsi="宋体"/>
          <w:color w:val="000000"/>
          <w:position w:val="-4"/>
          <w:sz w:val="24"/>
          <w:szCs w:val="30"/>
        </w:rPr>
        <w:fldChar w:fldCharType="separate"/>
      </w:r>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2" w:history="1">
        <w:r w:rsidRPr="00484C5F">
          <w:rPr>
            <w:rStyle w:val="aa"/>
            <w:rFonts w:ascii="宋体" w:hAnsi="宋体" w:hint="eastAsia"/>
            <w:noProof/>
            <w:kern w:val="0"/>
            <w:sz w:val="24"/>
          </w:rPr>
          <w:t>重要提示</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_Toc231196972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3" w:history="1">
        <w:r w:rsidRPr="00484C5F">
          <w:rPr>
            <w:rStyle w:val="aa"/>
            <w:rFonts w:ascii="宋体" w:hAnsi="宋体" w:hint="eastAsia"/>
            <w:noProof/>
            <w:sz w:val="24"/>
          </w:rPr>
          <w:t>一、绪言</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_Toc231196973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5</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4" w:history="1">
        <w:r w:rsidRPr="00484C5F">
          <w:rPr>
            <w:rStyle w:val="aa"/>
            <w:rFonts w:ascii="宋体" w:hAnsi="宋体" w:hint="eastAsia"/>
            <w:noProof/>
            <w:sz w:val="24"/>
          </w:rPr>
          <w:t>二、释义</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_Toc231196974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6</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5" w:history="1">
        <w:r w:rsidRPr="00484C5F">
          <w:rPr>
            <w:rStyle w:val="aa"/>
            <w:rFonts w:ascii="宋体" w:hAnsi="宋体" w:hint="eastAsia"/>
            <w:noProof/>
            <w:sz w:val="24"/>
          </w:rPr>
          <w:t>三、基金管理人</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_Toc231196975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11</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6" w:history="1">
        <w:r w:rsidRPr="00484C5F">
          <w:rPr>
            <w:rStyle w:val="aa"/>
            <w:rFonts w:ascii="宋体" w:hAnsi="宋体" w:hint="eastAsia"/>
            <w:noProof/>
            <w:sz w:val="24"/>
          </w:rPr>
          <w:t>四、基金托管人</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_Toc231196976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18</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7" w:history="1">
        <w:r w:rsidRPr="00484C5F">
          <w:rPr>
            <w:rStyle w:val="aa"/>
            <w:rFonts w:ascii="宋体" w:hAnsi="宋体" w:hint="eastAsia"/>
            <w:noProof/>
            <w:sz w:val="24"/>
          </w:rPr>
          <w:t>五、相关服务机构</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_Toc231196977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25</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8" w:history="1">
        <w:r w:rsidRPr="00484C5F">
          <w:rPr>
            <w:rStyle w:val="aa"/>
            <w:rFonts w:ascii="宋体" w:hAnsi="宋体" w:hint="eastAsia"/>
            <w:noProof/>
            <w:sz w:val="24"/>
          </w:rPr>
          <w:t>六、基金的募集</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_Toc231196978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30</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79" w:history="1">
        <w:r w:rsidRPr="00484C5F">
          <w:rPr>
            <w:rStyle w:val="aa"/>
            <w:rFonts w:ascii="宋体" w:hAnsi="宋体" w:hint="eastAsia"/>
            <w:noProof/>
            <w:sz w:val="24"/>
          </w:rPr>
          <w:t>七、基金合同的生效</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_Toc231196979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31</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0" w:history="1">
        <w:r w:rsidRPr="00484C5F">
          <w:rPr>
            <w:rStyle w:val="aa"/>
            <w:rFonts w:ascii="宋体" w:hAnsi="宋体" w:hint="eastAsia"/>
            <w:noProof/>
            <w:sz w:val="24"/>
          </w:rPr>
          <w:t>八、基金份额的申购与赎回</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_Toc231196980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32</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1" w:history="1">
        <w:r w:rsidRPr="00484C5F">
          <w:rPr>
            <w:rStyle w:val="aa"/>
            <w:rFonts w:ascii="宋体" w:hAnsi="宋体" w:hint="eastAsia"/>
            <w:noProof/>
            <w:sz w:val="24"/>
          </w:rPr>
          <w:t>九、基金的转换</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_Toc231196981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44</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2" w:history="1">
        <w:r w:rsidRPr="00484C5F">
          <w:rPr>
            <w:rStyle w:val="aa"/>
            <w:rFonts w:ascii="宋体" w:hAnsi="宋体" w:hint="eastAsia"/>
            <w:noProof/>
            <w:sz w:val="24"/>
          </w:rPr>
          <w:t>十、基金的投资</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_Toc231196982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49</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3" w:history="1">
        <w:r w:rsidRPr="00484C5F">
          <w:rPr>
            <w:rStyle w:val="aa"/>
            <w:rFonts w:ascii="宋体" w:hAnsi="宋体" w:hint="eastAsia"/>
            <w:noProof/>
            <w:sz w:val="24"/>
          </w:rPr>
          <w:t>十一、基金的业绩</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_Toc231196983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61</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4" w:history="1">
        <w:r w:rsidRPr="00484C5F">
          <w:rPr>
            <w:rStyle w:val="aa"/>
            <w:rFonts w:ascii="宋体" w:hAnsi="宋体" w:hint="eastAsia"/>
            <w:noProof/>
            <w:sz w:val="24"/>
          </w:rPr>
          <w:t>十二、基金的财产</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_Toc231196984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63</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5" w:history="1">
        <w:r w:rsidRPr="00484C5F">
          <w:rPr>
            <w:rStyle w:val="aa"/>
            <w:rFonts w:ascii="宋体" w:hAnsi="宋体" w:hint="eastAsia"/>
            <w:noProof/>
            <w:sz w:val="24"/>
          </w:rPr>
          <w:t>十三、基金资产的估值</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_Toc231196985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64</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6" w:history="1">
        <w:r w:rsidRPr="00484C5F">
          <w:rPr>
            <w:rStyle w:val="aa"/>
            <w:rFonts w:ascii="宋体" w:hAnsi="宋体" w:hint="eastAsia"/>
            <w:noProof/>
            <w:sz w:val="24"/>
          </w:rPr>
          <w:t>十四、基金收益与分配</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_Toc231196986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71</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7" w:history="1">
        <w:r w:rsidRPr="00484C5F">
          <w:rPr>
            <w:rStyle w:val="aa"/>
            <w:rFonts w:ascii="宋体" w:hAnsi="宋体" w:hint="eastAsia"/>
            <w:noProof/>
            <w:sz w:val="24"/>
          </w:rPr>
          <w:t>十五、基金的费用与税收</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_Toc231196987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73</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8" w:history="1">
        <w:r w:rsidRPr="00484C5F">
          <w:rPr>
            <w:rStyle w:val="aa"/>
            <w:rFonts w:ascii="宋体" w:hAnsi="宋体" w:hint="eastAsia"/>
            <w:noProof/>
            <w:sz w:val="24"/>
          </w:rPr>
          <w:t>十六、基金的会计与审计</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_Toc231196988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76</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89" w:history="1">
        <w:r w:rsidRPr="00484C5F">
          <w:rPr>
            <w:rStyle w:val="aa"/>
            <w:rFonts w:ascii="宋体" w:hAnsi="宋体" w:hint="eastAsia"/>
            <w:noProof/>
            <w:sz w:val="24"/>
          </w:rPr>
          <w:t>十七、基金的信息披露</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_Toc231196989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77</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0" w:history="1">
        <w:r w:rsidRPr="00484C5F">
          <w:rPr>
            <w:rStyle w:val="aa"/>
            <w:rFonts w:ascii="宋体" w:hAnsi="宋体" w:hint="eastAsia"/>
            <w:noProof/>
            <w:sz w:val="24"/>
          </w:rPr>
          <w:t>十八、侧袋机制</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_Toc231196990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84</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1" w:history="1">
        <w:r w:rsidRPr="00484C5F">
          <w:rPr>
            <w:rStyle w:val="aa"/>
            <w:rFonts w:ascii="宋体" w:hAnsi="宋体" w:hint="eastAsia"/>
            <w:noProof/>
            <w:sz w:val="24"/>
          </w:rPr>
          <w:t>十九、风险揭示</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_Toc231196991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87</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2" w:history="1">
        <w:r w:rsidRPr="00484C5F">
          <w:rPr>
            <w:rStyle w:val="aa"/>
            <w:rFonts w:ascii="宋体" w:hAnsi="宋体" w:hint="eastAsia"/>
            <w:noProof/>
            <w:sz w:val="24"/>
          </w:rPr>
          <w:t>二十、基金合同的变更、终止与基金财产的清算</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_Toc231196992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97</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3" w:history="1">
        <w:r w:rsidRPr="00484C5F">
          <w:rPr>
            <w:rStyle w:val="aa"/>
            <w:rFonts w:ascii="宋体" w:hAnsi="宋体" w:hint="eastAsia"/>
            <w:noProof/>
            <w:sz w:val="24"/>
          </w:rPr>
          <w:t>二十一、基金合同内容摘要</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_Toc231196993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99</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4" w:history="1">
        <w:r w:rsidRPr="00484C5F">
          <w:rPr>
            <w:rStyle w:val="aa"/>
            <w:rFonts w:ascii="宋体" w:hAnsi="宋体" w:hint="eastAsia"/>
            <w:noProof/>
            <w:sz w:val="24"/>
          </w:rPr>
          <w:t>二十二、托管协议的内容摘要</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_Toc231196994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116</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5" w:history="1">
        <w:r w:rsidRPr="00484C5F">
          <w:rPr>
            <w:rStyle w:val="aa"/>
            <w:rFonts w:ascii="宋体" w:hAnsi="宋体" w:hint="eastAsia"/>
            <w:noProof/>
            <w:sz w:val="24"/>
          </w:rPr>
          <w:t>二十三、对基金份额持有人的服务</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_Toc231196995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134</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6" w:history="1">
        <w:r w:rsidRPr="00484C5F">
          <w:rPr>
            <w:rStyle w:val="aa"/>
            <w:rFonts w:ascii="宋体" w:hAnsi="宋体" w:hint="eastAsia"/>
            <w:noProof/>
            <w:sz w:val="24"/>
          </w:rPr>
          <w:t>二十四、其他应披露事项</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_Toc231196996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136</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7" w:history="1">
        <w:r w:rsidRPr="00484C5F">
          <w:rPr>
            <w:rStyle w:val="aa"/>
            <w:rFonts w:ascii="宋体" w:hAnsi="宋体" w:hint="eastAsia"/>
            <w:noProof/>
            <w:sz w:val="24"/>
          </w:rPr>
          <w:t>二十五、招募说明书的存放及查阅方式</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_Toc231196997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138</w:t>
        </w:r>
        <w:r w:rsidRPr="00484C5F">
          <w:rPr>
            <w:rFonts w:ascii="宋体" w:hAnsi="宋体"/>
            <w:noProof/>
            <w:sz w:val="24"/>
          </w:rPr>
          <w:fldChar w:fldCharType="end"/>
        </w:r>
      </w:hyperlink>
    </w:p>
    <w:p w:rsidR="00484C5F" w:rsidRPr="00484C5F" w:rsidRDefault="00484C5F" w:rsidP="00484C5F">
      <w:pPr>
        <w:pStyle w:val="10"/>
        <w:tabs>
          <w:tab w:val="right" w:leader="dot" w:pos="8550"/>
        </w:tabs>
        <w:spacing w:line="360" w:lineRule="auto"/>
        <w:rPr>
          <w:rFonts w:ascii="宋体" w:hAnsi="宋体" w:cstheme="minorBidi"/>
          <w:noProof/>
          <w:sz w:val="24"/>
        </w:rPr>
      </w:pPr>
      <w:hyperlink w:anchor="_Toc231196998" w:history="1">
        <w:r w:rsidRPr="00484C5F">
          <w:rPr>
            <w:rStyle w:val="aa"/>
            <w:rFonts w:ascii="宋体" w:hAnsi="宋体" w:hint="eastAsia"/>
            <w:noProof/>
            <w:sz w:val="24"/>
          </w:rPr>
          <w:t>二十六、备查文件</w:t>
        </w:r>
        <w:r w:rsidRPr="00484C5F">
          <w:rPr>
            <w:rFonts w:ascii="宋体" w:hAnsi="宋体"/>
            <w:noProof/>
            <w:sz w:val="24"/>
          </w:rPr>
          <w:tab/>
        </w:r>
        <w:r w:rsidRPr="00484C5F">
          <w:rPr>
            <w:rFonts w:ascii="宋体" w:hAnsi="宋体"/>
            <w:noProof/>
            <w:sz w:val="24"/>
          </w:rPr>
          <w:fldChar w:fldCharType="begin"/>
        </w:r>
        <w:r w:rsidRPr="00484C5F">
          <w:rPr>
            <w:rFonts w:ascii="宋体" w:hAnsi="宋体"/>
            <w:noProof/>
            <w:sz w:val="24"/>
          </w:rPr>
          <w:instrText xml:space="preserve"> PAGEREF _Toc231196998 \h </w:instrText>
        </w:r>
        <w:r w:rsidRPr="00484C5F">
          <w:rPr>
            <w:rFonts w:ascii="宋体" w:hAnsi="宋体"/>
            <w:noProof/>
            <w:sz w:val="24"/>
          </w:rPr>
        </w:r>
        <w:r w:rsidRPr="00484C5F">
          <w:rPr>
            <w:rFonts w:ascii="宋体" w:hAnsi="宋体"/>
            <w:noProof/>
            <w:sz w:val="24"/>
          </w:rPr>
          <w:fldChar w:fldCharType="separate"/>
        </w:r>
        <w:r w:rsidRPr="00484C5F">
          <w:rPr>
            <w:rFonts w:ascii="宋体" w:hAnsi="宋体"/>
            <w:noProof/>
            <w:sz w:val="24"/>
          </w:rPr>
          <w:t>139</w:t>
        </w:r>
        <w:r w:rsidRPr="00484C5F">
          <w:rPr>
            <w:rFonts w:ascii="宋体" w:hAnsi="宋体"/>
            <w:noProof/>
            <w:sz w:val="24"/>
          </w:rPr>
          <w:fldChar w:fldCharType="end"/>
        </w:r>
      </w:hyperlink>
    </w:p>
    <w:p w:rsidR="00A25E5B" w:rsidRPr="00484C5F" w:rsidRDefault="00484C5F" w:rsidP="00484C5F">
      <w:pPr>
        <w:pStyle w:val="ad"/>
        <w:snapToGrid w:val="0"/>
        <w:spacing w:after="240" w:line="360" w:lineRule="auto"/>
        <w:jc w:val="center"/>
        <w:rPr>
          <w:rFonts w:ascii="宋体" w:hAnsi="宋体"/>
          <w:color w:val="000000"/>
          <w:sz w:val="24"/>
        </w:rPr>
      </w:pPr>
      <w:r w:rsidRPr="00484C5F">
        <w:rPr>
          <w:rFonts w:ascii="宋体" w:hAnsi="宋体"/>
          <w:color w:val="000000"/>
          <w:position w:val="-4"/>
          <w:sz w:val="24"/>
          <w:szCs w:val="30"/>
        </w:rPr>
        <w:fldChar w:fldCharType="end"/>
      </w:r>
      <w:bookmarkStart w:id="3" w:name="_GoBack"/>
      <w:bookmarkEnd w:id="3"/>
    </w:p>
    <w:p w:rsidR="00A25E5B" w:rsidRDefault="00A25E5B">
      <w:pPr>
        <w:autoSpaceDE w:val="0"/>
        <w:autoSpaceDN w:val="0"/>
        <w:adjustRightInd w:val="0"/>
        <w:snapToGrid w:val="0"/>
        <w:spacing w:line="360" w:lineRule="auto"/>
        <w:ind w:left="120" w:rightChars="6" w:right="13"/>
        <w:rPr>
          <w:rFonts w:ascii="宋体" w:hAnsi="宋体"/>
          <w:kern w:val="0"/>
          <w:szCs w:val="24"/>
        </w:rPr>
        <w:sectPr w:rsidR="00A25E5B">
          <w:pgSz w:w="11920" w:h="16840"/>
          <w:pgMar w:top="1480" w:right="1680" w:bottom="280" w:left="1680" w:header="0" w:footer="1073" w:gutter="0"/>
          <w:cols w:space="720"/>
        </w:sectPr>
      </w:pPr>
    </w:p>
    <w:p w:rsidR="00A25E5B" w:rsidRDefault="00E1333C">
      <w:pPr>
        <w:pStyle w:val="1"/>
        <w:snapToGrid w:val="0"/>
        <w:spacing w:beforeLines="0" w:before="240" w:after="240"/>
        <w:rPr>
          <w:rFonts w:ascii="宋体" w:hAnsi="宋体"/>
          <w:szCs w:val="30"/>
        </w:rPr>
      </w:pPr>
      <w:bookmarkStart w:id="4" w:name="_Toc231196973"/>
      <w:r>
        <w:rPr>
          <w:rFonts w:ascii="Times New Roman" w:hAnsi="Times New Roman"/>
          <w:sz w:val="30"/>
        </w:rPr>
        <w:lastRenderedPageBreak/>
        <w:t>一、绪言</w:t>
      </w:r>
      <w:bookmarkEnd w:id="4"/>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产业臻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产业臻选混合型证券投资基金基金合同》（以下简称“基金合同”）编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5" w:name="_Toc231196974"/>
      <w:r>
        <w:rPr>
          <w:rFonts w:ascii="Times New Roman" w:hAnsi="Times New Roman"/>
          <w:sz w:val="30"/>
        </w:rPr>
        <w:lastRenderedPageBreak/>
        <w:t>二、释义</w:t>
      </w:r>
      <w:bookmarkEnd w:id="5"/>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1、基金或本基金：指交银施罗德产业臻选混合型证券投资基金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4、基金合同、《基金合同》：指《交银施罗德产业臻选混合型证券投资基金基金合同》及对基金合同的任何有效修订和补充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5、托管协议：指基金管理人与基金托管人就本基金签订之《交银施罗德产业臻选混合型证券投资基金托管协议》及对该托管协议的任何有效修订和补充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6、招募说明书、《招募说明书》或本招募说明书：指《交银施罗德产业臻选混合型证券投资基金招募说明书》及其更新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7、基金产品资料概要：指《交银施罗德产业臻选混合型证券投资基金基金产品资料概要》及其更新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8、基金份额发售公告：指《交银施罗德产业臻选混合型证券投资基金基金份额发售公告》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w:t>
      </w:r>
      <w:r>
        <w:rPr>
          <w:rFonts w:ascii="宋体" w:hAnsi="宋体"/>
          <w:sz w:val="24"/>
        </w:rPr>
        <w:lastRenderedPageBreak/>
        <w:t>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38、《业务规则》：指《交银施罗德基金管理有限公司开放式基金业务规则》，是规范基金管理人所管理的开放式证券投资基金登记方面的业务规则，由基金管理人和投资人共同遵守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52、港股通标的股票：指内地投资者委托内地证券公司，经由内地证券交易所在香港设立的证券交易服务公司，向香港联合交易所进行申报，买卖规定范围内的香港联合交易所上市的股票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53、规定媒介：指符合中国证监会规定条件的用以进行信息披露的全国性报刊及《信息披露办法》规定的互联网网站（包括基金管理人网站、基金托管人网站、中国证监会基金电子披露网站）等媒介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w:t>
      </w:r>
      <w:r>
        <w:rPr>
          <w:rFonts w:ascii="宋体" w:hAnsi="宋体"/>
          <w:sz w:val="24"/>
        </w:rPr>
        <w:lastRenderedPageBreak/>
        <w:t>侧袋账户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58、不可抗力：指基金合同当事人不能预见、不能避免且不能克服的客观事件</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6" w:name="_Toc231196975"/>
      <w:r>
        <w:rPr>
          <w:rFonts w:ascii="Times New Roman" w:hAnsi="Times New Roman"/>
          <w:sz w:val="30"/>
        </w:rPr>
        <w:lastRenderedPageBreak/>
        <w:t>三、基金管理人</w:t>
      </w:r>
      <w:bookmarkEnd w:id="6"/>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朱维缜女士:基金经理。同济大学产业经济学硕士、暨南大学金融学学士。10年证券投资行业从业经验。2016年加入交银施罗德基金管理有限公司，曾任行业分析师。现任交银施罗德产业机遇混合型证券投资基金(2024年06月22日至今)、交银施罗德产业臻选混合型证券投资基金(2025年09月01日至今)的基金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7" w:name="_Toc231196976"/>
      <w:r>
        <w:rPr>
          <w:rFonts w:ascii="Times New Roman" w:hAnsi="Times New Roman"/>
          <w:sz w:val="30"/>
        </w:rPr>
        <w:lastRenderedPageBreak/>
        <w:t>四、基金托管人</w:t>
      </w:r>
      <w:bookmarkEnd w:id="7"/>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12月31日，本集团总资产130,705.23亿元人民币，高级法下资本充足率18.24%，权重法下资本充足率15.00%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260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w:t>
      </w:r>
      <w:r>
        <w:rPr>
          <w:rFonts w:ascii="宋体" w:hAnsi="宋体"/>
          <w:sz w:val="24"/>
        </w:rPr>
        <w:lastRenderedPageBreak/>
        <w:t>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截至2025年12月31日，招商银行股份有限公司累计托管1759只证券投资基金。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w:t>
      </w:r>
      <w:r>
        <w:rPr>
          <w:rFonts w:ascii="宋体" w:hAnsi="宋体"/>
          <w:sz w:val="24"/>
        </w:rPr>
        <w:lastRenderedPageBreak/>
        <w:t>险、审慎经营为出发点，体现“内控优先”的要求。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8" w:name="_Toc231196977"/>
      <w:r>
        <w:rPr>
          <w:rFonts w:ascii="Times New Roman" w:hAnsi="Times New Roman"/>
          <w:sz w:val="30"/>
        </w:rPr>
        <w:lastRenderedPageBreak/>
        <w:t>五、相关服务机构</w:t>
      </w:r>
      <w:bookmarkEnd w:id="8"/>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（3）名称：东方财富证券股份有限公司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（4）名称：上海联泰基金销售有限公司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（5）名称：蚂蚁（杭州）基金销售有限公司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电话：（0571）28829790，（021）60897869</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（6）名称：上海天天基金销售有限公司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（7）名称：珠海盈米基金销售有限公司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（8）名称：腾安基金销售（深圳）有限公司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客户服务电话：95017（拨通后转1转8）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（9）名称：京东肯特瑞基金销售有限公司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经办律师：丁媛、李晓露</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名称：安永华明会计师事务所（特殊普通合伙）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9" w:name="_Toc231196978"/>
      <w:r>
        <w:rPr>
          <w:rFonts w:ascii="Times New Roman" w:hAnsi="Times New Roman"/>
          <w:sz w:val="30"/>
        </w:rPr>
        <w:lastRenderedPageBreak/>
        <w:t>六、基金的募集</w:t>
      </w:r>
      <w:bookmarkEnd w:id="9"/>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本基金由基金管理人依照《基金法》、《运作办法》、《销售办法》、基金合同及其他有关规定，并经中国证监会2025年7月10日证监许可【2025】1446号文准予募集注册。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本基金2025年8月18日至2025年8月28日进行发售，本基金设立募集期共募集1,717,186,416.15份基金份额，有效认购户数为9,658户。</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0" w:name="_Toc231196979"/>
      <w:r>
        <w:rPr>
          <w:rFonts w:ascii="Times New Roman" w:hAnsi="Times New Roman"/>
          <w:sz w:val="30"/>
        </w:rPr>
        <w:lastRenderedPageBreak/>
        <w:t>七、基金合同的生效</w:t>
      </w:r>
      <w:bookmarkEnd w:id="10"/>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根据有关规定，本基金满足基金合同生效条件，基金合同已于2025年9月1日正式生效。自基金合同生效之日起，本基金管理人正式开始管理本基金。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1" w:name="_Toc231196980"/>
      <w:r>
        <w:rPr>
          <w:rFonts w:ascii="Times New Roman" w:hAnsi="Times New Roman"/>
          <w:sz w:val="30"/>
        </w:rPr>
        <w:lastRenderedPageBreak/>
        <w:t>八、基金份额的申购与赎回</w:t>
      </w:r>
      <w:bookmarkEnd w:id="11"/>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本基金已于2025年10月13日起开放申购、赎回业务。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接受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w:t>
      </w:r>
      <w:r>
        <w:rPr>
          <w:rFonts w:ascii="宋体" w:hAnsi="宋体"/>
          <w:sz w:val="24"/>
        </w:rPr>
        <w:lastRenderedPageBreak/>
        <w:t>笔1元。本基金直销机构单笔申购最低金额可由基金管理人酌情调整。其他销售机构接受申购申请的最低金额为单笔1元，如果销售机构业务规则规定的最低单笔申购金额高于1元，以该销售机构的规定为准。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本基金的申购费用由申购基金份额的投资人承担，不列入基金财产，主要用于本基金的市场推广、销售、登记等各项费用。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投资人因红利自动再投资而产生的基金份额，不收取相应的申购费用。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本基金对通过基金管理人直销柜台申购基金份额的养老金客户实施特定申购费率。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w:t>
      </w:r>
      <w:r>
        <w:rPr>
          <w:rFonts w:ascii="宋体" w:hAnsi="宋体"/>
          <w:sz w:val="24"/>
        </w:rPr>
        <w:lastRenderedPageBreak/>
        <w:t>期大于等于6个月的投资人，将赎回费总额的25%计入基金财产。上述“月”指的是30个自然日。未归入基金财产的部分用于支付登记费和其他必要的手续费。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本基金赎回费率如下：</w:t>
      </w:r>
    </w:p>
    <w:tbl>
      <w:tblPr>
        <w:tblW w:w="5000" w:type="pct"/>
        <w:tblCellMar>
          <w:left w:w="0" w:type="dxa"/>
          <w:right w:w="0" w:type="dxa"/>
        </w:tblCellMar>
        <w:tblLook w:val="0000" w:firstRow="0" w:lastRow="0" w:firstColumn="0" w:lastColumn="0" w:noHBand="0" w:noVBand="0"/>
      </w:tblPr>
      <w:tblGrid>
        <w:gridCol w:w="2167"/>
        <w:gridCol w:w="650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（1）申购的有效份额为净申购金额除以当日基金份额净值，有效份额单位为份，申购份额计算结果按四舍五入方法，保留到小数点后2位，由此产生的收益或损失由基金财产承担。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（注：对于适用固定金额申购费用的申购，净申购金额＝申购总金额－固定申购费用金额）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申购份额=净申购金额/T日基金份额净值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例三：某投资者（非养老金客户）投资100,000.00元申购本基金，假设申购当日基金份额净值为1.0400元，申购费率为1.5%，则其可得到的申购份额为：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净申购金额=100,000.00/（1+1.5%）=98,522.17元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申购费用=100,000.00-98,522.17=1,477.83元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申购份额=98,522.17/1.0400=94,732.86份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即：该投资者（非养老金客户）投资100,000.00元申购本基金，假设申购当日基金份额净值为1.0400元，则其可得到94,732.86份基金份额。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例四：某养老金客户投资1,000,000.00元通过基金管理人的直销柜台申购本基金，假设申购当日基金份额净值为1.0400元，申购费率为0.6%，则其可得到的申购份额为：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净申购金额=1,000,000.00/（1+0.6%）=994,035.79元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申购费用=1,000,000.00-994,035.79=5,964.21元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申购份额=994,035.79/1.0400=955,803.64份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即：该养老金客户投资1,000,000.00元通过基金管理人的直销柜台申购本基金，假设申购当日基金份额净值为1.0400元，则其可得到955,803.64份基金份额。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如果投资者赎回基金份额，则赎回金额的计算方法如下：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例五：某投资者赎回持有的10,000.00份基金份额，持有期限为30日，对应的赎回费率为0.5%，假设赎回当日基金份额净值是1.0160元，则其可得到的赎回金额为：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赎回费用=10,000.00×1.0160×0.5%＝50.80元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即：该投资者赎回本基金10,000.00份基金份额，持有期限为30日，对应的赎回费率为0.5%，假设赎回当日基金份额净值是1.0160元，则其可得到的赎回金额为10,109.20元。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9、基金管理人接受某笔或者某些申购申请有可能导致单一投资者持有基金份额的比例超过50%，或者变相规避50%集中度的。出现上述情形时，基金管理人有权将上述申购申请全部或部分确认失败。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8、10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（十）巨额赎回的情形及处理方式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基金份额净值为基础计算赎回金额，以此类推，直到全部赎回为止。如投资人在提交赎回申请时未作明确选择，投资人未能赎回部分作自动延期赎回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基金份额净值为基础计算赎回金额，以此类推，直到全部赎回为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（十三）基金的转托管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本基金2025年9月30日刊登公告自2025年10月13日起开通定期定额投资计划业务，具体开通销售机构名单和业务规则参见相关公告。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法律法规或监管机构另有规定的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2" w:name="_Toc231196981"/>
      <w:r>
        <w:rPr>
          <w:rFonts w:ascii="Times New Roman" w:hAnsi="Times New Roman"/>
          <w:sz w:val="30"/>
        </w:rPr>
        <w:lastRenderedPageBreak/>
        <w:t>九、基金的转换</w:t>
      </w:r>
      <w:bookmarkEnd w:id="12"/>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本基金2025年9月30日刊登公告自2025年10月13日起开放日常转换业务。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5、本基金管理人可以根据法律法规及基金合同的规定对上述转换费用收费方式和费率进行调整，并应于调整后的收费方式和费率实施前依照《信息披露办法》的有关规定在中国证监会规定媒介上公告。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w:t>
      </w:r>
      <w:r>
        <w:rPr>
          <w:rFonts w:ascii="宋体" w:hAnsi="宋体"/>
          <w:sz w:val="24"/>
        </w:rPr>
        <w:lastRenderedPageBreak/>
        <w:t>将自转入基金份额被确认日起重新开始计算。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3" w:name="_Toc231196982"/>
      <w:r>
        <w:rPr>
          <w:rFonts w:ascii="Times New Roman" w:hAnsi="Times New Roman"/>
          <w:sz w:val="30"/>
        </w:rPr>
        <w:lastRenderedPageBreak/>
        <w:t>十、基金的投资</w:t>
      </w:r>
      <w:bookmarkEnd w:id="13"/>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本基金在合理控制风险的前提下，充分发挥专业研究与管理能力，力争为投资者提供长期稳健的投资回报。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通标的股票、债券及货币市场工具等各类别资产间的分配比例，并随着各类证券风险收益特征的相对变化，在基金合同约定的范围内动态调整组合中各类资产的比例，以规避或控制市场风险，提高基金收益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上市公司的深入调研和重点分析研究，自上而下进行产业研究，寻找产业共振领域、中观逻辑中最受益的行业和公司进行重点关注。本基金精选在行业景气度、商业模式、公司质地等方面具备一定优势，推动产业趋势发展和产品升级，引领产业发展新方向的优质上市企业，主要从两个方面进行筛选：一方面，本基金从政策环境、供给侧变化、产业落地情况判断行业景气度趋势，在行业景气上行时，关注龙头标的及有弹性的投资品种，在行业景气下行时则尽量规避；另一方面，本基金关注企业商业模式的变化以及公司质地，较高的护城河壁垒是能保证长期利润率水平和净资产收益率水平的前提，优先选择平台型商业模式、公司质地优秀的企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w:t>
      </w:r>
      <w:r>
        <w:rPr>
          <w:rFonts w:ascii="宋体" w:hAnsi="宋体"/>
          <w:sz w:val="24"/>
        </w:rPr>
        <w:lastRenderedPageBreak/>
        <w:t>因素不同，本基金将借鉴市场通用估值理念，针对不同类型公司以及公司发展中所处的不同阶段，采用不同的价值评估指标对公司的内在价值进行评估，筛选出估值具有吸引力的公司作为投资目标。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本基金可通过内地与香港股票市场交易互联互通机制投资于香港股票市场。本基金优先将基本面健康、业绩向上弹性较大、具有估值优势的港股通标的股票纳入本基金的股票投资组合。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本基金可根据投资策略需要或不同配置地市场环境的变化，选择将部分基金资产投资于港股通标的股票或选择不将基金资产投资于港股通标的股票，基金资产并非必然投资港股通标的股票。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w:t>
      </w:r>
      <w:r>
        <w:rPr>
          <w:rFonts w:ascii="宋体" w:hAnsi="宋体"/>
          <w:sz w:val="24"/>
        </w:rPr>
        <w:lastRenderedPageBreak/>
        <w:t>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w:t>
      </w:r>
      <w:r>
        <w:rPr>
          <w:rFonts w:ascii="宋体" w:hAnsi="宋体"/>
          <w:sz w:val="24"/>
        </w:rPr>
        <w:lastRenderedPageBreak/>
        <w:t>金持有资产支持证券期间，如果其信用等级下降、不再符合投资标准，应在评级报告发布之日起3个月内予以全部卖出；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（14）若本基金参与股指期货交易，则：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（16）本基金投资存托凭证的比例限制依照境内上市交易的股票执行；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中证800指数收益率×70%+恒生指数收益率（人民币计价）×5%+中证综合债券指数收益率×25%</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中证800指数是由中证指数有限公司编制，该指数编制合理、透明、市场覆盖率较广，反映沪深证券市场内大中小市值公司的整体状况，具有良好的市场代表性，适合作为本基金A股资产投资的业绩比较基准。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（八）侧袋机制的实施和投资运作安排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本基金托管人中国招商银行根据本基金合同规定,于2026年04月20日复核了本报告中的财务指标、净值表现和投资组合报告等内容,保证复核内容不存在虚假记载、误导性陈述或者重大遗漏。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1,000,388,078.58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86.87</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1,000,388,078.58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86.87</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14,722,878.78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1.28</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14,722,878.78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1.28</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136,116,132.83</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11.82</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319,149.06</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1,151,546,239.25</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注：本基金本报告期末通过港股通机制投资香港股票的公允价值为393,397,798.60元，占基金资产净值比例为34.42%。</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221,018,832.62</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19.34</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314,778,489.49</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27.54</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70,868,172.64</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6.20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1,269.00</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606,990,279.98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53.10</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188,553,778.26</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16.50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78,802,934.32</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6.89</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69,697,689.04</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6.10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56,343,396.98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4.93</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合计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393,397,798.60</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34.42</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002517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恺英网络</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5,870,300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103,904,310.00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9.09</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002624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完美世界</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5,035,400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88,471,978.00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7.74</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184,400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78,802,934.32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6.89</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722,300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70,857,630.00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6.20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554,400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70,293,274.13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6.15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02331 HK</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李宁</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3,623,500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68,466,503.56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5.99</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002602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世纪华通</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3,897,446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62,203,238.16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5.44</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233,214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54,469,461.84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02269 HK</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药明生物</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1,571,000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45,802,519.14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4.01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108,200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43,463,940.00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3.80</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14,722,878.78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14,722,878.78</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145,300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14,722,878.78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231,403.45</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87,745.61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right"/>
              <w:rPr>
                <w:rFonts w:ascii="宋体" w:hAnsi="宋体"/>
                <w:color w:val="000000"/>
                <w:kern w:val="0"/>
                <w:sz w:val="25"/>
                <w:szCs w:val="24"/>
              </w:rPr>
            </w:pPr>
            <w:r>
              <w:rPr>
                <w:rFonts w:ascii="Times New Roman" w:hAnsi="Times New Roman"/>
                <w:color w:val="000000"/>
                <w:kern w:val="0"/>
                <w:sz w:val="25"/>
                <w:szCs w:val="24"/>
              </w:rPr>
              <w:t>319,149.06</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4" w:name="_Toc231196983"/>
      <w:r>
        <w:rPr>
          <w:rFonts w:ascii="Times New Roman" w:hAnsi="Times New Roman"/>
          <w:sz w:val="30"/>
        </w:rPr>
        <w:lastRenderedPageBreak/>
        <w:t>十一、基金的业绩</w:t>
      </w:r>
      <w:bookmarkEnd w:id="14"/>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25E5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A25E5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-12.11%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-10.51%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A25E5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-4.48%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2.88%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-7.36%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bl>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注：本基金的业绩比较基准为中证800指数收益率×70%+恒生指数收益率（人民币计价）×5%+中证综合债券指数收益率×25%，每日进行再平衡过程。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A25E5B" w:rsidRDefault="00E1333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交银施罗德产业臻选混合型证券投资基金</w:t>
      </w:r>
    </w:p>
    <w:p w:rsidR="00A25E5B" w:rsidRDefault="00E1333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25E5B" w:rsidRDefault="00E1333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（2025年09月01日至2026年03月31日）</w:t>
      </w:r>
    </w:p>
    <w:p w:rsidR="00A25E5B" w:rsidRDefault="00484C5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2025年9月1日，基金合同生效日至报告期期末，本基金运作时间未满一年。本基金建仓期为自基金合同生效日起的6个月。截至建仓期结束，本基金各项资产配置比例符合基金合同及招募说明书有关投资比例的约定。</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5" w:name="_Toc231196984"/>
      <w:r>
        <w:rPr>
          <w:rFonts w:ascii="Times New Roman" w:hAnsi="Times New Roman"/>
          <w:sz w:val="30"/>
        </w:rPr>
        <w:lastRenderedPageBreak/>
        <w:t>十二、基金的财产</w:t>
      </w:r>
      <w:bookmarkEnd w:id="15"/>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6" w:name="_Toc231196985"/>
      <w:r>
        <w:rPr>
          <w:rFonts w:ascii="Times New Roman" w:hAnsi="Times New Roman"/>
          <w:sz w:val="30"/>
        </w:rPr>
        <w:lastRenderedPageBreak/>
        <w:t>十三、基金资产的估值</w:t>
      </w:r>
      <w:bookmarkEnd w:id="16"/>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基金所拥有的股票、债券、资产支持证券、股指期货和其他投资等持续以公允价值计量的金融资产及负债。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w:t>
      </w:r>
      <w:r>
        <w:rPr>
          <w:rFonts w:ascii="宋体" w:hAnsi="宋体"/>
          <w:sz w:val="24"/>
        </w:rPr>
        <w:lastRenderedPageBreak/>
        <w:t>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8、同一证券同时在两个或两个以上市场交易的，按证券所处的市场分别估值。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11、本基金投资存托凭证的估值核算依照境内上市交易的股票执行。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14、相关法律法规以及监管部门有强制规定的，从其规定。如有新增事项，按国家最新规定估值。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基金管理人于每个工作日计算基金资产净值及基金份额净值，经基金托管人复核，并按规定公告。如遇特殊情况，经履行适当程序，可以适当延迟计算或公告。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基金份额净值结果发送基金托管人，经基金托管人复核无误后，由基</w:t>
      </w:r>
      <w:r>
        <w:rPr>
          <w:rFonts w:ascii="宋体" w:hAnsi="宋体"/>
          <w:sz w:val="24"/>
        </w:rPr>
        <w:lastRenderedPageBreak/>
        <w:t>金管理人依据基金合同和相关法律法规的规定对外公布。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w:t>
      </w:r>
      <w:r>
        <w:rPr>
          <w:rFonts w:ascii="宋体" w:hAnsi="宋体"/>
          <w:sz w:val="24"/>
        </w:rPr>
        <w:lastRenderedPageBreak/>
        <w:t>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w:t>
      </w:r>
      <w:r>
        <w:rPr>
          <w:rFonts w:ascii="宋体" w:hAnsi="宋体"/>
          <w:sz w:val="24"/>
        </w:rPr>
        <w:lastRenderedPageBreak/>
        <w:t>就实际向投资者或基金支付的赔偿金额，基金管理人与基金托管人按照过错程度各自承担相应的责任。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基金资产净值和基金份额净值并发送给基金托管人。基金托管人对净值计算结果复核确认后发送给基金管理人，由基金管理人依据基金合同和相关法律法规的规定对基金净值予以公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w:t>
      </w:r>
      <w:r>
        <w:rPr>
          <w:rFonts w:ascii="宋体" w:hAnsi="宋体"/>
          <w:sz w:val="24"/>
        </w:rPr>
        <w:lastRenderedPageBreak/>
        <w:t>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7" w:name="_Toc231196986"/>
      <w:r>
        <w:rPr>
          <w:rFonts w:ascii="Times New Roman" w:hAnsi="Times New Roman"/>
          <w:sz w:val="30"/>
        </w:rPr>
        <w:lastRenderedPageBreak/>
        <w:t>十四、基金收益与分配</w:t>
      </w:r>
      <w:bookmarkEnd w:id="17"/>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4、本基金每一基金份额享有同等分配权；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基金合同的约定以及对基金份额持有人利益无实质性不利影响的前提下，基金管理人可在与基金托管人协商一致，并按照监管部门要求履行适当程序后对基金收益分配原则进行调整，不需召开基金份额持有人大会，但应于变更实施日前在规定媒介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8" w:name="_Toc231196987"/>
      <w:r>
        <w:rPr>
          <w:rFonts w:ascii="Times New Roman" w:hAnsi="Times New Roman"/>
          <w:sz w:val="30"/>
        </w:rPr>
        <w:lastRenderedPageBreak/>
        <w:t>十五、基金的费用与税收</w:t>
      </w:r>
      <w:bookmarkEnd w:id="18"/>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w:t>
      </w:r>
      <w:r>
        <w:rPr>
          <w:rFonts w:ascii="宋体" w:hAnsi="宋体"/>
          <w:sz w:val="24"/>
        </w:rPr>
        <w:lastRenderedPageBreak/>
        <w:t>义务人按照国家有关税收征收的规定代扣代缴。</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19" w:name="_Toc231196988"/>
      <w:r>
        <w:rPr>
          <w:rFonts w:ascii="Times New Roman" w:hAnsi="Times New Roman"/>
          <w:sz w:val="30"/>
        </w:rPr>
        <w:lastRenderedPageBreak/>
        <w:t>十六、基金的会计与审计</w:t>
      </w:r>
      <w:bookmarkEnd w:id="19"/>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0" w:name="_Toc231196989"/>
      <w:r>
        <w:rPr>
          <w:rFonts w:ascii="Times New Roman" w:hAnsi="Times New Roman"/>
          <w:sz w:val="30"/>
        </w:rPr>
        <w:lastRenderedPageBreak/>
        <w:t>十七、基金的信息披露</w:t>
      </w:r>
      <w:bookmarkEnd w:id="20"/>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《基金合同》生效后，在开始办理基金份额申购或者赎回前，基金管理人应当至少每周在规定网站分别披露一次基金份额净值和基金份额累计净值。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在开始办理基金份额申购或者赎回后，基金管理人应当在不晚于每个开放日的次日，通过规定网站、基金销售机构网站或者营业网点分别披露开放日的基金份额净值和基金份额累计净值。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基金管理人应当在不晚于半年度和年度最后一日的次日，在规定网站披露半年度和年度最后一日基金份额净值和基金份额累计净值。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本基金发生重大事件，有关信息披露义务人应当依照《信息披露办法》的规定编制临时报告书，并登载在规定报刊和规定网站上。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（16）基金份额净值计价错误达基金份额净值百分之零点五；</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w:t>
      </w:r>
      <w:r>
        <w:rPr>
          <w:rFonts w:ascii="宋体" w:hAnsi="宋体"/>
          <w:sz w:val="24"/>
        </w:rPr>
        <w:lastRenderedPageBreak/>
        <w:t>其他公共媒介披露信息，但是其他公共媒介不得早于规定媒介披露信息，并且在不同媒介上披露同一信息的内容应当一致。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1" w:name="_Toc231196990"/>
      <w:r>
        <w:rPr>
          <w:rFonts w:ascii="Times New Roman" w:hAnsi="Times New Roman"/>
          <w:sz w:val="30"/>
        </w:rPr>
        <w:lastRenderedPageBreak/>
        <w:t>十八、侧袋机制</w:t>
      </w:r>
      <w:bookmarkEnd w:id="21"/>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25E5B" w:rsidRDefault="00E1333C">
      <w:pPr>
        <w:pStyle w:val="1"/>
        <w:snapToGrid w:val="0"/>
        <w:spacing w:beforeLines="0" w:before="240" w:after="240"/>
        <w:rPr>
          <w:rFonts w:ascii="宋体" w:hAnsi="宋体"/>
          <w:szCs w:val="30"/>
        </w:rPr>
      </w:pPr>
      <w:bookmarkStart w:id="22" w:name="_Toc231196991"/>
      <w:r>
        <w:rPr>
          <w:rFonts w:ascii="Times New Roman" w:hAnsi="Times New Roman"/>
          <w:sz w:val="30"/>
        </w:rPr>
        <w:lastRenderedPageBreak/>
        <w:t>十九、风险揭示</w:t>
      </w:r>
      <w:bookmarkEnd w:id="22"/>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基金份额净值为基础计算赎回金额，以此类推，直到全部赎回为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w:t>
      </w:r>
      <w:r>
        <w:rPr>
          <w:rFonts w:ascii="宋体" w:hAnsi="宋体"/>
          <w:sz w:val="24"/>
        </w:rPr>
        <w:lastRenderedPageBreak/>
        <w:t>跌幅限制，第六个交易日开始涨跌幅限制比例为20%。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5、投资股指期货的特定风险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6、投资资产支持证券的特定风险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7、投资流通受限证券的特定风险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8、投资港股通标的股票的特定风险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w:t>
      </w:r>
      <w:r>
        <w:rPr>
          <w:rFonts w:ascii="宋体" w:hAnsi="宋体"/>
          <w:sz w:val="24"/>
        </w:rPr>
        <w:lastRenderedPageBreak/>
        <w:t>市场制度以及交易规则等差异带来的特有风险，具体如下：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9、投资存托凭证的特定风险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w:t>
      </w:r>
      <w:r>
        <w:rPr>
          <w:rFonts w:ascii="宋体" w:hAnsi="宋体"/>
          <w:sz w:val="24"/>
        </w:rPr>
        <w:lastRenderedPageBreak/>
        <w:t>方面与境内可能存在差异的风险；境内外法律制度、监管环境差异可能导致的其他风险。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10、投资科创板股票的特定风险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（六）本基金法律文件风险收益特征表述与销售机构基金风险评价可能不一致的风险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3" w:name="_Toc231196992"/>
      <w:r>
        <w:rPr>
          <w:rFonts w:ascii="Times New Roman" w:hAnsi="Times New Roman"/>
          <w:sz w:val="30"/>
        </w:rPr>
        <w:lastRenderedPageBreak/>
        <w:t>二十、基金合同的变更、终止与基金财产的清算</w:t>
      </w:r>
      <w:bookmarkEnd w:id="23"/>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4" w:name="_Toc231196993"/>
      <w:r>
        <w:rPr>
          <w:rFonts w:ascii="Times New Roman" w:hAnsi="Times New Roman"/>
          <w:sz w:val="30"/>
        </w:rPr>
        <w:lastRenderedPageBreak/>
        <w:t>二十一、基金合同内容摘要</w:t>
      </w:r>
      <w:bookmarkEnd w:id="24"/>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w:t>
      </w:r>
      <w:r>
        <w:rPr>
          <w:rFonts w:ascii="宋体" w:hAnsi="宋体"/>
          <w:sz w:val="24"/>
        </w:rPr>
        <w:lastRenderedPageBreak/>
        <w:t>情况除外；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w:t>
      </w:r>
      <w:r>
        <w:rPr>
          <w:rFonts w:ascii="宋体" w:hAnsi="宋体"/>
          <w:sz w:val="24"/>
        </w:rPr>
        <w:lastRenderedPageBreak/>
        <w:t>无实质性不利影响的前提下，以下情况可由基金管理人和基金托管人协商后修改，不需召开基金份额持有人大会：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2）在法律法规和《基金合同》规定的范围内调整本基金的申购费率、在对现有基金份额持有人利益无实质性不利影响的前提下变更收费方式；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5）在法律法规允许的情况下，且在对现有基金份额持有人利益无实质性不利影响的前提下，在履行适当程序后，基金推出新业务或服务；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6）在符合法律法规及本基金合同规定、并且对基金份额持有人利益无实质性不利影响的前提下，增加或调整本基金份额类别的设置、对基金份额分类办法及规则进行调整；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w:t>
      </w:r>
      <w:r>
        <w:rPr>
          <w:rFonts w:ascii="宋体" w:hAnsi="宋体"/>
          <w:sz w:val="24"/>
        </w:rPr>
        <w:lastRenderedPageBreak/>
        <w:t>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w:t>
      </w:r>
      <w:r>
        <w:rPr>
          <w:rFonts w:ascii="宋体" w:hAnsi="宋体"/>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w:t>
      </w:r>
      <w:r>
        <w:rPr>
          <w:rFonts w:ascii="宋体" w:hAnsi="宋体"/>
          <w:sz w:val="24"/>
        </w:rPr>
        <w:lastRenderedPageBreak/>
        <w:t>（如果基金托管人为召集人，则为基金管理人）和公证机关的监督下按照会议通知规定的方式收取基金份额持有人的表决意见；基金托管人或基金管理人经通知不参加收取表决意见的，不影响表决效力；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w:t>
      </w:r>
      <w:r>
        <w:rPr>
          <w:rFonts w:ascii="宋体" w:hAnsi="宋体"/>
          <w:sz w:val="24"/>
        </w:rPr>
        <w:lastRenderedPageBreak/>
        <w:t>介上公告。如果采用通讯方式进行表决，在公告基金份额持有人大会决议时，必须将公证书全文、公证机构、公证员姓名等一同公告。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（4）基金财产清算程序：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各方当事人同意，因《基金合同》而产生的或与《基金合同》有关的一切争议，如经友好协商未能解决的，任何一方均有权将争议提交深圳国际仲裁院，按照</w:t>
      </w:r>
      <w:r w:rsidRPr="00BB248E">
        <w:rPr>
          <w:rFonts w:ascii="宋体" w:hAnsi="宋体" w:hint="eastAsia"/>
          <w:b/>
          <w:kern w:val="0"/>
          <w:sz w:val="24"/>
        </w:rPr>
        <w:lastRenderedPageBreak/>
        <w:t>深圳国际仲裁院届时有效的仲裁规则进行仲裁。仲裁地点为深圳市。仲裁裁决是终局的，对各方当事人均有约束力，除非仲裁裁决另有规定，仲裁费用由败诉方承担。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《基金合同》受中国法律（为本基金合同之目的，不含港澳台地区法律）管辖并从其解释。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5" w:name="_Toc231196994"/>
      <w:r>
        <w:rPr>
          <w:rFonts w:ascii="Times New Roman" w:hAnsi="Times New Roman"/>
          <w:sz w:val="30"/>
        </w:rPr>
        <w:lastRenderedPageBreak/>
        <w:t>二十二、托管协议的内容摘要</w:t>
      </w:r>
      <w:bookmarkEnd w:id="25"/>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w:t>
      </w:r>
      <w:r>
        <w:rPr>
          <w:rFonts w:ascii="宋体" w:hAnsi="宋体"/>
          <w:sz w:val="24"/>
        </w:rPr>
        <w:lastRenderedPageBreak/>
        <w:t>地和香港同时上市的A+H股合计计算），不超过该证券的10％，完全按照有关指数的构成比例进行证券投资的基金品种可以不受此条款规定的比例限制；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14）若本基金参与股指期货交易，则：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w:t>
      </w:r>
      <w:r>
        <w:rPr>
          <w:rFonts w:ascii="宋体" w:hAnsi="宋体"/>
          <w:sz w:val="24"/>
        </w:rPr>
        <w:lastRenderedPageBreak/>
        <w:t>和，不得超过基金资产净值的95%。其中，有价证券指股票、债券（不含到期日在一年以内的政府债券）、资产支持证券、买入返售金融资产（不含质押式回购）等；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（5）法律法规或监管部门取消或变更上述投资组合比例限制，如适用于本基金，基金管理人在履行适当程序后，则本基金投资不再受相关限制或以变更后的规定为准。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3、基金投资银行存款协议的签订、账户开设与管理、投资指令与资金划付、账目核对、到期兑付、提前支取、基金投资银行存款的监督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的格式范本由基金托管人、基金管理人、存款银行总行或其授权分行共同商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6）基金管理人应在《存款协议书》中规定，在存期内，如本基金银行账户、预留印鉴发生变更，基金管理人应及时书面通知存款银行，书面通知应加盖基金托</w:t>
      </w:r>
      <w:r>
        <w:rPr>
          <w:rFonts w:ascii="宋体" w:hAnsi="宋体"/>
          <w:sz w:val="24"/>
        </w:rPr>
        <w:lastRenderedPageBreak/>
        <w:t>管人预留印鉴。存款分支机构应及时就变更事项向基金管理人、基金托管人出具正式书面确认书。变更通知的送达方式同开户手续。在存期内，存款分支机构和基金托管人的指定联系人变更，应及时加盖公章书面通知对方及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1）基金投资于银行存款时，基金管理人应当依据基金管理人与存款银行签订的《总体合作协议》和《存款协议书》等，以基金的名义在存款银行总行或授权分行指定的分支机构开立银行账户。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存款凭证在邮寄过程中遗失的，由基金管理人向存款银行提出补办申请，基金管理人应督促存款银行尽快补办存款凭证，并按以上1）的方式快递或上门交付至基金托管人，原存款凭证自动作废。</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中国人民银行查询查复的有关时限要求及时回复。基金管理人有责任督促存款银行及时回复查询查复。</w:t>
      </w:r>
      <w:r>
        <w:rPr>
          <w:rFonts w:ascii="宋体" w:hAnsi="宋体"/>
          <w:sz w:val="24"/>
        </w:rPr>
        <w:lastRenderedPageBreak/>
        <w:t>因存款银行未及时回复造成的资金被挪用、盗取的责任由存款银行承担。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w:t>
      </w:r>
      <w:r>
        <w:rPr>
          <w:rFonts w:ascii="宋体" w:hAnsi="宋体"/>
          <w:sz w:val="24"/>
        </w:rPr>
        <w:lastRenderedPageBreak/>
        <w:t>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提前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损失和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本基金不得投资有锁定期但锁定期不明确的证券。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相应损失。对本基金因投资流通受限证券导致的流动性风险，基金托管人不承担任何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非公开发行股票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（5）基金管理人应在基金投资非公开发行股票后按照法律法规规定的期限，</w:t>
      </w:r>
      <w:r>
        <w:rPr>
          <w:rFonts w:ascii="宋体" w:hAnsi="宋体"/>
          <w:sz w:val="24"/>
        </w:rPr>
        <w:lastRenderedPageBreak/>
        <w:t>在中国证监会规定媒介披露所投资非公开发行股票的名称、数量、总成本、账面价值，以及总成本和账面价值占基金资产净值的比例、锁定期等信息。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及基金份额净值计算、基金费用开支及收入确定、基金收益分配、相关信息披露、基金宣传推介材料中登载基金业绩表现数据等进行监督和核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w:t>
      </w:r>
      <w:r>
        <w:rPr>
          <w:rFonts w:ascii="宋体" w:hAnsi="宋体"/>
          <w:sz w:val="24"/>
        </w:rPr>
        <w:lastRenderedPageBreak/>
        <w:t>意见后，可以依照法律法规及基金合同的约定启用侧袋机制。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（3）基金托管人按照规定开设基金财产的资金账户、证券账户等投资所需的相关账户。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（4）基金托管人对所托管的不同基金财产分别设置账户，独立核算，分账管</w:t>
      </w:r>
      <w:r>
        <w:rPr>
          <w:rFonts w:ascii="宋体" w:hAnsi="宋体"/>
          <w:sz w:val="24"/>
        </w:rPr>
        <w:lastRenderedPageBreak/>
        <w:t>理，确保基金财产的完整与独立。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（3）若基金募集期限届满，未能达到基金合同生效的条件，由基金管理人按规定办理退款等事宜，基金托管人应当予以必要的协助和配合。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产业臻选混合型证券投资基金”，预留印鉴为</w:t>
      </w:r>
      <w:r>
        <w:rPr>
          <w:rFonts w:ascii="宋体" w:hAnsi="宋体"/>
          <w:sz w:val="24"/>
        </w:rPr>
        <w:lastRenderedPageBreak/>
        <w:t>基金托管人印章。</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w:t>
      </w:r>
      <w:r>
        <w:rPr>
          <w:rFonts w:ascii="宋体" w:hAnsi="宋体"/>
          <w:sz w:val="24"/>
        </w:rPr>
        <w:lastRenderedPageBreak/>
        <w:t>密码重置由基金管理人进行，重置后务必及时通知基金托管人。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基金资产净值是指基金资产总值减去基金负债后的价值。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额数量计算，精确到0.0001元，小数点后第五位四舍五入。基金管理人可以设立大额赎回情形下的净值精度应急调整机制，具体可参见相关公告。国家另有规定的，从其规定。</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基金管理人于每个工作日计算基金资产净值、基金份额净值，经基金托管人复核，按规定公告，但基金管理人根据法律法规或基金合同的规定暂停估值时除外。</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基金管理人每个工作日对基金资产进行估值后，将基金资产净值、基金份额净值发送基金托管人，经基金托管人复核无误后，由基金管理人依据基金合同和相关法律法规的规定对外公布。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基金管理人及基金托管人应当按照《基金合同》的约定处理基金份额净值错误。</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基金托管人在收到基金管理人编制的基金财务报表后，进行独立的复核。核对不符时，应及时通知基金管理人共同查出原因，进行调整，直至双方数据完全一致。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w:t>
      </w:r>
      <w:r>
        <w:rPr>
          <w:rFonts w:ascii="宋体" w:hAnsi="宋体"/>
          <w:sz w:val="24"/>
        </w:rPr>
        <w:lastRenderedPageBreak/>
        <w:t>事人均有约束力，除非仲裁裁决另有规定，仲裁费用由败诉方承担。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本协议受中华人民共和国法律（为本托管协议之目的，不含港澳台地区法律）管辖并从其解释。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本协议双方当事人经协商一致，可以对协议进行修改。修改后的新协议，其内容不得与基金合同的规定有任何冲突。基金托管协议的变更应按规定报中国证监会备案。</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6" w:name="_Toc231196995"/>
      <w:r>
        <w:rPr>
          <w:rFonts w:ascii="Times New Roman" w:hAnsi="Times New Roman"/>
          <w:sz w:val="30"/>
        </w:rPr>
        <w:lastRenderedPageBreak/>
        <w:t>二十三、对基金份额持有人的服务</w:t>
      </w:r>
      <w:bookmarkEnd w:id="26"/>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7" w:name="_Toc231196996"/>
      <w:r>
        <w:rPr>
          <w:rFonts w:ascii="Times New Roman" w:hAnsi="Times New Roman"/>
          <w:sz w:val="30"/>
        </w:rPr>
        <w:lastRenderedPageBreak/>
        <w:t>二十四、其他应披露事项</w:t>
      </w:r>
      <w:bookmarkEnd w:id="27"/>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交银施罗德产业臻选混合型证券投资基金基金合同及招募说明书提示性公告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交银施罗德产业臻选混合型证券投资基金基金合同摘要</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交银施罗德基金管理有限公司关于交银施罗德产业臻选混合型证券投资基金提前结束募集的公告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2025-08-28</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交银施罗德基金管理有限公司关于交银施罗德产业臻选混合型证券投资基金基金合同生效公告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交银施罗德基金管理有限公司关于交银施罗德产业臻选混合型证券投资基金开放日常申购、赎回、转换、定期定额投资业务的公告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2025-09-30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25E5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交银施罗德产业臻选混合型证券投资基金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25E5B" w:rsidRDefault="00E133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8" w:name="_Toc231196997"/>
      <w:r>
        <w:rPr>
          <w:rFonts w:ascii="Times New Roman" w:hAnsi="Times New Roman"/>
          <w:sz w:val="30"/>
        </w:rPr>
        <w:lastRenderedPageBreak/>
        <w:t>二十五、招募说明书的存放及查阅方式</w:t>
      </w:r>
      <w:bookmarkEnd w:id="28"/>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133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25E5B" w:rsidRDefault="00E1333C">
      <w:pPr>
        <w:pStyle w:val="1"/>
        <w:snapToGrid w:val="0"/>
        <w:spacing w:beforeLines="0" w:before="240" w:after="240"/>
        <w:rPr>
          <w:rFonts w:ascii="宋体" w:hAnsi="宋体"/>
          <w:szCs w:val="30"/>
        </w:rPr>
      </w:pPr>
      <w:bookmarkStart w:id="29" w:name="_Toc231196998"/>
      <w:r>
        <w:rPr>
          <w:rFonts w:ascii="Times New Roman" w:hAnsi="Times New Roman"/>
          <w:sz w:val="30"/>
        </w:rPr>
        <w:lastRenderedPageBreak/>
        <w:t>二十六、备查文件</w:t>
      </w:r>
      <w:bookmarkEnd w:id="29"/>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（一）中国证监会准予交银施罗德产业臻选混合型证券投资基金募集注册的文件</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（二）《交银施罗德产业臻选混合型证券投资基金基金合同》</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（三）《交银施罗德产业臻选混合型证券投资基金托管协议》</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25E5B" w:rsidRDefault="00E133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（六）关于申请募集注册交银施罗德产业臻选混合型证券投资基金的法律意见书</w:t>
      </w:r>
    </w:p>
    <w:sectPr w:rsidR="00A25E5B">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1CA" w:rsidRDefault="00E1333C">
      <w:r>
        <w:separator/>
      </w:r>
    </w:p>
  </w:endnote>
  <w:endnote w:type="continuationSeparator" w:id="0">
    <w:p w:rsidR="00AB61CA" w:rsidRDefault="00E1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A25E5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484C5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A25E5B" w:rsidRDefault="00E1333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84C5F">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A25E5B">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484C5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A25E5B" w:rsidRDefault="00E1333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84C5F">
                  <w:rPr>
                    <w:rFonts w:ascii="Times New Roman" w:hAnsi="Times New Roman"/>
                    <w:noProof/>
                    <w:kern w:val="0"/>
                    <w:sz w:val="18"/>
                    <w:szCs w:val="18"/>
                  </w:rPr>
                  <w:t>139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1CA" w:rsidRDefault="00E1333C">
      <w:r>
        <w:separator/>
      </w:r>
    </w:p>
  </w:footnote>
  <w:footnote w:type="continuationSeparator" w:id="0">
    <w:p w:rsidR="00AB61CA" w:rsidRDefault="00E13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A25E5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E1333C">
    <w:pPr>
      <w:pStyle w:val="a3"/>
      <w:jc w:val="right"/>
      <w:rPr>
        <w:rFonts w:ascii="宋体" w:hAnsi="宋体"/>
      </w:rPr>
    </w:pPr>
    <w:r>
      <w:rPr>
        <w:rFonts w:ascii="宋体" w:hAnsi="宋体" w:hint="eastAsia"/>
      </w:rPr>
      <w:t>交银施罗德产业臻选混合型证券投资基金招募说明书更新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A25E5B">
    <w:pPr>
      <w:pStyle w:val="10"/>
      <w:jc w:val="right"/>
    </w:pPr>
  </w:p>
  <w:p w:rsidR="00A25E5B" w:rsidRDefault="00A25E5B">
    <w:pPr>
      <w:pStyle w:val="10"/>
      <w:jc w:val="right"/>
    </w:pPr>
  </w:p>
  <w:p w:rsidR="00A25E5B" w:rsidRDefault="00A25E5B">
    <w:pPr>
      <w:pStyle w:val="a3"/>
      <w:jc w:val="right"/>
    </w:pPr>
  </w:p>
  <w:p w:rsidR="00A25E5B" w:rsidRDefault="00E1333C">
    <w:pPr>
      <w:pStyle w:val="a3"/>
      <w:jc w:val="right"/>
      <w:rPr>
        <w:rFonts w:ascii="宋体" w:hAnsi="宋体"/>
      </w:rPr>
    </w:pPr>
    <w:r>
      <w:rPr>
        <w:rFonts w:ascii="宋体" w:hAnsi="宋体" w:hint="eastAsia"/>
      </w:rPr>
      <w:t>交银施罗德产业臻选混合型证券投资基金招募说明书更新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5B" w:rsidRDefault="00A25E5B">
    <w:pPr>
      <w:pStyle w:val="a3"/>
      <w:jc w:val="right"/>
    </w:pPr>
  </w:p>
  <w:p w:rsidR="00A25E5B" w:rsidRDefault="00A25E5B">
    <w:pPr>
      <w:pStyle w:val="a3"/>
      <w:jc w:val="right"/>
    </w:pPr>
  </w:p>
  <w:p w:rsidR="00A25E5B" w:rsidRDefault="00A25E5B">
    <w:pPr>
      <w:pStyle w:val="a3"/>
      <w:jc w:val="right"/>
    </w:pPr>
  </w:p>
  <w:p w:rsidR="00A25E5B" w:rsidRDefault="00E1333C">
    <w:pPr>
      <w:pStyle w:val="a3"/>
      <w:jc w:val="right"/>
      <w:rPr>
        <w:rFonts w:ascii="宋体" w:hAnsi="宋体"/>
      </w:rPr>
    </w:pPr>
    <w:r>
      <w:rPr>
        <w:rFonts w:ascii="宋体" w:hAnsi="宋体" w:hint="eastAsia"/>
      </w:rPr>
      <w:t>交银施罗德产业臻选混合型证券投资基金招募说明书更新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4C5F"/>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5E5B"/>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61CA"/>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33C"/>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19A8A444-A5CE-40FA-8A7D-2430EEFD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140</Pages>
  <Words>15109</Words>
  <Characters>86127</Characters>
  <Application>Microsoft Office Word</Application>
  <DocSecurity>0</DocSecurity>
  <Lines>717</Lines>
  <Paragraphs>202</Paragraphs>
  <ScaleCrop>false</ScaleCrop>
  <Company>Microsoft</Company>
  <LinksUpToDate>false</LinksUpToDate>
  <CharactersWithSpaces>101034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2026-06-01T01:02:00Z</dcterms:created>
  <dcterms:modified xsi:type="dcterms:W3CDTF">2026-06-01T01:02:00Z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