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D1221">
      <w:pPr>
        <w:rPr>
          <w:sz w:val="32"/>
        </w:rPr>
      </w:pPr>
    </w:p>
    <w:p w:rsidR="00C92FC0" w:rsidRPr="00EB07BC" w:rsidRDefault="008D1221">
      <w:pPr>
        <w:rPr>
          <w:sz w:val="32"/>
        </w:rPr>
      </w:pPr>
    </w:p>
    <w:p w:rsidR="00C92FC0" w:rsidRPr="00EB07BC" w:rsidRDefault="008D1221">
      <w:pPr>
        <w:rPr>
          <w:sz w:val="32"/>
        </w:rPr>
      </w:pPr>
    </w:p>
    <w:p w:rsidR="00334D8E" w:rsidRDefault="00334D8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34D8E" w:rsidRDefault="00334D8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34D8E" w:rsidRDefault="00334D8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34D8E" w:rsidRDefault="00AB0B27">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交银施罗德天益宝货币市场基金</w:t>
      </w:r>
    </w:p>
    <w:p w:rsidR="00334D8E" w:rsidRDefault="00AB0B27">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34D8E" w:rsidRDefault="00334D8E">
      <w:pPr>
        <w:snapToGrid w:val="0"/>
        <w:spacing w:line="360" w:lineRule="auto"/>
        <w:jc w:val="center"/>
        <w:rPr>
          <w:rFonts w:ascii="宋体" w:hAnsi="宋体"/>
          <w:b/>
          <w:sz w:val="30"/>
          <w:szCs w:val="30"/>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AB0B2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34D8E" w:rsidRDefault="00AB0B2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基金托管人：中国工商银行股份有限公司</w:t>
      </w: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334D8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34D8E" w:rsidRDefault="00AB0B27">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334D8E" w:rsidRDefault="00334D8E">
      <w:pPr>
        <w:autoSpaceDE w:val="0"/>
        <w:autoSpaceDN w:val="0"/>
        <w:adjustRightInd w:val="0"/>
        <w:snapToGrid w:val="0"/>
        <w:spacing w:line="360" w:lineRule="auto"/>
        <w:ind w:left="1347" w:rightChars="6" w:right="13"/>
        <w:rPr>
          <w:rFonts w:ascii="宋体" w:hAnsi="宋体"/>
          <w:kern w:val="0"/>
          <w:sz w:val="32"/>
          <w:szCs w:val="32"/>
        </w:rPr>
        <w:sectPr w:rsidR="00334D8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34D8E" w:rsidRDefault="00AB0B27">
      <w:pPr>
        <w:pStyle w:val="1"/>
        <w:snapToGrid w:val="0"/>
        <w:spacing w:beforeLines="0" w:before="240" w:after="240"/>
        <w:rPr>
          <w:rFonts w:ascii="宋体" w:hAnsi="宋体"/>
          <w:kern w:val="0"/>
        </w:rPr>
      </w:pPr>
      <w:bookmarkStart w:id="0" w:name="_Toc324920538"/>
      <w:bookmarkStart w:id="1" w:name="_Toc496884613"/>
      <w:bookmarkStart w:id="2" w:name="_Toc231283847"/>
      <w:r>
        <w:rPr>
          <w:rFonts w:ascii="Times New Roman" w:hAnsi="Times New Roman"/>
          <w:kern w:val="0"/>
        </w:rPr>
        <w:lastRenderedPageBreak/>
        <w:t>重要提示</w:t>
      </w:r>
      <w:bookmarkEnd w:id="0"/>
      <w:bookmarkEnd w:id="1"/>
      <w:bookmarkEnd w:id="2"/>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交银施罗德天益宝货币市场基金（以下简称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2776</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日正式生效。</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本基金特有的其他风险等等。本基金属于货币市场基金，长期风险收益水平低于股票型基金、混合型基金和债券型基金。</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当影子定价确定的基金资产净值与摊余成本法计算的基金资产净值的正偏离度绝对值达到</w:t>
      </w:r>
      <w:r>
        <w:rPr>
          <w:rFonts w:ascii="Times New Roman" w:hAnsi="Times New Roman"/>
          <w:kern w:val="0"/>
          <w:sz w:val="24"/>
        </w:rPr>
        <w:t>0.5%</w:t>
      </w:r>
      <w:r>
        <w:rPr>
          <w:rFonts w:ascii="Times New Roman" w:hAnsi="Times New Roman"/>
          <w:kern w:val="0"/>
          <w:sz w:val="24"/>
        </w:rPr>
        <w:t>时，基金管理人应当暂停接受申购并在</w:t>
      </w:r>
      <w:r>
        <w:rPr>
          <w:rFonts w:ascii="Times New Roman" w:hAnsi="Times New Roman"/>
          <w:kern w:val="0"/>
          <w:sz w:val="24"/>
        </w:rPr>
        <w:t>5</w:t>
      </w:r>
      <w:r>
        <w:rPr>
          <w:rFonts w:ascii="Times New Roman" w:hAnsi="Times New Roman"/>
          <w:kern w:val="0"/>
          <w:sz w:val="24"/>
        </w:rPr>
        <w:t>个交易日内将正偏离度绝对值调整到</w:t>
      </w:r>
      <w:r>
        <w:rPr>
          <w:rFonts w:ascii="Times New Roman" w:hAnsi="Times New Roman"/>
          <w:kern w:val="0"/>
          <w:sz w:val="24"/>
        </w:rPr>
        <w:t>0.5%</w:t>
      </w:r>
      <w:r>
        <w:rPr>
          <w:rFonts w:ascii="Times New Roman" w:hAnsi="Times New Roman"/>
          <w:kern w:val="0"/>
          <w:sz w:val="24"/>
        </w:rPr>
        <w:t>以内。故投资者可能面临暂停申购的风险。当负偏离度绝对值连续两个交易日超过</w:t>
      </w:r>
      <w:r>
        <w:rPr>
          <w:rFonts w:ascii="Times New Roman" w:hAnsi="Times New Roman"/>
          <w:kern w:val="0"/>
          <w:sz w:val="24"/>
        </w:rPr>
        <w:t>0.5%</w:t>
      </w:r>
      <w:r>
        <w:rPr>
          <w:rFonts w:ascii="Times New Roman" w:hAnsi="Times New Roman"/>
          <w:kern w:val="0"/>
          <w:sz w:val="24"/>
        </w:rPr>
        <w:t>时，基金管理人应当采用公允价值估值方法对持有投</w:t>
      </w:r>
      <w:r>
        <w:rPr>
          <w:rFonts w:ascii="Times New Roman" w:hAnsi="Times New Roman"/>
          <w:kern w:val="0"/>
          <w:sz w:val="24"/>
        </w:rPr>
        <w:lastRenderedPageBreak/>
        <w:t>资组合的账面价值进行调整，或者采取暂停接受所有赎回申请并终止基金合同进行财产清算等措施。故投资者可能面临上述估值调整或暂停赎回及基金合同提前终止的风险。</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在满足相关流动性风险管理要求的前提下，当本基金持有的现金、国债、中央银行票据、政策性金融债券以及</w:t>
      </w:r>
      <w:r>
        <w:rPr>
          <w:rFonts w:ascii="Times New Roman" w:hAnsi="Times New Roman"/>
          <w:kern w:val="0"/>
          <w:sz w:val="24"/>
        </w:rPr>
        <w:t>5</w:t>
      </w:r>
      <w:r>
        <w:rPr>
          <w:rFonts w:ascii="Times New Roman" w:hAnsi="Times New Roman"/>
          <w:kern w:val="0"/>
          <w:sz w:val="24"/>
        </w:rPr>
        <w:t>个交易日内到期的其他金融工具占基金资产净值的比例合计低于</w:t>
      </w:r>
      <w:r>
        <w:rPr>
          <w:rFonts w:ascii="Times New Roman" w:hAnsi="Times New Roman"/>
          <w:kern w:val="0"/>
          <w:sz w:val="24"/>
        </w:rPr>
        <w:t>5%</w:t>
      </w:r>
      <w:r>
        <w:rPr>
          <w:rFonts w:ascii="Times New Roman" w:hAnsi="Times New Roman"/>
          <w:kern w:val="0"/>
          <w:sz w:val="24"/>
        </w:rPr>
        <w:t>且偏离度为负时，当日单个基金份额持有人申请赎回基金份额超过基金总份额</w:t>
      </w:r>
      <w:r>
        <w:rPr>
          <w:rFonts w:ascii="Times New Roman" w:hAnsi="Times New Roman"/>
          <w:kern w:val="0"/>
          <w:sz w:val="24"/>
        </w:rPr>
        <w:t>1%</w:t>
      </w:r>
      <w:r>
        <w:rPr>
          <w:rFonts w:ascii="Times New Roman" w:hAnsi="Times New Roman"/>
          <w:kern w:val="0"/>
          <w:sz w:val="24"/>
        </w:rPr>
        <w:t>以上的，该基金份额持有人可能面临被征收</w:t>
      </w:r>
      <w:r>
        <w:rPr>
          <w:rFonts w:ascii="Times New Roman" w:hAnsi="Times New Roman"/>
          <w:kern w:val="0"/>
          <w:sz w:val="24"/>
        </w:rPr>
        <w:t>1%</w:t>
      </w:r>
      <w:r>
        <w:rPr>
          <w:rFonts w:ascii="Times New Roman" w:hAnsi="Times New Roman"/>
          <w:kern w:val="0"/>
          <w:sz w:val="24"/>
        </w:rPr>
        <w:t>的强制赎回费用的风险，上述赎回费用全额计入基金财产；当本基金前</w:t>
      </w:r>
      <w:r>
        <w:rPr>
          <w:rFonts w:ascii="Times New Roman" w:hAnsi="Times New Roman"/>
          <w:kern w:val="0"/>
          <w:sz w:val="24"/>
        </w:rPr>
        <w:t xml:space="preserve">10 </w:t>
      </w:r>
      <w:r>
        <w:rPr>
          <w:rFonts w:ascii="Times New Roman" w:hAnsi="Times New Roman"/>
          <w:kern w:val="0"/>
          <w:sz w:val="24"/>
        </w:rPr>
        <w:t>名基金份额持有人的持有份额合计超过基金总份额</w:t>
      </w:r>
      <w:r>
        <w:rPr>
          <w:rFonts w:ascii="Times New Roman" w:hAnsi="Times New Roman"/>
          <w:kern w:val="0"/>
          <w:sz w:val="24"/>
        </w:rPr>
        <w:t>50%</w:t>
      </w:r>
      <w:r>
        <w:rPr>
          <w:rFonts w:ascii="Times New Roman" w:hAnsi="Times New Roman"/>
          <w:kern w:val="0"/>
          <w:sz w:val="24"/>
        </w:rPr>
        <w:t>，且本基金投资组合中现金、国债、中央银行票据、政策性金融债券以及</w:t>
      </w:r>
      <w:r>
        <w:rPr>
          <w:rFonts w:ascii="Times New Roman" w:hAnsi="Times New Roman"/>
          <w:kern w:val="0"/>
          <w:sz w:val="24"/>
        </w:rPr>
        <w:t xml:space="preserve">5 </w:t>
      </w:r>
      <w:r>
        <w:rPr>
          <w:rFonts w:ascii="Times New Roman" w:hAnsi="Times New Roman"/>
          <w:kern w:val="0"/>
          <w:sz w:val="24"/>
        </w:rPr>
        <w:t>个交易日内到期的其他金融工具占基金资产净值的比例合计低于</w:t>
      </w:r>
      <w:r>
        <w:rPr>
          <w:rFonts w:ascii="Times New Roman" w:hAnsi="Times New Roman"/>
          <w:kern w:val="0"/>
          <w:sz w:val="24"/>
        </w:rPr>
        <w:t>10%</w:t>
      </w:r>
      <w:r>
        <w:rPr>
          <w:rFonts w:ascii="Times New Roman" w:hAnsi="Times New Roman"/>
          <w:kern w:val="0"/>
          <w:sz w:val="24"/>
        </w:rPr>
        <w:t>且偏离度为负时，基金管理人应当对当日单个基金份额持有人超过基金总份额</w:t>
      </w:r>
      <w:r>
        <w:rPr>
          <w:rFonts w:ascii="Times New Roman" w:hAnsi="Times New Roman"/>
          <w:kern w:val="0"/>
          <w:sz w:val="24"/>
        </w:rPr>
        <w:t>1%</w:t>
      </w:r>
      <w:r>
        <w:rPr>
          <w:rFonts w:ascii="Times New Roman" w:hAnsi="Times New Roman"/>
          <w:kern w:val="0"/>
          <w:sz w:val="24"/>
        </w:rPr>
        <w:t>以上的赎回申请征收</w:t>
      </w:r>
      <w:r>
        <w:rPr>
          <w:rFonts w:ascii="Times New Roman" w:hAnsi="Times New Roman"/>
          <w:kern w:val="0"/>
          <w:sz w:val="24"/>
        </w:rPr>
        <w:t>1%</w:t>
      </w:r>
      <w:r>
        <w:rPr>
          <w:rFonts w:ascii="Times New Roman" w:hAnsi="Times New Roman"/>
          <w:kern w:val="0"/>
          <w:sz w:val="24"/>
        </w:rPr>
        <w:t>的强制赎回费用，并将上述赎回费用全额计入基金财产。故投资者可能面临上述被征收</w:t>
      </w:r>
      <w:r>
        <w:rPr>
          <w:rFonts w:ascii="Times New Roman" w:hAnsi="Times New Roman"/>
          <w:kern w:val="0"/>
          <w:sz w:val="24"/>
        </w:rPr>
        <w:t>1%</w:t>
      </w:r>
      <w:r>
        <w:rPr>
          <w:rFonts w:ascii="Times New Roman" w:hAnsi="Times New Roman"/>
          <w:kern w:val="0"/>
          <w:sz w:val="24"/>
        </w:rPr>
        <w:t>的强制赎回费用的风险。此外，单个基金份额持有人在单个开放日申请赎回基金份额超过基金总份额</w:t>
      </w:r>
      <w:r>
        <w:rPr>
          <w:rFonts w:ascii="Times New Roman" w:hAnsi="Times New Roman"/>
          <w:kern w:val="0"/>
          <w:sz w:val="24"/>
        </w:rPr>
        <w:t>10%</w:t>
      </w:r>
      <w:r>
        <w:rPr>
          <w:rFonts w:ascii="Times New Roman" w:hAnsi="Times New Roman"/>
          <w:kern w:val="0"/>
          <w:sz w:val="24"/>
        </w:rPr>
        <w:t>的，该基金份额持有人可能面临延期办理部分赎回申请或者延缓支付赎回款项的风险。</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投资者购买本货币市场基金并不等于将资金作为存款存放在银行或存款类金融机构，基金管理人不保证基金一定盈利，也不保证最低收益。</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34D8E" w:rsidRDefault="00AB0B2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334D8E" w:rsidRDefault="00334D8E">
      <w:pPr>
        <w:autoSpaceDE w:val="0"/>
        <w:autoSpaceDN w:val="0"/>
        <w:adjustRightInd w:val="0"/>
        <w:snapToGrid w:val="0"/>
        <w:spacing w:before="51" w:line="360" w:lineRule="auto"/>
        <w:ind w:left="120" w:rightChars="6" w:right="13" w:firstLine="480"/>
        <w:rPr>
          <w:rFonts w:ascii="宋体" w:hAnsi="宋体"/>
          <w:kern w:val="0"/>
          <w:szCs w:val="24"/>
        </w:rPr>
        <w:sectPr w:rsidR="00334D8E">
          <w:headerReference w:type="default" r:id="rId14"/>
          <w:pgSz w:w="11920" w:h="16840"/>
          <w:pgMar w:top="1440" w:right="1680" w:bottom="280" w:left="1680" w:header="0" w:footer="1073" w:gutter="0"/>
          <w:pgNumType w:start="1"/>
          <w:cols w:space="720"/>
        </w:sectPr>
      </w:pPr>
    </w:p>
    <w:p w:rsidR="008D1221" w:rsidRPr="008D1221" w:rsidRDefault="00AB0B27" w:rsidP="008D1221">
      <w:pPr>
        <w:pStyle w:val="ad"/>
        <w:snapToGrid w:val="0"/>
        <w:spacing w:after="240" w:line="360" w:lineRule="auto"/>
        <w:jc w:val="center"/>
        <w:rPr>
          <w:rFonts w:ascii="宋体" w:hAnsi="宋体"/>
          <w:noProof/>
          <w:sz w:val="24"/>
        </w:rPr>
      </w:pPr>
      <w:r w:rsidRPr="008D1221">
        <w:rPr>
          <w:rFonts w:ascii="宋体" w:hAnsi="宋体"/>
          <w:color w:val="000000"/>
          <w:position w:val="-4"/>
          <w:sz w:val="24"/>
          <w:szCs w:val="30"/>
        </w:rPr>
        <w:lastRenderedPageBreak/>
        <w:t>目</w:t>
      </w:r>
      <w:r w:rsidRPr="008D1221">
        <w:rPr>
          <w:rFonts w:ascii="宋体" w:hAnsi="宋体"/>
          <w:color w:val="000000"/>
          <w:position w:val="-4"/>
          <w:sz w:val="24"/>
          <w:szCs w:val="30"/>
        </w:rPr>
        <w:tab/>
        <w:t>录</w:t>
      </w:r>
      <w:r w:rsidR="008D1221" w:rsidRPr="008D1221">
        <w:rPr>
          <w:rFonts w:ascii="宋体" w:hAnsi="宋体"/>
          <w:color w:val="000000"/>
          <w:position w:val="-4"/>
          <w:sz w:val="24"/>
          <w:szCs w:val="30"/>
        </w:rPr>
        <w:fldChar w:fldCharType="begin"/>
      </w:r>
      <w:r w:rsidR="008D1221" w:rsidRPr="008D1221">
        <w:rPr>
          <w:rFonts w:ascii="宋体" w:hAnsi="宋体"/>
          <w:color w:val="000000"/>
          <w:position w:val="-4"/>
          <w:sz w:val="24"/>
          <w:szCs w:val="30"/>
        </w:rPr>
        <w:instrText xml:space="preserve"> TOC \o "1-3" \f - \h \t "-1" </w:instrText>
      </w:r>
      <w:r w:rsidR="008D1221" w:rsidRPr="008D1221">
        <w:rPr>
          <w:rFonts w:ascii="宋体" w:hAnsi="宋体"/>
          <w:color w:val="000000"/>
          <w:position w:val="-4"/>
          <w:sz w:val="24"/>
          <w:szCs w:val="30"/>
        </w:rPr>
        <w:fldChar w:fldCharType="separate"/>
      </w:r>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47" w:history="1">
        <w:r w:rsidRPr="008D1221">
          <w:rPr>
            <w:rStyle w:val="aa"/>
            <w:rFonts w:ascii="宋体" w:hAnsi="宋体" w:hint="eastAsia"/>
            <w:noProof/>
            <w:kern w:val="0"/>
            <w:sz w:val="24"/>
          </w:rPr>
          <w:t>重要提示</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_Toc231283847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48" w:history="1">
        <w:r w:rsidRPr="008D1221">
          <w:rPr>
            <w:rStyle w:val="aa"/>
            <w:rFonts w:ascii="宋体" w:hAnsi="宋体" w:hint="eastAsia"/>
            <w:noProof/>
            <w:sz w:val="24"/>
          </w:rPr>
          <w:t>一、绪言</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_Toc231283848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4</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49" w:history="1">
        <w:r w:rsidRPr="008D1221">
          <w:rPr>
            <w:rStyle w:val="aa"/>
            <w:rFonts w:ascii="宋体" w:hAnsi="宋体" w:hint="eastAsia"/>
            <w:noProof/>
            <w:sz w:val="24"/>
          </w:rPr>
          <w:t>二、释义</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_Toc231283849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5</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0" w:history="1">
        <w:r w:rsidRPr="008D1221">
          <w:rPr>
            <w:rStyle w:val="aa"/>
            <w:rFonts w:ascii="宋体" w:hAnsi="宋体" w:hint="eastAsia"/>
            <w:noProof/>
            <w:sz w:val="24"/>
          </w:rPr>
          <w:t>三、基金管理人</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_Toc231283850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10</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1" w:history="1">
        <w:r w:rsidRPr="008D1221">
          <w:rPr>
            <w:rStyle w:val="aa"/>
            <w:rFonts w:ascii="宋体" w:hAnsi="宋体" w:hint="eastAsia"/>
            <w:noProof/>
            <w:sz w:val="24"/>
          </w:rPr>
          <w:t>四、基金托管人</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_Toc231283851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18</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2" w:history="1">
        <w:r w:rsidRPr="008D1221">
          <w:rPr>
            <w:rStyle w:val="aa"/>
            <w:rFonts w:ascii="宋体" w:hAnsi="宋体" w:hint="eastAsia"/>
            <w:noProof/>
            <w:sz w:val="24"/>
          </w:rPr>
          <w:t>五、相关服务机构</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_Toc231283852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23</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3" w:history="1">
        <w:r w:rsidRPr="008D1221">
          <w:rPr>
            <w:rStyle w:val="aa"/>
            <w:rFonts w:ascii="宋体" w:hAnsi="宋体" w:hint="eastAsia"/>
            <w:noProof/>
            <w:sz w:val="24"/>
          </w:rPr>
          <w:t>六、基金的募集</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_Toc231283853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43</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4" w:history="1">
        <w:r w:rsidRPr="008D1221">
          <w:rPr>
            <w:rStyle w:val="aa"/>
            <w:rFonts w:ascii="宋体" w:hAnsi="宋体" w:hint="eastAsia"/>
            <w:noProof/>
            <w:sz w:val="24"/>
          </w:rPr>
          <w:t>七、基金合同的生效</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_Toc231283854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44</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5" w:history="1">
        <w:r w:rsidRPr="008D1221">
          <w:rPr>
            <w:rStyle w:val="aa"/>
            <w:rFonts w:ascii="宋体" w:hAnsi="宋体" w:hint="eastAsia"/>
            <w:noProof/>
            <w:sz w:val="24"/>
          </w:rPr>
          <w:t>八、基金份额的申购与赎回</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_Toc231283855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45</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6" w:history="1">
        <w:r w:rsidRPr="008D1221">
          <w:rPr>
            <w:rStyle w:val="aa"/>
            <w:rFonts w:ascii="宋体" w:hAnsi="宋体" w:hint="eastAsia"/>
            <w:noProof/>
            <w:sz w:val="24"/>
          </w:rPr>
          <w:t>九、基金的转换</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_Toc231283856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55</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7" w:history="1">
        <w:r w:rsidRPr="008D1221">
          <w:rPr>
            <w:rStyle w:val="aa"/>
            <w:rFonts w:ascii="宋体" w:hAnsi="宋体" w:hint="eastAsia"/>
            <w:noProof/>
            <w:sz w:val="24"/>
          </w:rPr>
          <w:t>十、基金的投资</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_Toc231283857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60</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8" w:history="1">
        <w:r w:rsidRPr="008D1221">
          <w:rPr>
            <w:rStyle w:val="aa"/>
            <w:rFonts w:ascii="宋体" w:hAnsi="宋体" w:hint="eastAsia"/>
            <w:noProof/>
            <w:sz w:val="24"/>
          </w:rPr>
          <w:t>十一、基金的业绩</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_Toc231283858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72</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59" w:history="1">
        <w:r w:rsidRPr="008D1221">
          <w:rPr>
            <w:rStyle w:val="aa"/>
            <w:rFonts w:ascii="宋体" w:hAnsi="宋体" w:hint="eastAsia"/>
            <w:noProof/>
            <w:sz w:val="24"/>
          </w:rPr>
          <w:t>十二、基金的财产</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_Toc231283859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75</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0" w:history="1">
        <w:r w:rsidRPr="008D1221">
          <w:rPr>
            <w:rStyle w:val="aa"/>
            <w:rFonts w:ascii="宋体" w:hAnsi="宋体" w:hint="eastAsia"/>
            <w:noProof/>
            <w:sz w:val="24"/>
          </w:rPr>
          <w:t>十三、基金资产的估值</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_Toc231283860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76</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1" w:history="1">
        <w:r w:rsidRPr="008D1221">
          <w:rPr>
            <w:rStyle w:val="aa"/>
            <w:rFonts w:ascii="宋体" w:hAnsi="宋体" w:hint="eastAsia"/>
            <w:noProof/>
            <w:sz w:val="24"/>
          </w:rPr>
          <w:t>十四、基金收益与分配</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_Toc231283861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81</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2" w:history="1">
        <w:r w:rsidRPr="008D1221">
          <w:rPr>
            <w:rStyle w:val="aa"/>
            <w:rFonts w:ascii="宋体" w:hAnsi="宋体" w:hint="eastAsia"/>
            <w:noProof/>
            <w:sz w:val="24"/>
          </w:rPr>
          <w:t>十五、基金的费用与税收</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_Toc231283862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83</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3" w:history="1">
        <w:r w:rsidRPr="008D1221">
          <w:rPr>
            <w:rStyle w:val="aa"/>
            <w:rFonts w:ascii="宋体" w:hAnsi="宋体" w:hint="eastAsia"/>
            <w:noProof/>
            <w:sz w:val="24"/>
          </w:rPr>
          <w:t>十六、基金的会计与审计</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_Toc231283863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86</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4" w:history="1">
        <w:r w:rsidRPr="008D1221">
          <w:rPr>
            <w:rStyle w:val="aa"/>
            <w:rFonts w:ascii="宋体" w:hAnsi="宋体" w:hint="eastAsia"/>
            <w:noProof/>
            <w:sz w:val="24"/>
          </w:rPr>
          <w:t>十七、基金的信息披露</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_Toc231283864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87</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5" w:history="1">
        <w:r w:rsidRPr="008D1221">
          <w:rPr>
            <w:rStyle w:val="aa"/>
            <w:rFonts w:ascii="宋体" w:hAnsi="宋体" w:hint="eastAsia"/>
            <w:noProof/>
            <w:sz w:val="24"/>
          </w:rPr>
          <w:t>十八、风险揭示</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_Toc231283865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94</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6" w:history="1">
        <w:r w:rsidRPr="008D1221">
          <w:rPr>
            <w:rStyle w:val="aa"/>
            <w:rFonts w:ascii="宋体" w:hAnsi="宋体" w:hint="eastAsia"/>
            <w:noProof/>
            <w:sz w:val="24"/>
          </w:rPr>
          <w:t>十九、基金合同的变更、终止与基金财产的清算</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_Toc231283866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100</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7" w:history="1">
        <w:r w:rsidRPr="008D1221">
          <w:rPr>
            <w:rStyle w:val="aa"/>
            <w:rFonts w:ascii="宋体" w:hAnsi="宋体" w:hint="eastAsia"/>
            <w:noProof/>
            <w:sz w:val="24"/>
          </w:rPr>
          <w:t>二十、基金合同内容摘要</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_Toc231283867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102</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8" w:history="1">
        <w:r w:rsidRPr="008D1221">
          <w:rPr>
            <w:rStyle w:val="aa"/>
            <w:rFonts w:ascii="宋体" w:hAnsi="宋体" w:hint="eastAsia"/>
            <w:noProof/>
            <w:sz w:val="24"/>
          </w:rPr>
          <w:t>二十一、托管协议的内容摘要</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_Toc231283868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117</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69" w:history="1">
        <w:r w:rsidRPr="008D1221">
          <w:rPr>
            <w:rStyle w:val="aa"/>
            <w:rFonts w:ascii="宋体" w:hAnsi="宋体" w:hint="eastAsia"/>
            <w:noProof/>
            <w:sz w:val="24"/>
          </w:rPr>
          <w:t>二十二、对基金份额持有人的服务</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_Toc231283869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129</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70" w:history="1">
        <w:r w:rsidRPr="008D1221">
          <w:rPr>
            <w:rStyle w:val="aa"/>
            <w:rFonts w:ascii="宋体" w:hAnsi="宋体" w:hint="eastAsia"/>
            <w:noProof/>
            <w:sz w:val="24"/>
          </w:rPr>
          <w:t>二十三、其他应披露事项</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_Toc231283870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131</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71" w:history="1">
        <w:r w:rsidRPr="008D1221">
          <w:rPr>
            <w:rStyle w:val="aa"/>
            <w:rFonts w:ascii="宋体" w:hAnsi="宋体" w:hint="eastAsia"/>
            <w:noProof/>
            <w:sz w:val="24"/>
          </w:rPr>
          <w:t>二十四、招募说明书的存放及查阅方式</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_Toc231283871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133</w:t>
        </w:r>
        <w:r w:rsidRPr="008D1221">
          <w:rPr>
            <w:rFonts w:ascii="宋体" w:hAnsi="宋体"/>
            <w:noProof/>
            <w:sz w:val="24"/>
          </w:rPr>
          <w:fldChar w:fldCharType="end"/>
        </w:r>
      </w:hyperlink>
    </w:p>
    <w:p w:rsidR="008D1221" w:rsidRPr="008D1221" w:rsidRDefault="008D1221" w:rsidP="008D1221">
      <w:pPr>
        <w:pStyle w:val="10"/>
        <w:tabs>
          <w:tab w:val="right" w:leader="dot" w:pos="8550"/>
        </w:tabs>
        <w:spacing w:line="360" w:lineRule="auto"/>
        <w:rPr>
          <w:rFonts w:ascii="宋体" w:hAnsi="宋体" w:cstheme="minorBidi"/>
          <w:noProof/>
          <w:sz w:val="24"/>
        </w:rPr>
      </w:pPr>
      <w:hyperlink w:anchor="_Toc231283872" w:history="1">
        <w:r w:rsidRPr="008D1221">
          <w:rPr>
            <w:rStyle w:val="aa"/>
            <w:rFonts w:ascii="宋体" w:hAnsi="宋体" w:hint="eastAsia"/>
            <w:noProof/>
            <w:sz w:val="24"/>
          </w:rPr>
          <w:t>二十五、备查文件</w:t>
        </w:r>
        <w:r w:rsidRPr="008D1221">
          <w:rPr>
            <w:rFonts w:ascii="宋体" w:hAnsi="宋体"/>
            <w:noProof/>
            <w:sz w:val="24"/>
          </w:rPr>
          <w:tab/>
        </w:r>
        <w:r w:rsidRPr="008D1221">
          <w:rPr>
            <w:rFonts w:ascii="宋体" w:hAnsi="宋体"/>
            <w:noProof/>
            <w:sz w:val="24"/>
          </w:rPr>
          <w:fldChar w:fldCharType="begin"/>
        </w:r>
        <w:r w:rsidRPr="008D1221">
          <w:rPr>
            <w:rFonts w:ascii="宋体" w:hAnsi="宋体"/>
            <w:noProof/>
            <w:sz w:val="24"/>
          </w:rPr>
          <w:instrText xml:space="preserve"> PAGEREF _Toc231283872 \h </w:instrText>
        </w:r>
        <w:r w:rsidRPr="008D1221">
          <w:rPr>
            <w:rFonts w:ascii="宋体" w:hAnsi="宋体"/>
            <w:noProof/>
            <w:sz w:val="24"/>
          </w:rPr>
        </w:r>
        <w:r w:rsidRPr="008D1221">
          <w:rPr>
            <w:rFonts w:ascii="宋体" w:hAnsi="宋体"/>
            <w:noProof/>
            <w:sz w:val="24"/>
          </w:rPr>
          <w:fldChar w:fldCharType="separate"/>
        </w:r>
        <w:r w:rsidRPr="008D1221">
          <w:rPr>
            <w:rFonts w:ascii="宋体" w:hAnsi="宋体"/>
            <w:noProof/>
            <w:sz w:val="24"/>
          </w:rPr>
          <w:t>134</w:t>
        </w:r>
        <w:r w:rsidRPr="008D1221">
          <w:rPr>
            <w:rFonts w:ascii="宋体" w:hAnsi="宋体"/>
            <w:noProof/>
            <w:sz w:val="24"/>
          </w:rPr>
          <w:fldChar w:fldCharType="end"/>
        </w:r>
      </w:hyperlink>
    </w:p>
    <w:p w:rsidR="00334D8E" w:rsidRPr="008D1221" w:rsidRDefault="008D1221" w:rsidP="008D1221">
      <w:pPr>
        <w:pStyle w:val="ad"/>
        <w:snapToGrid w:val="0"/>
        <w:spacing w:after="240" w:line="360" w:lineRule="auto"/>
        <w:jc w:val="center"/>
        <w:rPr>
          <w:rFonts w:ascii="宋体" w:hAnsi="宋体"/>
          <w:color w:val="000000"/>
          <w:sz w:val="24"/>
        </w:rPr>
      </w:pPr>
      <w:r w:rsidRPr="008D1221">
        <w:rPr>
          <w:rFonts w:ascii="宋体" w:hAnsi="宋体"/>
          <w:color w:val="000000"/>
          <w:position w:val="-4"/>
          <w:sz w:val="24"/>
          <w:szCs w:val="30"/>
        </w:rPr>
        <w:fldChar w:fldCharType="end"/>
      </w:r>
      <w:bookmarkStart w:id="3" w:name="_GoBack"/>
      <w:bookmarkEnd w:id="3"/>
    </w:p>
    <w:p w:rsidR="00334D8E" w:rsidRDefault="00334D8E">
      <w:pPr>
        <w:autoSpaceDE w:val="0"/>
        <w:autoSpaceDN w:val="0"/>
        <w:adjustRightInd w:val="0"/>
        <w:snapToGrid w:val="0"/>
        <w:spacing w:line="360" w:lineRule="auto"/>
        <w:ind w:left="120" w:rightChars="6" w:right="13"/>
        <w:rPr>
          <w:rFonts w:ascii="宋体" w:hAnsi="宋体"/>
          <w:kern w:val="0"/>
          <w:szCs w:val="24"/>
        </w:rPr>
        <w:sectPr w:rsidR="00334D8E">
          <w:pgSz w:w="11920" w:h="16840"/>
          <w:pgMar w:top="1480" w:right="1680" w:bottom="280" w:left="1680" w:header="0" w:footer="1073" w:gutter="0"/>
          <w:cols w:space="720"/>
        </w:sectPr>
      </w:pPr>
    </w:p>
    <w:p w:rsidR="00334D8E" w:rsidRDefault="00AB0B27">
      <w:pPr>
        <w:pStyle w:val="1"/>
        <w:snapToGrid w:val="0"/>
        <w:spacing w:beforeLines="0" w:before="240" w:after="240"/>
        <w:rPr>
          <w:rFonts w:ascii="宋体" w:hAnsi="宋体"/>
          <w:szCs w:val="30"/>
        </w:rPr>
      </w:pPr>
      <w:bookmarkStart w:id="4" w:name="_Toc231283848"/>
      <w:r>
        <w:rPr>
          <w:rFonts w:ascii="Times New Roman" w:hAnsi="Times New Roman"/>
          <w:sz w:val="30"/>
        </w:rPr>
        <w:lastRenderedPageBreak/>
        <w:t>一、绪言</w:t>
      </w:r>
      <w:bookmarkEnd w:id="4"/>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天益宝货币市场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货币市场基金监督管理办法》、《关于实施＜货币市场基金监督管理办法＞有关问题的规定》、《公开募集开放式证券投资基金流动性风险管理规定》(以下简称“《流动性规定》”)和其他相关法律法规的规定以及《交银施罗德天益宝货币市场基金基金合同》（以下简称“基金合同”）编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5" w:name="_Toc231283849"/>
      <w:r>
        <w:rPr>
          <w:rFonts w:ascii="Times New Roman" w:hAnsi="Times New Roman"/>
          <w:sz w:val="30"/>
        </w:rPr>
        <w:lastRenderedPageBreak/>
        <w:t>二、释义</w:t>
      </w:r>
      <w:bookmarkEnd w:id="5"/>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1、基金或本基金：指交银施罗德天益宝货币市场基金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3、基金托管人或本基金托管人：指中国工商银行股份有限公司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4、基金合同或《基金合同》：指《交银施罗德天益宝货币市场基金基金合同》及对基金合同的任何有效修订和补充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5、托管协议：指基金管理人与基金托管人就本基金签订之《交银施罗德天益宝货币市场基金托管协议》及对该托管协议的任何有效修订和补充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6、招募说明书、《招募说明书》或本招募说明书：指《交银施罗德天益宝货币市场基金招募说明书》及其更新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7、基金份额发售公告：指《交银施罗德天益宝货币市场基金基金份额发售公告》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8、基金产品资料概要：指《交银施罗德天益宝货币市场基金基金产品资料概要》及其更新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16、银行业监督管理机构：指中国人民银行和/或中国银行业监督管理委员会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48、基金收益：指基金投资所得债券利息、买卖证券价差、银行存款利息、已实现的其他合法收入及因运用基金财产带来的成本和费用的节约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49、摊余成本法：指计价对象以买入成本列示，按照票面利率或协议利率并考虑其买入时的溢价与折价，在剩余存续期内按照实际利率法摊销，每日计提损益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50、每万份基金已实现收益：指按照相关法规计算的每万份基金份额的日已实现收益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51、7日年化收益率：指以最近7日（含节假日） 每万份基金已实现收益所折算的年资产收益率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52、销售服务费：指本基金用于持续销售和服务基金份额持有人的费用，该笔费用从基金财产中扣除，属于基金的营运费用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53、基金份额分类：本基金分设两类基金份额：A类基金份额和E类基金份额。两类基金份额分设不同的基金代码，收取不同的销售服务费并分别公布每万份基金已实现收益和7日年化收益率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54、A类基金份额：指按照0.25%年费率计提销售服务费的基金份额类别</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55、E类基金份额：指按照0.01%年费率计提销售服务费的基金份额类别</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56、基金资产总值：指基金拥有的各类有价证券和票据价值、银行存款本息、基金应收申购款及其他资产的价值总和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57、基金资产净值：指基金资产总值减去基金负债后的价值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58、基金份额净值：指计算日基金资产净值除以计算日基金份额总数，本基金各类基金份额的基金份额净值保持在1.00元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59、基金资产估值：指计算评估基金资产和负债的价值，以确定各类基金份额的基金资产净值、每万份基金已实现收益和7日年化收益率的过程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w:t>
      </w:r>
      <w:r>
        <w:rPr>
          <w:rFonts w:ascii="宋体" w:hAnsi="宋体"/>
          <w:sz w:val="24"/>
        </w:rPr>
        <w:lastRenderedPageBreak/>
        <w:t>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就本基金而言，指货币市场基金依法可投资的符合前述条件的资产，但中国证监会认可的特殊情形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61、指定媒介：指中国证监会指定的用以进行信息披露的全国性报刊及指定互联网网站（包括基金管理人网站、基金托管人网站、中国证监会基金电子披露网站）等媒介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6" w:name="_Toc231283850"/>
      <w:r>
        <w:rPr>
          <w:rFonts w:ascii="Times New Roman" w:hAnsi="Times New Roman"/>
          <w:sz w:val="30"/>
        </w:rPr>
        <w:lastRenderedPageBreak/>
        <w:t>三、基金管理人</w:t>
      </w:r>
      <w:bookmarkEnd w:id="6"/>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货币市场证券投资基金(2015年05月27日至2019年08月02日)、交银施罗德现金宝货币市场基金(2015年05月27日至2019年08月02日)、交银施罗德理财21天债券型证券投资基金(2015年05月27日至2020年07月27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孙丹妮女士:基金经理。复旦大学工商管理硕士、中山大学理学学士。11年证券投资行业从业经验。2015年至2016年任五矿证券有限责任公司交易员。2016年加</w:t>
      </w:r>
      <w:r>
        <w:rPr>
          <w:rFonts w:ascii="宋体" w:hAnsi="宋体"/>
          <w:sz w:val="24"/>
        </w:rPr>
        <w:lastRenderedPageBreak/>
        <w:t>入交银施罗德基金管理有限公司，曾任中央交易室交易员、固定收益部研究员、基金经理助理，现任固定收益部基金经理。现任交银施罗德天益宝货币市场基金(2025年02月20日至今)、交银施罗德丰盈收益债券型证券投资基金(2025年02月20日至今)、交银施罗德稳益短债债券型证券投资基金(2025年02月20日至今)、交银施罗德丰享收益债券型证券投资基金(2025年02月20日至今)的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连端清先生(2016年12月20日至2019年09月27日)。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w:t>
      </w:r>
      <w:r>
        <w:rPr>
          <w:rFonts w:ascii="宋体" w:hAnsi="宋体"/>
          <w:sz w:val="24"/>
        </w:rPr>
        <w:lastRenderedPageBreak/>
        <w:t>法律行为；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内部控制应当包括公司的各项业务、各个部门或机构和各级人员, 并涵盖到决策、执行、监督、反馈等各个环节。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（4）督察长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w:t>
      </w:r>
      <w:r>
        <w:rPr>
          <w:rFonts w:ascii="宋体" w:hAnsi="宋体"/>
          <w:sz w:val="24"/>
        </w:rPr>
        <w:lastRenderedPageBreak/>
        <w:t>自工作领域中的风险隐患上报，以防范和减少风险。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7" w:name="_Toc231283851"/>
      <w:r>
        <w:rPr>
          <w:rFonts w:ascii="Times New Roman" w:hAnsi="Times New Roman"/>
          <w:sz w:val="30"/>
        </w:rPr>
        <w:lastRenderedPageBreak/>
        <w:t>四、基金托管人</w:t>
      </w:r>
      <w:bookmarkEnd w:id="7"/>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成立时间：1984年1月1日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注册资本：人民币35,640,625.7089万元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联系电话：010-66105799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截至2026年3月，中国工商银行资产托管部共有员工209人，平均年龄38岁，99%以上员工拥有大学本科以上学历，高管人员均拥有研究生以上学历或高级技术职称。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2026年3月，中国工商银行共托管证券投资基金1577只。自2003年以来，本行连续二十二年获得香港《亚洲货币》、英国《全球托管人》、香港《财资》、美国《环球金融》、内地《证券时报》、《上海证券报》等境内外权威财经媒体评选的113项最佳托管银行大奖；是获得奖项最多的国内托管银行，优良的服务品质获得国内外金融领域的持续认可和广泛好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（四）基金托管人的内部控制情况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在风险管理的实操过程中根据国际公认的内部控制COSO准则从控制环境、风险评估、控制活动、信息与沟通、内部监督五个方面构建起了托管业务内部风险控制体系，并纳入统一的风险管理体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九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（1）资产托管业务经营管理合法合规；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（2）促进实现资产托管业务发展战略和经营目标；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（3）资产托管业务风险管理的有效性和资产安全；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（4）提高资产托管经营效率和效果；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（5）业务记录、会计信息和其他经营管理相关信息的真实、准确、完整、及时。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2.内部控制的原则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（1）全面性原则。资产托管业务内部控制应贯穿决策、执行和监督全过程，覆盖资产托管业务各项业务流程和管理活动，覆盖所有机构、部门和从业人员。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（2）重要性原则。资产托管业务内部控制应在全面控制基础上，关注重要业务事项、重点业务环节和高风险领域。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（3）制衡性原则。资产托管业务内部控制应在机构设置、权责分配及业务流程等方面形成相互制约、相互监督的机制，同时兼顾运营效率。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（4）适应性原则。资产托管业务内部控制应当与经营规模、业务范围和风险</w:t>
      </w:r>
      <w:r>
        <w:rPr>
          <w:rFonts w:ascii="宋体" w:hAnsi="宋体"/>
          <w:sz w:val="24"/>
        </w:rPr>
        <w:lastRenderedPageBreak/>
        <w:t>特点相适应，并进行动态调整，以合理成本实现内部控制目标。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（5）审慎性原则。资产托管业务内部控制应坚持风险为本、审慎经营的理念，设立机构或开展各项经营管理活动均应坚持内控优先。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（6）成本效益原则。资产托管业务内部控制应权衡实施成本与预期效益，以合理成本实现有效控制。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3.内部控制组织结构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资产托管业务内部控制纳入全行统一的内部控制体系。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（2）总行内控合规部负责托管业务的内控管理工作再监督，根据年度工作重点，定期或不定期在全行开展相关业务监督检查，将托管业务检查项目整合到全行业务监督检查工作中。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（3）总行内部审计局负责对资产托管业务的审计与评价工作。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（4）一级（直属）分行资产托管业务部门作为内部控制的执行机构，负责组织开展本机构内部控制的日常运行及自查工作，及时整改、纠正、处理存在的问题。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制度、流程、岗位、系统、授权审批、新机构、新客户、新业务及新产品、合同、印章、利益冲突、反洗钱、业务连续性等全方面执行内部控制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5.风险控制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与内部控制委员会机制、完善资产托管业务制度体系、加强资产托管业务队伍建设、科技赋能、建立健全应急灾备体系、建立审计发现问题整改台账、加强人员管理等措施，有效控制操作风险、合规风险、声誉风险、信息科技风险、次生风险和道德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6.业务连续性保障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8" w:name="_Toc231283852"/>
      <w:r>
        <w:rPr>
          <w:rFonts w:ascii="Times New Roman" w:hAnsi="Times New Roman"/>
          <w:sz w:val="30"/>
        </w:rPr>
        <w:lastRenderedPageBreak/>
        <w:t>五、相关服务机构</w:t>
      </w:r>
      <w:bookmarkEnd w:id="8"/>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本基金直销机构为本基金管理人直销柜台以及本基金管理人的网上直销交易平台（网站及手机APP，下同）。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投资者可以通过本基金管理人直销柜台办理开户、本基金A类基金份额及E类基金份额的申购、赎回、转换等业务。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个人投资者可以通过本基金管理人网上直销交易平台办理开户、本基金A类基金份额的申购、赎回、转换等业务。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网址：www.bankcomm.com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（2）名称：宁波银行股份有限公司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法定代表人：吕家进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（6）名称：上海浦东发展银行股份有限公司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（7）名称：中国民生银行股份有限公司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（8）名称：平安银行股份有限公司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客服电话：95511-3或95501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（9）名称：中国邮政储蓄银行股份有限公司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（10）名称：江苏银行股份有限公司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（11）名称：中国中金财富证券有限公司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（12）名称：广发证券股份有限公司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办公地址：广州市天河区马场路26号广发证券大厦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（13）名称：国信证券股份有限公司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（14）名称：兴业证券股份有限公司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（15）名称：招商证券股份有限公司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联系人：黄婵君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（16）名称：国金证券股份有限公司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（17）名称：华宝证券股份有限公司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（18）名称：中信建投证券股份有限公司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（19）名称：国泰海通证券股份有限公司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（20）名称：东方财富证券股份有限公司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（21）名称：海通证券股份有限公司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（22）名称：中信证券（山东）有限责任公司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电话：0531-89606166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（23）名称：中信证券股份有限公司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（24）名称：中信证券华南股份有限公司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（25）名称：华泰证券股份有限公司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（26）名称：东莞证券股份有限公司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（27）名称：山西证券股份有限公司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（28）名称：中国银河证券股份有限公司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（29）名称：申万宏源证券有限公司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客户服务电话：95523或4008895523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（31）名称：国投证券股份有限公司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（32）名称：华西证券股份有限公司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（33）名称：中国人寿保险股份有限公司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办公地址：北京市西城区金融大街16号中国人寿广场A座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（34）名称：大连网金基金销售有限公司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（35）名称：京东肯特瑞基金销售有限公司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（36）名称：珠海盈米基金销售有限公司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客户服务电话：（020）89629066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（37）名称：北京汇成基金销售有限公司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（38）名称：上海天天基金销售有限公司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（39）名称：上海基煜基金销售有限公司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（40）名称：中证金牛（北京）基金销售有限公司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（41）名称：上海利得基金销售有限公司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（42）名称：上海联泰基金销售有限公司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（43）名称：和耕传承基金销售有限公司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w:t>
      </w:r>
      <w:r>
        <w:rPr>
          <w:rFonts w:ascii="宋体" w:hAnsi="宋体"/>
          <w:sz w:val="24"/>
        </w:rPr>
        <w:lastRenderedPageBreak/>
        <w:t>503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（44）名称：上海好买基金销售有限公司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（45）名称：北京创金启富基金销售有限公司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（46）名称：阳光人寿保险股份有限公司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联系人：王超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（47）名称：上海长量基金销售有限公司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（48）名称：嘉实财富管理有限公司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（49）名称：济安财富（北京）基金销售有限公司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（50）名称：蚂蚁（杭州）基金销售有限公司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（51）名称：博时财富基金销售有限公司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（52）名称：诺亚正行基金销售有限公司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（53）名称：泛华普益基金销售有限公司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法定代表人：于海锋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（54）名称：深圳众禄基金销售股份有限公司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（55）名称：玄元保险代理有限公司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（56）名称：上海万得基金销售有限公司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客户服务电话：400-799-1888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（57）名称：上海证达通基金销售有限公司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（58）名称：上海华夏财富投资管理有限公司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（59）名称：北京雪球基金销售有限公司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（60）名称：中信期货有限公司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住所：深圳市福田区中心三路8号卓越时代广场（二期）北座13层1301-1305室、14层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（61）名称：上海攀赢基金销售有限公司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（62）名称：浙江同花顺基金销售有限公司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传真：（021）61055064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9" w:name="_Toc231283853"/>
      <w:r>
        <w:rPr>
          <w:rFonts w:ascii="Times New Roman" w:hAnsi="Times New Roman"/>
          <w:sz w:val="30"/>
        </w:rPr>
        <w:lastRenderedPageBreak/>
        <w:t>六、基金的募集</w:t>
      </w:r>
      <w:bookmarkEnd w:id="9"/>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本基金由基金管理人依照《基金法》、《运作办法》、《销售办法》、基金合同及其他有关规定，并经中国证监会2016年11月21日证监许可[2016] 2776号文准予募集注册。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本基金为契约性开放式货币市场基金。基金存续期间为不定期。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本基金2016年12月19日进行发售，本基金设立募集期共募集200,005,301.35份基金份额，有效认购户数为226户。</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0" w:name="_Toc231283854"/>
      <w:r>
        <w:rPr>
          <w:rFonts w:ascii="Times New Roman" w:hAnsi="Times New Roman"/>
          <w:sz w:val="30"/>
        </w:rPr>
        <w:lastRenderedPageBreak/>
        <w:t>七、基金合同的生效</w:t>
      </w:r>
      <w:bookmarkEnd w:id="10"/>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1" w:name="_Toc231283855"/>
      <w:r>
        <w:rPr>
          <w:rFonts w:ascii="Times New Roman" w:hAnsi="Times New Roman"/>
          <w:sz w:val="30"/>
        </w:rPr>
        <w:lastRenderedPageBreak/>
        <w:t>八、基金份额的申购与赎回</w:t>
      </w:r>
      <w:bookmarkEnd w:id="11"/>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投资者可以通过本基金管理人直销柜台办理开户、本基金A类及E类基金份额的申购、赎回、转换等业务。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个人投资者可以通过本基金管理人网上直销交易平台办理开户、本基金A类基金份额的申购、赎回、转换等业务。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上述具体业务开通情况及交易细则请参阅基金管理人网站。网上直销交易平台网址：www.fund001.com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2、除基金管理人之外其他销售机构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投资人可通过上述销售机构办理基金申购、赎回业务的营业场所或按上述销售机构提供的其他方式进行申购或赎回。本基金管理人可根据情况变更或增减基金销售机构，并在管理人网站公示。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若销售机构开通电话、传真或网上等交易方式，投资人可以通过上述方式进行申购与赎回。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新的业务发展或其他特殊情况，基金管理人将视情况对前述开放日及开放时间进行相应的调整，但应在实施日前依照《信息披露办法》的有关规定在指定媒介上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本基金已于2016年12月21日起开放申购、赎回业务。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视为下一开放日的申购、赎回或转换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1、“确定价”原则，即申购、赎回价格以每份基金份额净值为1.00元的基准进行计算；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4、基金管理人有权决定基金份额持有人持有本基金的最高限额和本基金的总规模限额，但应最迟在新的限额实施前依照《信息披露办法》的有关规定在指定媒介上公告。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w:t>
      </w:r>
      <w:r>
        <w:rPr>
          <w:rFonts w:ascii="宋体" w:hAnsi="宋体"/>
          <w:sz w:val="24"/>
        </w:rPr>
        <w:lastRenderedPageBreak/>
        <w:t>全额到账则申购不成立。投资人全额交付申购款项，申购成立；登记机构确认基金份额时，申购生效。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（五）申购和赎回的数额限定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者不受首次申购最低金额的限制。通过本基金管理人网上直销交易平台办理基金申购业务的不受直销机构单笔申购最低金额的限制，申购最低金额为单笔0.01元。本基金直销机构单笔申购最低金额可由基金管理人酌情调整。其他销售机构单笔申购的最低金额为单笔0.01元，如果其他销售机构业务规则规定的最低单笔申购金额高于0.01元，以该销售机构的规定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赎回的最低份额为0.01份基金份额，如果销售机构业务规则规定的最低单笔赎回份额高于0.01份，以该销售机构的规定为准。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本基金暂无最低保留余额限制。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根据基金实际运作情况规定单个投资人累计持有的基金份额上限、本基金的总规模上限、当日申购金额上限、或单个投资人当日申购金额上限，并在相关限制实施日前依照《信息披露办法》的有关规定在指定媒介上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5、为保护基金份额持有人的合法权益，基金管理人可以依照相关法律法规以及基金合同的约定，在特定市场条件下暂停或者拒绝接受一定金额以上的资金申购，具体以基金管理人的公告为准。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可在法律法规允许的情况下，调整上述规定申购金额、赎回份额、最低基金份额保留余额和基金总规模等数量限制。基金管理人必须在调整实施前依照《信息披露办法》的有关规定在指定媒介上公告并报中国证监会备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（六）申购和赎回的价格、费用及其用途</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另有规定或基金合同另有约定外，本基金不收取申购费用和赎回费用；在满足相关流动性风险管理要求的前提下，当本基金持有的现金、国债、中央银行票据、政策性金融债券以及5个交易日内到期的其他金融工具占基金资产净值的比例合计低于5%且偏离度为负时，为确保基金平稳运作，避免诱发系统性风险，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本基金前10名基金份额持有人的持有份额合计超过基金总份额50%，且本基金投资组合中现金、国债、中央银行票据、政策性金融债券以及5个交易日内到期的其他金融工具占基金资产净值的比例合计低于10%且偏离度为负时，基金管理人应当对当日单个基金份额持有人超过基金总份额1%以上的赎回申请征收1%的强制赎回费用，并将上述赎回费用全额计入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2、本基金通过每日计算收益并分配的方式，使基金份额净值保持在1.00元。本基金的申购、赎回价格为每份基金份额1.00元。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3、申购份额的计算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申购份额=申购金额/1.00元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申购份额的计算结果保留到小数点后2位，小数点2位以后的部分四舍五入，由此误差产生的收益或损失由基金财产承担。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例一：假定某投资者投资10,000元申购本基金A类基金份额，则其可得到的基金份额计算如下：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申购份额=10,000/1.00=10,000.00份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即投资者投资10,000元申购本基金A类基金份额，可以得到10,000.00份A类基金份额。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4、赎回金额的计算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赎回金额等于登记机构确认的赎回份额乘以1.00元。投资人提交全额赎回申请时，所有未支付累计净收益将随赎回款项一并结清。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赎回金额的计算结果保留到小数点后2位，小数点2位以后的部分四舍五入，由此误差产生的收益或损失由基金财产承担。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例二：假定某投资者将所持有的10,000份A类基金份额赎回（非全额赎回），则其可得到的赎回金额计算如下：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赎回金额=10,000x1.00=10,000.00元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5、基金管理人可以在基金合同约定的范围内调整费率或收费方式，并最迟应于新的费率或收费方式实施日前依照《信息披露办法》的有关规定在指定媒介上公告。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（七）拒绝或暂停申购的情形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4、本基金出现当日净收益或累计未分配净收益小于零的情形，为保护基金份额持有人的利益，基金管理人可视情况暂停本基金的申购。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5、接受某笔或某些申购申请可能会影响或损害现有基金份额持有人利益时。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w:t>
      </w:r>
      <w:r>
        <w:rPr>
          <w:rFonts w:ascii="宋体" w:hAnsi="宋体"/>
          <w:sz w:val="24"/>
        </w:rPr>
        <w:lastRenderedPageBreak/>
        <w:t>对基金业绩产生负面影响，或发生其他损害现有基金份额持有人利益的情形。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新的申购申请被确认成功，使本基金总规模超过基金管理人规定的本基金总规模上限时，或使本基金当日申购金额超过基金管理人规定的当日申购金额上限时，或使该投资人累计持有的份额超过基金管理人规定的单个投资人累计持有份额上限时，或使该投资人当日申购金额超过基金管理人规定的单个投资人当日申购金额上限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8、为保护基金份额持有人的合法权益，基金管理人可以依照相关法律法规，在特定市场条件下暂停或者拒绝接受一定金额以上的资金申购。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9、基金管理人、基金托管人、基金销售机构、基金销售支付结算机构或登记机构的异常情况导致基金销售系统、基金销售支付结算系统、基金注册登记系统或基金会计系统无法正常运行。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10、当影子定价确定的基金资产净值与摊余成本法计算的基金资产净值的正偏离度绝对值达到0.5%时。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11、当前一估值日基金资产净值50%以上的资产出现无可参考的活跃市场价格且采用估值技术仍导致公允价值存在重大不确定性时，经与基金托管人协商确认后，基金管理人应当暂停接受基金申购申请。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12、基金管理人接受某笔或者某些申购申请有可能导致单一投资者持有基金份额的比例超过50%，或者变相规避50%集中度的情形时。出现上述情形时，基金管理人有权将上述申购申请全部或部分确认失败。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13、法律法规规定或中国证监会认定的其他情形。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4、6、8、9、10、11、13项暂停申购情形之一且基金管理人决定暂停接受投资人的申购申请时，基金管理人应当根据有关规定在指定媒介上刊登暂停申购公告。对于上述第7项拒绝申购的情形，基金管理人将在基金管理人网站上公布相关申购上限设定。如果投资人的申购申请被拒绝，被拒绝的申购款项将退还给投资人。在暂停申购的情况消除时，基金管理人应及时恢复申购业务的办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（八）暂停赎回或延缓支付赎回款项的情形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2、发生基金合同规定的暂停基金资产估值情况时，基金管理人可暂停接受投资人的赎回申请或延缓支付赎回款项。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4、本基金出现当日净收益或累计未分配净收益小于零的情形，为保护基金份额持有人的利益，基金管理人可视情况暂停本基金的赎回。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6、本基金的资产组合中的重要部分发生暂停交易或其他重大事件，继续接受赎回可能会影响或损害基金份额持有人利益时。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7、当影子定价确定的基金资产净值与摊余成本法计算的基金资产净值的负偏离度绝对值连续两个交易日超过0.5%时，基金管理人可视情况暂停本基金的赎回。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若出现上述第5项所述情形，按基金合同的相关条款处理。基金份额持有人在申请赎回时可事先选择将当日可能未获受理部分予以撤销。在暂停赎回的情况消除时，基金管理人应及时恢复赎回业务的办理并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公平对待不同类别基金份额持有人的合法权益，单个基金份额持有人在单个开放日申请赎回基金份额超过基金总份额10%的，基金管理人可以延期办理部分赎回申请或者延缓支付赎回款项，具体操作以基金管理人届时发布的相关公告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（九）巨额赎回的情形及处理方式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（十）暂停申购或赎回的公告和重新开放申购或赎回的公告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w:t>
      </w:r>
      <w:r>
        <w:rPr>
          <w:rFonts w:ascii="宋体" w:hAnsi="宋体"/>
          <w:sz w:val="24"/>
        </w:rPr>
        <w:lastRenderedPageBreak/>
        <w:t>上刊登暂停公告。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各类基金份额的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（十一）基金的非交易过户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（十二）基金的转托管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（十四）基金份额的冻结和解冻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（十五）基金份额的转让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w:t>
      </w:r>
      <w:r>
        <w:rPr>
          <w:rFonts w:ascii="宋体" w:hAnsi="宋体"/>
          <w:sz w:val="24"/>
        </w:rPr>
        <w:lastRenderedPageBreak/>
        <w:t>额持有人应根据基金管理人公告的业务规则办理基金份额转让业务。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（十六）其他业务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2" w:name="_Toc231283856"/>
      <w:r>
        <w:rPr>
          <w:rFonts w:ascii="Times New Roman" w:hAnsi="Times New Roman"/>
          <w:sz w:val="30"/>
        </w:rPr>
        <w:lastRenderedPageBreak/>
        <w:t>九、基金的转换</w:t>
      </w:r>
      <w:bookmarkEnd w:id="12"/>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本基金2018年3月6日刊登公告自2018年3月7日起开放日常转换业务。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申请方式：书面申请或销售机构公布的其他方式。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基金转换申请的确认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正常情况下，T日规定时间受理的申请，基金注册登记机构在T＋1日内为投资人对该交易的有效性进行确认，在T＋2日后（包括该日）投资人可向销售机构查询转换的确认情况。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基金转换的注册登记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在T＋1日为投资人T日的基金转换业务申请进行有效性确认，办理转出基金的权益扣除以及转入基金的权益登记，在T＋2日后（包含该日）投资人可向销售机构查询转换业务的成交情况，并有权转换或赎回该部分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基金遵循“份额转换”的原则，单笔转换份额不得低于10份。基金持有人可将其全部或部分基金份额转换成其它基金，单笔转换申请不受转入基金最低申购限额限制。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投资人在单个交易账户保留的货币基金(除交银货币外)的最低保留余额为0.01份，每个工作日投资人在单个交易账户保留的基金份额余额少于最低保留余额时，若当日该账户同时有份额减少类业务（如赎回、转换出等）被确认，基金管理人有权将投资人在该账户保留的基金份额一次性全部赎回。因此，如果某笔转换申请确认后转出基金的单个交易账户的基金份额余额少于最低保留余额时，则转出基金在该账户剩余的基金份额将被全部赎回。如果某笔转换申请确认后转入基金的单个交易账户的基金份额余额少于最低保留余额且该账户当日有份额减少类业务被确认，则转入基金在该账户剩余的基金份额（包括该部分转换入确认份额）将随即被强制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证券投资基金信息披露管理办法》的有关规定在中国证监会指定媒介上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申请将其账户内货币基金的基金份额转换为其他基金份额时，注册登记机构将自动结转该转出份额对应的待支付收益，该收益将一并计入转出金额并折算为转入基金的基金份额，但收益部分不收取转换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w:t>
      </w:r>
      <w:r>
        <w:rPr>
          <w:rFonts w:ascii="宋体" w:hAnsi="宋体"/>
          <w:sz w:val="24"/>
        </w:rPr>
        <w:lastRenderedPageBreak/>
        <w:t>将自转入基金份额被确认日起重新开始计算。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3" w:name="_Toc231283857"/>
      <w:r>
        <w:rPr>
          <w:rFonts w:ascii="Times New Roman" w:hAnsi="Times New Roman"/>
          <w:sz w:val="30"/>
        </w:rPr>
        <w:lastRenderedPageBreak/>
        <w:t>十、基金的投资</w:t>
      </w:r>
      <w:bookmarkEnd w:id="13"/>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在力求本金安全性和资产充分流动性的前提下，追求超过业绩比较基准的投资收益。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如法律法规或监管机构以后允许货币市场基金投资其他金融工具，基金管理人在履行适当程序后，可以将其纳入投资范围，其投资比例遵循届时有效法律法规或相关规定。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1、短期利率水平预期策略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深入分析国家货币政策、短期资金市场利率波动、资本市场资金面的情况和流动性的变化，对短期利率走势形成合理预期，并据此调整基金货币资产的配置策略。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2、收益率曲线分析策略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根据收益率曲线的变化趋势，采取相应的投资管理策略。货币市场收益率曲线的形状反映当时短期利率水平之间的关系，反映市场对较短期限经济状况的判断及对未来短期经济走势的预期。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3、组合剩余期限策略、期限配置策略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组合资产剩余期限的设计、跟踪、调整，达到保持合理的现金流，锁定组合剩余期限，以满足可能的、突发的现金需求，同时保持组合的稳定收益；特别在债券投资中，根据收益率曲线的情况，投资一定剩余期限的品种，稳定收益，锁</w:t>
      </w:r>
      <w:r>
        <w:rPr>
          <w:rFonts w:ascii="宋体" w:hAnsi="宋体"/>
          <w:sz w:val="24"/>
        </w:rPr>
        <w:lastRenderedPageBreak/>
        <w:t>定风险，满足组合目标期限。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4、类别品种配置策略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在保持组合资产相对稳定的条件下，根据各类短期金融工具的市场规模、收益性和流动性，决定各类资产的配置比例；再通过评估各类资产的流动性和收益性利差，确定不同期限类别资产的具体资产配置比例。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5、流动性管理策略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在满足基金投资者申购、赎回的资金需求前提下，通过基金资产安排（包括现金库存、资产变现、剩余期限管理或以其他措施），在保持基金资产高流动性的前提下，确保基金的稳定收益。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6、无风险套利策略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无风险套利策略包括：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市场套利策略：根据各细分短期金融工具的流动性和收益特征，动态调整基金资产在各个细分市场之间的配置比例。如，当交易所市场回购利率高于银行间市场回购利率时，可增加交易所市场回购的配置比例；另外，还包括一级市场发行定价和二级市场流通成交价之间的无风险套利机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跨品种套利策略：根据各细分市场中不同品种的风险参数、流动性补偿和收益特征，动态调整不同期限结构品种的配置比例。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7、滚动配置策略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根据具体投资品种的市场特性，采用持续滚动投资的方法，以提高基金资产的整体持续的变现能力。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8、其他金融工具投资策略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密切跟踪银行承兑汇票、商业承兑汇票等商业票据以及各种衍生产品的动向，一旦监管机构允许货币市场基金参与此类金融工具的投资，基金管理人在履行适当程序后将其纳入投资范围，本基金将在届时相应法律法规的框架内，根据对该金融工具的研究，制定符合本基金投资目标的投资策略，在充分考虑该投资品种风险和收益特征的前提下，谨慎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1、本基金不得投资于以下金融工具：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（2）可转换债券、可交换债券；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（3）以定期存款利率为基准利率的浮动利率债券，已进入最后一个利率调整期的除外；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（4）信用等级在AA+以下的债券与非金融企业债务融资工具；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（5）中国证监会、中国人民银行禁止投资的其他金融工具。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2、组合限制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（1）本基金投资组合的平均剩余期限在每个交易日均不得超过120天，平均剩余存续期在每个交易日均不得超过240天；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（2）本基金投资于现金、国债、中央银行票据、政策性金融债券占基金资产净值的比例合计不得低于5%，其中现金不包括结算备付金、存出保证金、应收申购款等；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（3）本基金投资于现金、国债、中央银行票据、政策性金融债券以及五个交易日内到期的其他金融工具占基金资产净值的比例合计不得低于10%；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主动投资于流动性受限资产的市值合计不得超过基金资产净值的10%；因证券市场波动、基金规模变动等基金管理人之外的因素致使基金不符合该比例限制的，基金管理人不得主动新增流动性受限资产的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（5）除发生巨额赎回、连续3 个交易日累计赎回20%以上或者连续5 个交易日累计赎回30%以上的情形外，本基金债券正回购的资金余额占基金资产净值的比例不得超过20%；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（6）本基金投资于同一机构发行的债券、非金融企业债务融资工具及其作为原始权益人的资产支持证券占基金资产净值的比例合计不得超过10%，国债、中央银行票据、政策性金融债券除外；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（7）本基金管理人管理的全部基金持有一家公司发行的证券，不超过该证券的10%；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（8）本基金投资于有固定期限银行存款的比例，不得超过基金资产净值的</w:t>
      </w:r>
      <w:r>
        <w:rPr>
          <w:rFonts w:ascii="宋体" w:hAnsi="宋体"/>
          <w:sz w:val="24"/>
        </w:rPr>
        <w:lastRenderedPageBreak/>
        <w:t>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（9）本基金投资于资产支持证券的比例应当符合下列规定：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1）本基金投资于同一原始权益人的各类资产支持证券的比例，不得超过基金资产净值的10%；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2）本基金持有的全部资产支持证券，其市值不得超过基金资产净值的20%，中国证监会规定的特殊品种除外；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3）本基金持有的同一（指同一信用级别）资产支持证券的比例，不得超过该资产支持证券规模的10%；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4）本基金管理人管理的全部基金投资于同一原始权益人的各类资产支持证券，不得超过其各类资产支持证券合计规模的10%；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 个月内予以全部卖出；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（10）本基金管理人管理的全部货币市场基金投资于同一商业银行的银行存款及其发行的同业存单与债券，不得超过该商业银行最近一个季度末净资产的10%；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（11）当本基金前10 名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（12）当本基金前10 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w:t>
      </w:r>
      <w:r>
        <w:rPr>
          <w:rFonts w:ascii="宋体" w:hAnsi="宋体"/>
          <w:sz w:val="24"/>
        </w:rPr>
        <w:lastRenderedPageBreak/>
        <w:t>款、同业存单、相关机构作为原始权益人的资产支持证券及中国证监会认定的其他品种；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（15）本基金进入全国银行间同业市场进行债券回购的资金余额不得超过基金资产净值的40%，本基金在全国银行间同业市场的债券回购最长期限为1年，债券回购到期后不得展期；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（17）法律法规、中国证监会及中国人民银行规定的其他比例限制。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1）、（2）、（4）、（14）项及第（9）项的第5）目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与非金融企业债务融资工具的信用等级应主要参照最近一个会计年度的主体信用评级，如果对发行人同时有两家以上境内评级机构评级的，应采用孰低原则确定其评级，并结合基金管理人内部信用评级进行独立判断与认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 个月内使基金的投资组合比例符合基金合同的有关约定。在上述期间内，本基金的投资范围、投资策略应当符合基金合同的约定。基金托管人对基金的投资的监督与检查自基金合同生效之日起开始。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法律法规对上述投资组合比例限制进行变更的，以变更后的规定为准。法律法规或监管部门取消上述限制，如适用于本基金，基金管理人在履行适当程序后，本基金投资不再受相关限制。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3、禁止行为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本基金的业绩比较基准为：活期存款利率（税后）。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现金管理工具，注重基金资产的流动性和安全性，因此采用活期存款利率（税后）作为业绩比较基准。活期存款利率由中国人民银行公布，如果活期存款利率或利息税发生调整，则新的业绩比较基准将从调整当日起开始生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今后法律法规发生变化，或者中国人民银行调整或停止该基准利率的发布，或者市场中出现其他代表性更强、更科学客观的业绩比较基准适用于本基金时，经基金管理人和基金托管人协商一致后，本基金可以变更业绩比较基准并及时公告，而无需召开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（七）投资组合平均剩余期限和平均剩余存续期限的计算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1、平均剩余期限（天）的计算公式如下：</w:t>
      </w:r>
    </w:p>
    <w:p w:rsidR="00334D8E" w:rsidRDefault="008D122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69.75pt">
            <v:imagedata r:id="rId15" o:title="1521256610242020828"/>
          </v:shape>
        </w:pic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平均剩余存续期限（天）的计算公式如下：</w:t>
      </w:r>
    </w:p>
    <w:p w:rsidR="00334D8E" w:rsidRDefault="008D122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20pt;height:69.75pt">
            <v:imagedata r:id="rId16" o:title="1521256610242020828"/>
          </v:shape>
        </w:pic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于金融工具产生的资产包括银行活期存款、清算备付金、交易保证金、证券清算款、银行定期存款、同业存单、债券、非金融企业债务融资工具、资产支持证券、逆回购、中央银行票据、买断式回购产生的待回购债券、或中国证监会、中国人民银行认可的其他具有良好流动性的货币市场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投资于金融工具产生的负债包括正回购、买断式回购产生的待返售债券等。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2、各类资产和负债剩余期限、剩余存续期限的确定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（1）银行活期存款、清算备付金、交易保证金的剩余期限和剩余存续期限为0天；证券清算款的剩余期限和剩余存续期限以计算日至交收日的剩余交易日天数计算；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回购（包括正回购和逆回购）的剩余期限和剩余存续期限以计算日至回购协议到期日的实际剩余天数计算；买断式回购产生的待回购债券的剩余期限和剩余存续期限为该基础债券的剩余期限，待返售债券的剩余期限和剩余存续期限以计算日至回购协议到期日的实际剩余天数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定期存款、同业存单的剩余期限和剩余存续期限以计算日至协议到期日的实际剩余天数计算；有存款期限，根据协议可提前支取且没有利息损失的银行存款，剩余期限和剩余存续期限以计算日至协议到期日的实际剩余天数计算；银行通知存款的剩余期限和剩余存续期限以存款协议中约定的通知期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（4）中央银行票据的剩余期限和剩余存续期限以计算日至中央银行票据到期日的实际剩余天数计算；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（5）组合中债券的剩余期限和剩余存续期限是指计算日至债券到期日为止所剩余的天数，以下情况除外：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允许投资的可变利率或浮动利率债券的剩余期限以计算日至下一个利率调整日的实际剩余天数计算。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允许投资的可变利率或浮动利率债券的剩余存续期限以计算日至债券到期日的实际剩余天数计算。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（八）基金管理人代表基金行使债权人权利的处理原则及方法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基金托管人中国工商银行股份有限公司根据本基金合同规定，于2026年04月20日复核了本报告中的财务指标、净值表现和投资组合报告等内容，保证复核内容不存在虚假记载、误导性陈述或者重大遗漏。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8,091,326,402.88</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51.61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8,091,326,402.88</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51.61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693,897,595.67</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334D8E">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6,812,081,056.93</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43.45</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79,430,844.10</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15,676,735,899.58</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2、报告期债券回购融资情况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40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报告期内债券回购融资余额</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5.82</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334D8E">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报告期末债券回购融资余额</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737,109,535.36</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4.97</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334D8E">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注：报告期内债券回购融资余额占基金资产净值的比例为报告期内每个银行间市场交易日融资余额占资产净值比例的简单平均值。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债券正回购的资金余额超过基金资产净值的20%的说明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3、基金投资组合平均剩余期限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投资组合平均剩余期限基本情况</w:t>
      </w:r>
    </w:p>
    <w:tbl>
      <w:tblPr>
        <w:tblW w:w="5000" w:type="pct"/>
        <w:tblCellMar>
          <w:left w:w="0" w:type="dxa"/>
          <w:right w:w="0" w:type="dxa"/>
        </w:tblCellMar>
        <w:tblLook w:val="0000" w:firstRow="0" w:lastRow="0" w:firstColumn="0" w:lastColumn="0" w:noHBand="0" w:noVBand="0"/>
      </w:tblPr>
      <w:tblGrid>
        <w:gridCol w:w="2167"/>
        <w:gridCol w:w="650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天数</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报告期末投资组合平均剩余期限</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69</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报告期内投资组合平均剩余期限最高值</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77</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报告期内投资组合平均剩余期限最低值</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50</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报告期内投资组合平均剩余期限超过120天情况说明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本基金本报告期内投资组合平均剩余期限未超过120天。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报告期末投资组合平均剩余期限分布比例</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平均剩余期限</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各期限资产占基金资产净值的比例（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各期限负债占基金资产净值的比例（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39.99</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天（含）</w:t>
            </w:r>
            <w:r>
              <w:rPr>
                <w:rFonts w:ascii="Times New Roman" w:hAnsi="Times New Roman"/>
                <w:color w:val="000000"/>
                <w:kern w:val="0"/>
                <w:sz w:val="25"/>
                <w:szCs w:val="24"/>
              </w:rPr>
              <w:t>—60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14.87</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1.88</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60</w:t>
            </w:r>
            <w:r>
              <w:rPr>
                <w:rFonts w:ascii="Times New Roman" w:hAnsi="Times New Roman"/>
                <w:color w:val="000000"/>
                <w:kern w:val="0"/>
                <w:sz w:val="25"/>
                <w:szCs w:val="24"/>
              </w:rPr>
              <w:t>天（含）</w:t>
            </w:r>
            <w:r>
              <w:rPr>
                <w:rFonts w:ascii="Times New Roman" w:hAnsi="Times New Roman"/>
                <w:color w:val="000000"/>
                <w:kern w:val="0"/>
                <w:sz w:val="25"/>
                <w:szCs w:val="24"/>
              </w:rPr>
              <w:t>—90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20.66</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90</w:t>
            </w:r>
            <w:r>
              <w:rPr>
                <w:rFonts w:ascii="Times New Roman" w:hAnsi="Times New Roman"/>
                <w:color w:val="000000"/>
                <w:kern w:val="0"/>
                <w:sz w:val="25"/>
                <w:szCs w:val="24"/>
              </w:rPr>
              <w:t>天（含）</w:t>
            </w:r>
            <w:r>
              <w:rPr>
                <w:rFonts w:ascii="Times New Roman" w:hAnsi="Times New Roman"/>
                <w:color w:val="000000"/>
                <w:kern w:val="0"/>
                <w:sz w:val="25"/>
                <w:szCs w:val="24"/>
              </w:rPr>
              <w:t>—120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7.70</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r>
              <w:rPr>
                <w:rFonts w:ascii="Times New Roman" w:hAnsi="Times New Roman"/>
                <w:color w:val="000000"/>
                <w:kern w:val="0"/>
                <w:sz w:val="25"/>
                <w:szCs w:val="24"/>
              </w:rPr>
              <w:t>天（含）</w:t>
            </w:r>
            <w:r>
              <w:rPr>
                <w:rFonts w:ascii="Times New Roman" w:hAnsi="Times New Roman"/>
                <w:color w:val="000000"/>
                <w:kern w:val="0"/>
                <w:sz w:val="25"/>
                <w:szCs w:val="24"/>
              </w:rPr>
              <w:t>—397</w:t>
            </w:r>
            <w:r>
              <w:rPr>
                <w:rFonts w:ascii="Times New Roman" w:hAnsi="Times New Roman"/>
                <w:color w:val="000000"/>
                <w:kern w:val="0"/>
                <w:sz w:val="25"/>
                <w:szCs w:val="24"/>
              </w:rPr>
              <w:t>天（含）</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21.75</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gridSpan w:val="2"/>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104.99</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报告期内投资组合平均剩余存续期超过240天情况说明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本基金本报告期内投资组合平均剩余存续期限未超过240天。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1,340,827,558.96</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9.04</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1,105,252,736.48</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7.45</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493,169,234.99</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3.32</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30,846,335.14</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6,226,483,273.79</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41.97</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8,091,326,402.88</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54.54</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天的浮动利率债券</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368,881,744.19</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2.49</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6、报告期末按摊余成本占基金资产净值比例大小排名的前十名债券投资明细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250306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进出</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3,100,000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312,938,631.06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2.11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09250409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农发清发</w:t>
            </w:r>
            <w:r>
              <w:rPr>
                <w:rFonts w:ascii="Times New Roman" w:hAnsi="Times New Roman"/>
                <w:color w:val="000000"/>
                <w:kern w:val="0"/>
                <w:sz w:val="25"/>
                <w:szCs w:val="24"/>
              </w:rPr>
              <w:t>09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279,522,901.74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1.88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092318004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农发清发</w:t>
            </w:r>
            <w:r>
              <w:rPr>
                <w:rFonts w:ascii="Times New Roman" w:hAnsi="Times New Roman"/>
                <w:color w:val="000000"/>
                <w:kern w:val="0"/>
                <w:sz w:val="25"/>
                <w:szCs w:val="24"/>
              </w:rPr>
              <w:t>04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240,438,457.73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1.62</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112691101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恒生银行</w:t>
            </w:r>
            <w:r>
              <w:rPr>
                <w:rFonts w:ascii="Times New Roman" w:hAnsi="Times New Roman"/>
                <w:color w:val="000000"/>
                <w:kern w:val="0"/>
                <w:sz w:val="25"/>
                <w:szCs w:val="24"/>
              </w:rPr>
              <w:t>CD005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199,766,937.02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112692558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兰州银行</w:t>
            </w:r>
            <w:r>
              <w:rPr>
                <w:rFonts w:ascii="Times New Roman" w:hAnsi="Times New Roman"/>
                <w:color w:val="000000"/>
                <w:kern w:val="0"/>
                <w:sz w:val="25"/>
                <w:szCs w:val="24"/>
              </w:rPr>
              <w:t>CD011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198,599,377.66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112580787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柳州银行</w:t>
            </w:r>
            <w:r>
              <w:rPr>
                <w:rFonts w:ascii="Times New Roman" w:hAnsi="Times New Roman"/>
                <w:color w:val="000000"/>
                <w:kern w:val="0"/>
                <w:sz w:val="25"/>
                <w:szCs w:val="24"/>
              </w:rPr>
              <w:t>CD078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119,212,965.93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012680430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蒙牛</w:t>
            </w:r>
            <w:r>
              <w:rPr>
                <w:rFonts w:ascii="Times New Roman" w:hAnsi="Times New Roman"/>
                <w:color w:val="000000"/>
                <w:kern w:val="0"/>
                <w:sz w:val="25"/>
                <w:szCs w:val="24"/>
              </w:rPr>
              <w:t>SCP009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100,193,650.01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112583632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齐鲁银行</w:t>
            </w:r>
            <w:r>
              <w:rPr>
                <w:rFonts w:ascii="Times New Roman" w:hAnsi="Times New Roman"/>
                <w:color w:val="000000"/>
                <w:kern w:val="0"/>
                <w:sz w:val="25"/>
                <w:szCs w:val="24"/>
              </w:rPr>
              <w:t>CD136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99,927,127.35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112583651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桂林银行</w:t>
            </w:r>
            <w:r>
              <w:rPr>
                <w:rFonts w:ascii="Times New Roman" w:hAnsi="Times New Roman"/>
                <w:color w:val="000000"/>
                <w:kern w:val="0"/>
                <w:sz w:val="25"/>
                <w:szCs w:val="24"/>
              </w:rPr>
              <w:t>CD151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99,925,825.15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112690728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富滇银行</w:t>
            </w:r>
            <w:r>
              <w:rPr>
                <w:rFonts w:ascii="Times New Roman" w:hAnsi="Times New Roman"/>
                <w:color w:val="000000"/>
                <w:kern w:val="0"/>
                <w:sz w:val="25"/>
                <w:szCs w:val="24"/>
              </w:rPr>
              <w:t>CD016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99,914,141.21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“影子定价”与“摊余成本法”确定的基金资产净值的偏离</w:t>
      </w:r>
    </w:p>
    <w:tbl>
      <w:tblPr>
        <w:tblW w:w="5000" w:type="pct"/>
        <w:tblCellMar>
          <w:left w:w="0" w:type="dxa"/>
          <w:right w:w="0" w:type="dxa"/>
        </w:tblCellMar>
        <w:tblLook w:val="0000" w:firstRow="0" w:lastRow="0" w:firstColumn="0" w:lastColumn="0" w:noHBand="0" w:noVBand="0"/>
      </w:tblPr>
      <w:tblGrid>
        <w:gridCol w:w="2167"/>
        <w:gridCol w:w="650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偏离情况</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报告期内偏离度的绝对值在</w:t>
            </w:r>
            <w:r>
              <w:rPr>
                <w:rFonts w:ascii="Times New Roman" w:hAnsi="Times New Roman"/>
                <w:color w:val="000000"/>
                <w:kern w:val="0"/>
                <w:sz w:val="25"/>
                <w:szCs w:val="24"/>
              </w:rPr>
              <w:t>0.25</w:t>
            </w:r>
            <w:r>
              <w:rPr>
                <w:rFonts w:ascii="Times New Roman" w:hAnsi="Times New Roman"/>
                <w:color w:val="000000"/>
                <w:kern w:val="0"/>
                <w:sz w:val="25"/>
                <w:szCs w:val="24"/>
              </w:rPr>
              <w:t>（含）</w:t>
            </w:r>
            <w:r>
              <w:rPr>
                <w:rFonts w:ascii="Times New Roman" w:hAnsi="Times New Roman"/>
                <w:color w:val="000000"/>
                <w:kern w:val="0"/>
                <w:sz w:val="25"/>
                <w:szCs w:val="24"/>
              </w:rPr>
              <w:t>-0.5%</w:t>
            </w:r>
            <w:r>
              <w:rPr>
                <w:rFonts w:ascii="Times New Roman" w:hAnsi="Times New Roman"/>
                <w:color w:val="000000"/>
                <w:kern w:val="0"/>
                <w:sz w:val="25"/>
                <w:szCs w:val="24"/>
              </w:rPr>
              <w:t>间的次数</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报告期内偏离度的最高值</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0.0373%</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报告期内偏离度的最低值</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0.0192%</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报告期内每个工作日偏离度的绝对值的简单平均值</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0.0270%</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报告期内负偏离度的绝对值达到0.25%情况说明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报告期内正偏离度的绝对值达到0.5%情况说明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8、报告期末按摊余成本占基金资产净值比例大小排名的前十名资产支持证券投资明细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9、投资组合报告附注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基金计价方法说明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本基金采用摊余成本法计价，即计价对象以买入成本列示，按票面利率或商定利率并考虑其买入时的溢价与折价，在其剩余期限内按照实际利率和摊余成本逐日摊销计算损益。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本基金投资的前十名证券的发行主体本期是否出现被监管部门立案调查，或在报告编制日前一年内受到公开谴责、处罚的情形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2026年03月05日,国家外汇管理局北京市分局公示京汇罚[2026]14号行政处罚决定书,给予中国进出口银行罚没共计221.24万元人民币的行政处罚。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2025年12月03日,央行广西壮族自治区分行公示桂银罚决字[2025]17号行政处罚决定书,给予桂林银行股份有限公司212.994万元人民币的行政处罚。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2025年09月12日,国家金融监督管理总局公示行政处罚决定书,给予中国进出口银行130万元人民币的行政处罚。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2025年06月27日,国家金融监督管理总局公示行政处罚决定书,给予中国进出口银行1810万元人民币的行政处罚。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79,430,844.10</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right"/>
              <w:rPr>
                <w:rFonts w:ascii="宋体" w:hAnsi="宋体"/>
                <w:color w:val="000000"/>
                <w:kern w:val="0"/>
                <w:sz w:val="25"/>
                <w:szCs w:val="24"/>
              </w:rPr>
            </w:pPr>
            <w:r>
              <w:rPr>
                <w:rFonts w:ascii="Times New Roman" w:hAnsi="Times New Roman"/>
                <w:color w:val="000000"/>
                <w:kern w:val="0"/>
                <w:sz w:val="25"/>
                <w:szCs w:val="24"/>
              </w:rPr>
              <w:t>79,430,844.10</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 投资组合报告附注的其他文字描述部分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4" w:name="_Toc231283858"/>
      <w:r>
        <w:rPr>
          <w:rFonts w:ascii="Times New Roman" w:hAnsi="Times New Roman"/>
          <w:sz w:val="30"/>
        </w:rPr>
        <w:lastRenderedPageBreak/>
        <w:t>十一、基金的业绩</w:t>
      </w:r>
      <w:bookmarkEnd w:id="14"/>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1、基金份额净值收益率及其与同期业绩比较基准收益率的比较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交银天益宝货币A：</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0.2990%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0.0863%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0.2127%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1.2758%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0.9258%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1.7365%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1.3855%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0.0009%</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2.0469%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1.6969%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1.8820%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1.5320%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2.3002%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1.9502%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2.1524%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1.8014%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2.5310%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2.1810%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3.4051%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0.0024%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3.0551%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0.0024%</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3.9753%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3.6253%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0.1395%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0.0031%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0.0115%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0.1280%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0.0031%</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注：本基金的业绩比较基准为活期存款利率（税后）。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交银天益宝货币E：</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0.3582%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0.0863%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0.2719%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1.5280%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1.1780%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1.9822%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1.6312%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2.2914%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1.9414%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2.1270%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1.7770%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2.5463%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2.1963%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0.0008%</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2.3973%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2.0463%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0.0018%</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2.7832%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2.4332%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3.6540%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0.0024%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3.3040%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0.0024%</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4.2236%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0.3500%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3.8736%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334D8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0.1454%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0.0115%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0.1339%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r>
    </w:tbl>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注：本基金的业绩比较基准为活期存款利率（税后）。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2、自基金合同生效以来基金份额累计净值收益率变动及其与同期业绩比较基准收益率变动的比较</w:t>
      </w:r>
    </w:p>
    <w:p w:rsidR="00334D8E" w:rsidRDefault="00AB0B2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交银施罗德天益宝货币市场基金</w:t>
      </w:r>
    </w:p>
    <w:p w:rsidR="00334D8E" w:rsidRDefault="00AB0B2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334D8E" w:rsidRDefault="00AB0B2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（2016年12月20日至2026年03月31日）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交银天益宝货币A</w:t>
      </w:r>
    </w:p>
    <w:p w:rsidR="00334D8E" w:rsidRDefault="008D122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w:t>
      </w:r>
      <w:r>
        <w:rPr>
          <w:rFonts w:ascii="宋体" w:hAnsi="宋体"/>
          <w:sz w:val="24"/>
        </w:rPr>
        <w:lastRenderedPageBreak/>
        <w:t>各项资产配置比例符合基金合同及招募说明书有关投资比例的约定。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交银天益宝货币E</w:t>
      </w:r>
    </w:p>
    <w:p w:rsidR="00334D8E" w:rsidRDefault="008D122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5" w:name="_Toc231283859"/>
      <w:r>
        <w:rPr>
          <w:rFonts w:ascii="Times New Roman" w:hAnsi="Times New Roman"/>
          <w:sz w:val="30"/>
        </w:rPr>
        <w:lastRenderedPageBreak/>
        <w:t>十二、基金的财产</w:t>
      </w:r>
      <w:bookmarkEnd w:id="15"/>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基金资产总值是指基金拥有的各类有价证券及票据价值、银行存款本息、基金应收申购款及其他资产的价值总和。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6" w:name="_Toc231283860"/>
      <w:r>
        <w:rPr>
          <w:rFonts w:ascii="Times New Roman" w:hAnsi="Times New Roman"/>
          <w:sz w:val="30"/>
        </w:rPr>
        <w:lastRenderedPageBreak/>
        <w:t>十三、基金资产的估值</w:t>
      </w:r>
      <w:bookmarkEnd w:id="16"/>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本基金的估值日为本基金相关的证券交易场所的交易日以及国家法律法规规定需要对外披露各类基金份额的基金资产净值、每万份基金已实现收益和7日年化收益率的非交易日。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基金所拥有的各类证券、票据和银行存款本息、应收款项、其它投资等资产及负债。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估值采用“摊余成本法”，即计价对象以买入成本列示，按照票面利率或协议利率并考虑其买入时的溢价与折价，在剩余存续期内按照实际利率法摊销，每日计提损益。本基金不采用市场利率和上市交易的债券和票据的市价计算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采用摊余成本法估值，当变现所持有的资产时，变现价格与摊余成本法估值价格的差异将于变现当日集中反映，从而可能导致变现当日本基金收益出现较大幅度的波动。具体而言，当估值价格高于变现价格时，变现当日收益可能将出现较大幅度的下跌；当估值价格低于变现价格时，变现当日收益可能将出现较大幅度的上涨。投资者应知晓并接受该风险。基金管理人不对由于采用该估值方法而产生的后果及风险承担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影子定价”确定的基金资产净值与“摊余成本法”计算的基金资产净值的负偏离度的绝对值达到0.25%时，基金管理人应当在5个交易日内将负偏离度绝对值调整到0.25%以内。当正偏离度绝对值达到0.5%时，基金管理人应当暂停接受申购并在5个交易日内将正偏离度绝对值调整到0.5%以内。当负偏离度绝对值达到0.5%时，基金管理人应当使用风险准备金或者固有资金弥补潜在资产损失，将负偏离度绝对值控制在0.5%以内。当负偏离度绝对值连续两个交易日超过0.5%时，基金管理人应当采用公允价值估值方法对持有投资组合的账面价</w:t>
      </w:r>
      <w:r>
        <w:rPr>
          <w:rFonts w:ascii="宋体" w:hAnsi="宋体"/>
          <w:sz w:val="24"/>
        </w:rPr>
        <w:lastRenderedPageBreak/>
        <w:t>值进行调整，或者采取暂停接受所有赎回申请并终止基金合同进行财产清算等措施。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3、如有确凿证据表明按上述方法进行估值不能客观反映其公允价值的，基金管理人可根据具体情况与基金托管人商定后，按最能反映公允价值的价格估值。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4、相关法律法规以及监管部门有强制规定的，从其规定。如有新增事项，按法律法规以及监管部门最新规定估值。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1、每万份基金已实现收益是按照相关法规计算的每万份基金份额的日已实现收益，精确到小数点后第4位，小数点后第5位四舍五入。本基金的收益分配是按日结转份额的，7日年化收益率是以最近7日（含节假日） 每万份基金已实现收益所折算的年资产收益率，精确到0.001%，百分号内小数点后第4位四舍五入。国家另有规定的，从其规定。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的基金资产净值、每万份基金已实现收益和7日年化收益率结果发送基金托管人，经基金托管人复核无误后，由基金管理人依据基金合同和相关法律法规的规定对外公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资产的计价导致每万份基金已实现收益小数点后4位以内或7日年化收益率百分号内小数点后3位以内发生差错时，视为估值错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w:t>
      </w:r>
      <w:r>
        <w:rPr>
          <w:rFonts w:ascii="宋体" w:hAnsi="宋体"/>
          <w:sz w:val="24"/>
        </w:rPr>
        <w:lastRenderedPageBreak/>
        <w:t>由此造成以后交易日基金资产净值计算顺延错误而引起的投资人或基金的损失，由提供错误信息的当事人一方负责赔偿。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w:t>
      </w:r>
      <w:r>
        <w:rPr>
          <w:rFonts w:ascii="宋体" w:hAnsi="宋体"/>
          <w:sz w:val="24"/>
        </w:rPr>
        <w:lastRenderedPageBreak/>
        <w:t>总和超过其实际损失的差额部分支付给估值错误责任方。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4、基金估值错误处理的方法如下：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（1）基金估值出现错误时，基金管理人应当立即予以纠正，通报基金托管人，并采取合理的措施防止损失进一步扩大。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（2）错误偏差达到基金资产净值的0.25%时，基金管理人应当通报基金托管人并报中国证监会备案；错误偏差达到基金资产净值的0.5%时，基金管理人应当公告。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2、因不可抗力或其他特殊情形致使基金管理人、基金托管人无法准确评估基金资产价值时；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用于基金信息披露的各类基金份额的基金资产净值、每万份基金已实现收益和</w:t>
      </w:r>
      <w:r>
        <w:rPr>
          <w:rFonts w:ascii="宋体" w:hAnsi="宋体"/>
          <w:sz w:val="24"/>
        </w:rPr>
        <w:lastRenderedPageBreak/>
        <w:t>7日年化收益率由基金管理人负责计算，基金托管人负责进行复核。基金管理人应于每个开放日交易结束后计算当日的各类基金份额的基金资产净值、每万份基金已实现收益和7日年化收益率并发送给基金托管人。基金托管人复核确认后发送给基金管理人，由基金管理人予以公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1、基金管理人、基金托管人按估值方法的第3项进行估值时，所造成的误差不作为基金资产估值错误处理。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7" w:name="_Toc231283861"/>
      <w:r>
        <w:rPr>
          <w:rFonts w:ascii="Times New Roman" w:hAnsi="Times New Roman"/>
          <w:sz w:val="30"/>
        </w:rPr>
        <w:lastRenderedPageBreak/>
        <w:t>十四、基金收益与分配</w:t>
      </w:r>
      <w:bookmarkEnd w:id="17"/>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基金利润指基金利息收入、投资收益、公允价值变动收益和其他收入扣除相关费用后的余额；基金已实现收益指基金利润减去公允价值变动损益后的余额。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（二）收益分配原则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1、本基金同一类别的每份基金份额享有同等分配权；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2、本基金收益分配方式为红利再投资，免收再投资的费用；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日分配、按日支付”。本基金根据每日基金收益情况，以每万份基金已实现收益为基准，为投资人每日计算当日收益并分配，且每日进行支付。投资人当日收益分配的计算保留到小数点后2位，小数点后第3位按去尾原则处理，因去尾形成的余额进行再次分配，直到分完为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4、本基金根据每日收益情况，将当日收益全部分配，若当日已实现收益大于零时，为投资人记正收益；若当日已实现收益小于零时，为投资人记负收益；若当日已实现收益等于零时，当日投资人不记收益；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每日进行收益计算并分配时，每日收益支付方式只采用红利再投资（即红利转基金份额）方式。若当日净收益大于零时，则增加投资人基金份额，若当日净收益等于零时，则保持投资人基金份额不变；基金管理人将采取必要措施尽量避免基金净收益小于零，若当日净收益小于零时，缩减投资人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6、当日申购的基金份额自下一个工作日起，享有基金的收益分配权益；当日赎回的基金份额自下一个工作日起，不享有基金的收益分配权益；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7、法律法规或监管机构另有规定的从其规定。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在不违反法律法规且对基金份额持有人利益无实质不利影响的前提下，基金管理人可对基金收益分配原则进行调整，不需召开基金份额持有人大会。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（三）收益分配方案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基金收益分配方案由基金管理人拟定，并由基金托管人复核后确定。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（四）收益分配的时间和程序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本基金每个工作日进行收益分配。每个开放日公告前一个开放日各类基金份额的每万份基金已实现收益和7日年化收益率。若遇法定节假日，应于节假日结束后</w:t>
      </w:r>
      <w:r>
        <w:rPr>
          <w:rFonts w:ascii="宋体" w:hAnsi="宋体"/>
          <w:sz w:val="24"/>
        </w:rPr>
        <w:lastRenderedPageBreak/>
        <w:t>第二个自然日，披露节假日期间的各类基金份额的每万份基金已实现收益和节假日最后一日的7日年化收益率，以及节假日后首个开放日的各类基金份额的每万份基金已实现收益和7日年化收益率。经中国证监会同意，可以适当延迟计算或公告。法律法规另有规定的，从其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本基金每日例行按照基金合同的约定对当天实现的收益进行收益结转（如遇节假日可顺延），每日例行的收益结转不再另行公告。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（五）本基金各类基金份额的每万份基金已实现收益及7日年化收益率的计算见本招募说明书第十五部分。</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8" w:name="_Toc231283862"/>
      <w:r>
        <w:rPr>
          <w:rFonts w:ascii="Times New Roman" w:hAnsi="Times New Roman"/>
          <w:sz w:val="30"/>
        </w:rPr>
        <w:lastRenderedPageBreak/>
        <w:t>十五、基金的费用与税收</w:t>
      </w:r>
      <w:bookmarkEnd w:id="18"/>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3、销售服务费；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4、《基金合同》生效后与基金相关的信息披露费用；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5、《基金合同》生效后与基金相关的会计师费、律师费、仲裁费和诉讼费；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8、基金的银行汇划费用；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9、基金的开户费用、账户维护费用；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本基金的管理费按前一日基金资产净值的0.15%年费率计提。管理费的计算方法如下：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基金托管人复核后于次月首日起3个工作日内从基金财产中一次性支付给基金管理人。若遇法定节假日、休息日或不可抗力等，支付日期顺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本基金的托管费按前一日基金资产净值的0.05%的年费率计提。托管费的计算方法如下：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基金托管人复核后于次月首日起3个工作日内从基金财产中一次性支取。若遇法定节假日、休息日或不可抗力致使无法按时支付的，支付日期顺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（1）除法律法规另有规定或基金合同另有约定外，本基金不收取申购费用和赎回费用。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满足相关流动性风险管理要求的前提下，当本基金持有的现金、国债、中央银行票据、政策性金融债券以及5个交易日内到期的其他金融工具占基金资产净值的比例合计低于5%且偏离度为负时，为确保基金平稳运作，避免诱发系统性风险，基金管理人应当对当日单个基金份额持有人申请赎回基金份额超过基金总份额1%以上的赎回申请征收1%的强制赎回费用，并将上述赎回费用全额计入基金财产，基金管理人与基金托管人协商确认上述做法无益于基金利益最大化的情形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（2）基金销售服务费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本基金各类基金份额按照不同的费率计提销售服务费，在通常情况下，本基金A 类基金份额的销售服务费按前一日A类基金份额的基金资产净值的0.25%年费率计提，本基金E类基金份额的销售服务费按前一日E类基金份额的基金资产净值的0.01%年费率计提。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各类基金份额的基金销售服务费计提的计算公式如下：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H为某类基金份额每日应计提的基金销售服务费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E为前一日该类基金份额的基金资产净值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服务费每日计提，按月支付。由基金管理人向基金托管人发送划付指令，由基金托管人复核后于次月首日起3个工作日内从基金财产中一次性支付给基金管理人，由基金管理人代付给销售机构，若遇法定节假日、休息日或不可抗力致使无法按时支付的，支付日期顺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上述“（一）基金费用的种类”中第4－10项费用，根据有关法规及相应协议规定，按费用实际支出金额列入当期费用，由基金托管人从基金财产中支付。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（四）费用调整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基金销售服务费率等相关费率。调整基金管理费率、基金托管费率，调高基金销售服务费率须召开基金份额持有人大会。基金管理人必须依照有关规定于新的费率实施日前在指定媒介上刊登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19" w:name="_Toc231283863"/>
      <w:r>
        <w:rPr>
          <w:rFonts w:ascii="Times New Roman" w:hAnsi="Times New Roman"/>
          <w:sz w:val="30"/>
        </w:rPr>
        <w:lastRenderedPageBreak/>
        <w:t>十六、基金的会计与审计</w:t>
      </w:r>
      <w:bookmarkEnd w:id="19"/>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0" w:name="_Toc231283864"/>
      <w:r>
        <w:rPr>
          <w:rFonts w:ascii="Times New Roman" w:hAnsi="Times New Roman"/>
          <w:sz w:val="30"/>
        </w:rPr>
        <w:lastRenderedPageBreak/>
        <w:t>十七、基金的信息披露</w:t>
      </w:r>
      <w:bookmarkEnd w:id="20"/>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（1）本基金的基金合同生效后，在开始办理基金份额申购或者赎回前，基金管理人将至少每周分别公告一次各类基金份额的基金资产净值、每万份基金已实现收益和7日年化收益率；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各类基金份额的每万份基金已实现收益和7日年化收益率的计算方法如下：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某类基金份额的日每万份基金已实现收益＝当日该类基金份额的已实现收益/当日该类基金份额总额×10000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某类基金份额的7日年化收益率（%）=</w:t>
      </w:r>
      <w:r w:rsidR="008D1221">
        <w:rPr>
          <w:rFonts w:ascii="宋体" w:hAnsi="宋体"/>
          <w:kern w:val="0"/>
          <w:sz w:val="24"/>
        </w:rPr>
        <w:pict>
          <v:shape id="_x0000_i1029" type="#_x0000_t75" style="width:217.5pt;height:60pt">
            <v:imagedata r:id="rId19" o:title="1521256610242020828"/>
          </v:shape>
        </w:pic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其中，Ri为最近第i个自然日（包括计算当日） 该类基金份额的每万份基金已实现收益，如果基金合同生效不足七日，按类似规则计算。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万份基金已实现收益采用四舍五入保留至小数点后第4位，7日年化收益率采用四舍五入保留至百分号内小数点后第3位。其中，当日该类基金份额总额包括该类基金份额截至上一工作日(包括节假日)的未结转份额（若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（2）在开始办理基金份额申购或者赎回后，基金管理人将在不晚于每个开放日的次日，通过指定网站、基金销售机构网站或者营业网点披露开放日的各类基金份额的每万份基金已实现收益和7日年化收益率。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应于节假日结束后第二个自然日，披露节假日期间的各类基金份额的每万份基金已实现收益、节假日最后一日的7日年化收益率，以及节假日后首个开放日的各类基金份额的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（3）基金管理人应当在不晚于半年度和年度最后一日的次日，在指定网站披露半年度和年度最后一日的各类基金份额的每万份基金已实现收益和7日年化收益率。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5、基金定期报告，包括基金年度报告、基金中期报告和基金季度报告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相关业务资格的会计师事务所审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w:t>
      </w:r>
      <w:r>
        <w:rPr>
          <w:rFonts w:ascii="宋体" w:hAnsi="宋体"/>
          <w:sz w:val="24"/>
        </w:rPr>
        <w:lastRenderedPageBreak/>
        <w:t>或者年度报告。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基金管理人应当在年度报告、中期报告中，至少披露报告期末基金前10名份额持有人的类别、持有份额及占总份额的比例等信息。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6、临时报告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前款所称重大事件，是指可能对基金份额持有人权益或者基金资产净值产生重大影响的下列事件：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（11）涉及基金财产、基金管理业务、基金托管业务的诉讼或仲裁；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（14）基金收益分配事项，但基金合同另有约定的除外；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（16）基金资产净值计价错误达基金资产净值百分之零点五；</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（21）调整本基金的份额类别设置；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（23）本基金投资于主体信用评级低于AA+的商业银行的银行存款与同业存单；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（24）基金信息披露义务人认为可能对基金份额持有人权益或者基金份额的价格产生重大影响的其他事项或中国证监会和基金合同约定的其他事项。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7、澄清公告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资产净值产生误导性影响或者引起较大波动，以及可能损害基金份额持有人权益的，相关信息披露义务人知悉后应当立即对该消息进行公开澄清，并将有关情况立即报告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8、基金份额持有人大会决议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w:t>
      </w:r>
      <w:r>
        <w:rPr>
          <w:rFonts w:ascii="宋体" w:hAnsi="宋体"/>
          <w:sz w:val="24"/>
        </w:rPr>
        <w:lastRenderedPageBreak/>
        <w:t>关信息披露义务。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9、基金投资资产支持证券情况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10、中国证监会规定的其他信息。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各类基金份额的基金资产净值、每万份基金已实现收益、7日年化收益率、基金份额申购赎回价格、基金定期报告、更新的招募说明书、基金产品资料概要、基金清算报告等公开披露的相关基金信息进行复核、审查，并向基金管理人进行书面或电子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w:t>
      </w:r>
      <w:r>
        <w:rPr>
          <w:rFonts w:ascii="宋体" w:hAnsi="宋体"/>
          <w:sz w:val="24"/>
        </w:rPr>
        <w:lastRenderedPageBreak/>
        <w:t>财产中列支。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1" w:name="_Toc231283865"/>
      <w:r>
        <w:rPr>
          <w:rFonts w:ascii="Times New Roman" w:hAnsi="Times New Roman"/>
          <w:sz w:val="30"/>
        </w:rPr>
        <w:lastRenderedPageBreak/>
        <w:t>十八、风险揭示</w:t>
      </w:r>
      <w:bookmarkEnd w:id="21"/>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投资者购买本货币市场基金并不等于将资金作为存款存放在银行或存款类金融机构，基金管理人不保证基金一定盈利，也不保证最低收益。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证券市场价格因受到经济因素、政治因素、投资心理和交易制度等各种因素的影响而引起的波动，将对基金收益水平产生潜在风险，主要包括：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（三）流动性风险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产净值产生不利的影响，都会影响基金运作和收益水平。尤其是在发生巨额赎回时，因市场交易量不足，某些投资品种的流动性不佳，可能导致证券不能迅速、低成本地转变为现金，从而影响基金运作和收益水平。极端情况下，连续大量赎回将会导致基金的现金支付出现困难，或迫使基金以不适当的价格大量抛售证券或提前支取存款，可能导致基金财产的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w:t>
      </w:r>
      <w:r>
        <w:rPr>
          <w:rFonts w:ascii="宋体" w:hAnsi="宋体"/>
          <w:sz w:val="24"/>
        </w:rPr>
        <w:lastRenderedPageBreak/>
        <w:t>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以此类推，直到全部赎回为止。如投资人在提交赎回申请时未作明确选择，投资人未能赎回部分作自动延期赎回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交易对手违约风险是指当债券、票据或债券回购等交易对手或存款银行违约时，将直接导致基金资产的损失，或导致基金不能及时抓住市场机会，对投资收益产生影响。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（五）货币市场基金的特定风险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1、本基金投资于货币市场工具，面临货币市场利率波动的风险，基金每日的收益将根据市场情况上下波动，在极端情况下可能为负值。由于货币市场基金的特</w:t>
      </w:r>
      <w:r>
        <w:rPr>
          <w:rFonts w:ascii="宋体" w:hAnsi="宋体"/>
          <w:sz w:val="24"/>
        </w:rPr>
        <w:lastRenderedPageBreak/>
        <w:t>殊要求，为满足投资者的赎回需要，基金必须保持一定的现金比例以应对赎回的需求，在管理现金头寸时，有可能存在现金不足的风险或现金过多而带来的机会成本风险。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3、因人为因素而产生的风险、如内幕交易、欺诈行为等产生的风险；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7、金融市场危机、行业竞争、代理商违约、托管行违约等超出基金管理人自身直接控制能力之外的风险，也可能导致基金或者基金份额持有人利益受损；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8、其他意外导致的风险。</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2" w:name="_Toc231283866"/>
      <w:r>
        <w:rPr>
          <w:rFonts w:ascii="Times New Roman" w:hAnsi="Times New Roman"/>
          <w:sz w:val="30"/>
        </w:rPr>
        <w:lastRenderedPageBreak/>
        <w:t>十九、基金合同的变更、终止与基金财产的清算</w:t>
      </w:r>
      <w:bookmarkEnd w:id="22"/>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3" w:name="_Toc231283867"/>
      <w:r>
        <w:rPr>
          <w:rFonts w:ascii="Times New Roman" w:hAnsi="Times New Roman"/>
          <w:sz w:val="30"/>
        </w:rPr>
        <w:lastRenderedPageBreak/>
        <w:t>二十、基金合同内容摘要</w:t>
      </w:r>
      <w:bookmarkEnd w:id="23"/>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12）在法律法规允许的前提下，为基金的利益依法为基金进行融资；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13）以基金管理人的名义，代表基金份额持有人的利益行使诉讼权利或者实施其他法律行为；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14）选择、更换律师事务所、会计师事务所、证券经纪商或其他为基金提供服务的外部机构；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15）在符合有关法律、法规的前提下，制定和调整有关基金认购、申购、赎回、转换等的业务规则；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16）法律法规及中国证监会规定的和《基金合同》约定的其他权利。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（2）根据《基金法》、《运作办法》及其他有关规定，基金管理人的义务包括但不限于：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8）采取适当合理的措施使计算基金份额认购、申购、赎回和注销价格的方法符合《基金合同》等法律文件的规定，按有关规定计算并公告各类基金份额的基金净值信息、每万份基金已实现收益和7日年化收益率；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16）按规定保存基金财产管理业务活动的会计账册、报表、记录和其他相关资料15年以上；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w:t>
      </w:r>
      <w:r>
        <w:rPr>
          <w:rFonts w:ascii="宋体" w:hAnsi="宋体"/>
          <w:sz w:val="24"/>
        </w:rPr>
        <w:lastRenderedPageBreak/>
        <w:t>其他费用；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8）复核、审查基金管理人计算的各类基金份额的基金资产净值、基金份额净值、每万份基金已实现收益和7日年化收益率；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w:t>
      </w:r>
      <w:r>
        <w:rPr>
          <w:rFonts w:ascii="宋体" w:hAnsi="宋体"/>
          <w:sz w:val="24"/>
        </w:rPr>
        <w:lastRenderedPageBreak/>
        <w:t>理人有未执行《基金合同》规定的行为，还应当说明基金托管人是否采取了适当的措施；</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2）参与分配清算后的剩余基金财产；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5）调整基金管理人、基金托管人的报酬标准和提高销售服务费，但法律法规要求提高该等报酬标准或销售服务费的除外；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（2）在符合法律法规及本基金合同规定、并且对基金份额持有人利益无实质不利影响的前提下，以下情况可由基金管理人和基金托管人协商后修改，不需召开基金份额持有人大会：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2）在法律法规和本基金合同规定的范围内调低基金的销售服务费率或在不影响现有基金份额持有人利益的前提下变更或增加收费方式；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w:t>
      </w:r>
      <w:r>
        <w:rPr>
          <w:rFonts w:ascii="宋体" w:hAnsi="宋体"/>
          <w:sz w:val="24"/>
        </w:rPr>
        <w:lastRenderedPageBreak/>
        <w:t>同》进行修改；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6）调整本基金份额类别的设置；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7）在符合法律法规及对基金份额持有人利益无实质性不利影响的前提下，基金管理人、登记机构、销售机构调整有关基金认购、申购、赎回、转换、收益分配、非交易过户、转托管等业务的规则；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8）按照法律法规不需召开基金份额持有人大会的其他情形。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w:t>
      </w:r>
      <w:r>
        <w:rPr>
          <w:rFonts w:ascii="宋体" w:hAnsi="宋体"/>
          <w:sz w:val="24"/>
        </w:rPr>
        <w:lastRenderedPageBreak/>
        <w:t>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w:t>
      </w:r>
      <w:r>
        <w:rPr>
          <w:rFonts w:ascii="宋体" w:hAnsi="宋体"/>
          <w:sz w:val="24"/>
        </w:rPr>
        <w:lastRenderedPageBreak/>
        <w:t>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（2）通讯开会。通讯开会系指基金份额持有人将其对表决事项的投票以会议通知载明的形式在表决截至日以前送达至召集人指定的地址。</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w:t>
      </w:r>
      <w:r>
        <w:rPr>
          <w:rFonts w:ascii="宋体" w:hAnsi="宋体"/>
          <w:sz w:val="24"/>
        </w:rPr>
        <w:lastRenderedPageBreak/>
        <w:t>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w:t>
      </w:r>
      <w:r>
        <w:rPr>
          <w:rFonts w:ascii="宋体" w:hAnsi="宋体"/>
          <w:sz w:val="24"/>
        </w:rPr>
        <w:lastRenderedPageBreak/>
        <w:t>（或单位名称）、身份证明文件号码、持有或代表有表决权的基金份额、委托人姓名（或单位名称）和联系方式等事项。</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中国证监会另有规定的除外）以特别决议通过方为有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w:t>
      </w:r>
      <w:r>
        <w:rPr>
          <w:rFonts w:ascii="宋体" w:hAnsi="宋体"/>
          <w:sz w:val="24"/>
        </w:rPr>
        <w:lastRenderedPageBreak/>
        <w:t>议的基金份额持有人和代理人中选举三名基金份额持有人代表担任监票人。基金管理人或基金托管人不出席大会的，不影响计票的效力。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w:t>
      </w:r>
      <w:r>
        <w:rPr>
          <w:rFonts w:ascii="宋体" w:hAnsi="宋体"/>
          <w:sz w:val="24"/>
        </w:rPr>
        <w:lastRenderedPageBreak/>
        <w:t>大会决议通过的事项的，应召开基金份额持有人大会决议通过。对于可不经基金份额持有人大会决议通过的事项，由基金管理人和基金托管人同意后变更并公告，并报中国证监会备案。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7）对基金剩余财产进行分配。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4" w:name="_Toc231283868"/>
      <w:r>
        <w:rPr>
          <w:rFonts w:ascii="Times New Roman" w:hAnsi="Times New Roman"/>
          <w:sz w:val="30"/>
        </w:rPr>
        <w:lastRenderedPageBreak/>
        <w:t>二十一、托管协议的内容摘要</w:t>
      </w:r>
      <w:bookmarkEnd w:id="24"/>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张宏良</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（021）61055050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 （021）61055034</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联系人：郭佳敏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名称：中国工商银行股份有限公司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住所：北京市西城区复兴门内大街55号（100032）</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法定代表人：易会满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成立日期：1984年1月1日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批准设立机关和批准设立文号：国务院《关于中国人民银行专门行使中央银行职能的决定》（国发[1983]146号）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基金托管业务批准文号：中国证监会和中国人民银行证监基字【1998】3号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注册资本：人民币35,640,625.71万元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经营范围：办理人民币存款、贷款、同业拆借业务；国内外结算；办理票据承兑、贴现、转贴现、各类汇兑业务；代理资金清算；提供信用证服务及担保；代理</w:t>
      </w:r>
      <w:r>
        <w:rPr>
          <w:rFonts w:ascii="宋体" w:hAnsi="宋体"/>
          <w:sz w:val="24"/>
        </w:rPr>
        <w:lastRenderedPageBreak/>
        <w:t>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电话：（010）66105799</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传真：（010）66105798</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联系人：洪渊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货币市场基金投资其他品种，基金管理人在履行适当程序后，可以将其纳入投资范围，其投资比例遵循届时有效法律法规或相关规定。本基金不得投资于相关法律、法规、部门规章及《基金合同》禁止投资的投资工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1）根据法律法规的规定及《基金合同》的约定，本基金投资组合遵循以下投资限制：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a、本基金投资组合的平均剩余期限在每个交易日均不得超过120天，平均剩余存续期在每个交易日均不得超过240天；</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b、本基金投资于现金、国债、中央银行票据、政策性金融债券占基金资产净值的比例合计不得低于5%，其中现金不包括结算备付金、存出保证金、应收申购款等；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c、本基金投资于现金、国债、中央银行票据、政策性金融债券以及五个交易日内到期的其他金融工具占基金资产净值的比例合计不得低于10%；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主动投资于流动性受限资产的市值合计不得超过基金资产净值的10%；因证券市场波动、基金规模变动等基金管理人之外的因素致使基金不符合该比例限制的，基金管理人不得主动新增流动性受限资产的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e、除发生巨额赎回、连续3 个交易日累计赎回20%以上或者连续5 个交易日累计赎回30%以上的情形外，本基金债券正回购的资金余额占基金资产净值的比例不得超过20%；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f、本基金投资于同一机构发行的债券、非金融企业债务融资工具及其作为原始权益人的资产支持证券占基金资产净值的比例合计不得超过10%，国债、中央银行票据、政策性金融债券除外；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g、本基金管理人管理并由本基金托管人托管的全部基金持有一家公司发行的证券，不超过该证券的10%；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i、本基金投资于资产支持证券的比例应当符合下列规定：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（a）本基金投资于同一原始权益人的各类资产支持证券的比例，不得超过基金资产净值的10%；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（b）本基金持有的全部资产支持证券，其市值不得超过基金资产净值的20%，中国证监会规定的特殊品种除外；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（c）本基金持有的同一（指同一信用级别）资产支持证券的比例，不得超过该资产支持证券规模的10%；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（d）本基金管理人管理并由本基金托管人托管的全部基金投资于同一原始权益人的各类资产支持证券，不得超过其各类资产支持证券合计规模的10%；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应投资于具有评级资质的资信评级机构进行持续信用评级，且信用评级不低于国内信用评级机构评定的AAA级或相当于AAA级的信用级别的资产支持证券。基金持有资产支持证券期间，如果其信用等级下降、不再符合投资标准，应在评级报告发布之日起3 个月内予以全部卖出；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j、本基金管理人管理并由本基金托管人托管的全部货币市场基金投资于同一商业银行的银行存款及其发行的同业存单与债券，不得超过该商业银行最近一个季度末净资产的10%；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k、当本基金前10 名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l、当本基金前10 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m、本基金投资于主体信用评级低于AAA 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n、本基金与私募类证券资管产品及中国证监会认定的其他主体为交易对手开展逆回购交易的，可接受质押品的资质要求应当与基金合同约定的投资范围保持一致；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o、本基金进入全国银行间同业市场进行债券回购的资金余额不得超过基金资产净值的40%，本基金在全国银行间同业市场的债券回购最长期限为1年，债券回购</w:t>
      </w:r>
      <w:r>
        <w:rPr>
          <w:rFonts w:ascii="宋体" w:hAnsi="宋体"/>
          <w:sz w:val="24"/>
        </w:rPr>
        <w:lastRenderedPageBreak/>
        <w:t>到期后不得展期；</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p、本基金的基金资产总值不得超过基金资产净值的140%；</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q、法律法规、中国证监会及中国人民银行规定的其他比例限制。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但须与基金托管人协商一致后方可纳入基金托管人投资监督范围。《基金法》及其他有关法律法规或监管部门取消上述限制的，如适用于本基金，基金管理人在履行适当程序后，基金不受上述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2）法规允许的基金投资比例调整期限</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a、b、d、n项及第i项的第（e）目外，由于证券市场波动、证券发行人合并或基金规模变动等基金管理人之外的原因导致的投资组合不符合上述约定的比例，不在限制之内，但基金管理人应在10个交易日内进行调整，以达到规定的投资比例限制要求，但中国证监会规定的特殊情形除外。法律法规另有规定的从其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应当符合基金合同的约定。基金管理人应在出现可预见资产规模大幅变动的情况下，至少提前2个工作日正式向基金托管人发函说明基金可能变动规模和公司应对措施，便于托管人实施交易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4）买卖其他基金份额，但中国证监会另有规定的除外；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5）向其基金管理人、基金托管人出资；如法律、行政法规或监管部门取消上述禁止性规定，如适用于本基金，基金管理人在履行适当程序后，本基金可不受上述规定的限制。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（4）基金托管人依据有关法律法规的规定和《基金合同》的约定对基金管理</w:t>
      </w:r>
      <w:r>
        <w:rPr>
          <w:rFonts w:ascii="宋体" w:hAnsi="宋体"/>
          <w:sz w:val="24"/>
        </w:rPr>
        <w:lastRenderedPageBreak/>
        <w:t>人参与银行间债券市场进行监督。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1）基金托管人按以下方式对基金管理人参与银行间市场交易的交易对手资信风险控制措施进行监督。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向基金托管人提供符合法律法规及行业标准的银行间市场交易对手的名单。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参与银行间市场交易的核心交易对手为中国工商银行、中国银行、中国建设银行、中国农业银行和交通银行，基金管理人在通知基金托管人后，可以根据当时的市场情况调整核心交易对手名单。基金管理人有责任建立完善的内部流程防范交易对手的资信风险，在与核心交易对手以外的交易对手进行交易时，由于交易对手资信风险引起的损失不由托管人承担。基金托管人的监督责任仅限于根据已提供的名单，审核交易对手是否在名单内列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（5）基金托管人对基金管理人选择存款银行进行监督。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的信用风险主要包括存款银行的信用等级、存款银行的支付能力等涉及到存款银行选择方面的风险。本基金核心存款银行名单为中国工商银行、中国银行、中国建设银行、中国农业银行和交通银行，本基金投资除核心存款银行以外的银行存款出现由于存款银行信用风险而造成的损失时，该损失不由托管人承担。基金管理人在通知基金托管人后，可以根据当时的市场情况对于核心存款银行名单进行调整。基金托管人的监督责任仅限于根据已提供的名单，审核核心存款银行是否在名单内列明。</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2、基金托管人应根据有关法律法规的规定及《基金合同》的约定，对各类基金份额的基金资产净值计算、每万份基金已实现收益和7日年化收益率计算、应收</w:t>
      </w:r>
      <w:r>
        <w:rPr>
          <w:rFonts w:ascii="宋体" w:hAnsi="宋体"/>
          <w:sz w:val="24"/>
        </w:rPr>
        <w:lastRenderedPageBreak/>
        <w:t>资金到账、基金费用开支及收入确定、基金收益分配、相关信息披露、基金宣传推介材料中登载基金业绩表现数据等进行监督和核查。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依据交易程序尚未成交的且基金托管人在交易前能够监控的投资指令，基金托管人发现该投资指令违反关法律法规规定或者违反《基金合同》约定的，应当拒绝执行，立即通知基金管理人，并向中国证监会报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对于必须于估值完成后方可获知的监控指标或依据交易程序已经成交的投资指令，基金托管人发现该投资指令违反法律法规或者违反《基金合同》约定的，应当立即通知基金管理人，并报告中国证监会。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律法规要求需向中国证监会报送基金监督报告的，基金管理人应积极配合提供相关数据资料和制度等。</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证券账户及交易编码、复核基金管理人计算的基金资产净值和每万份基金已实现收益和7日年化收益率、根据基金管理人指令办理清算交收、相关信息披露和监督基金投资运作等行为。</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（2）基金托管人应安全保管基金财产。未经基金管理人的正当指令，不得自行运用、处分、分配基金的任何财产。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（3）基金托管人按照规定开设基金财产的资金账户、证券账户及交易编码。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w:t>
      </w:r>
      <w:r>
        <w:rPr>
          <w:rFonts w:ascii="宋体" w:hAnsi="宋体"/>
          <w:sz w:val="24"/>
        </w:rPr>
        <w:lastRenderedPageBreak/>
        <w:t>基金资产。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内销售机构按基金销售服务协议的约定，将认购资金划入基金管理人在具有托管资格的商业银行开设的交银施罗德基金管理有限公司基金认购专户。该账户由基金管理人开立并管理。基金募集期满，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划入基金托管人为基金开立的资产托管专户中，基金托管人在收到资金当日出具确认文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若基金募集期限届满，未能达到《基金合同》生效的条件，由基金管理人按规定办理退款事宜。</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基金托管人以基金托管人的名义在其营业机构开设资产托管专户，保管基金的银行存款。该账户的开设和管理由基金托管人承担。本基金的一切货币收支活动，均需通过基金托管人的资产托管专户进行。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资产托管专户的开立和使用，限于满足开展本基金业务的需要。基金托管人和基金管理人不得假借本基金的名义开立其他任何银行账户；亦不得使用基金的任何银行账户进行本基金业务以外的活动。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资产托管专户的管理应符合《人民币银行结算账户管理办法》、《现金管理暂行条例》、《人民币利率管理规定》、《利率管理暂行规定》、《支付结算办法》以及银行业监督管理机构的其他规定。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5、债券托管账户的开立和管理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自营账户，并由基金托管人负责本基金的债券的后台匹配及资金的清算。</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（2）基金管理人和基金托管人应一起负责为本基金对外签订全国银行间债券市场回购主协议，正本由基金托管人保管，基金管理人保存副本。</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每万份基金已实现收益是按照相关法规计算的每万份基金份额的日已实现收益，精确到小数点后4位，小数点后第5位四舍五入。本基金的收益分配是按日结转份额的，7日年化收益率是</w:t>
      </w:r>
      <w:r>
        <w:rPr>
          <w:rFonts w:ascii="宋体" w:hAnsi="宋体"/>
          <w:sz w:val="24"/>
        </w:rPr>
        <w:lastRenderedPageBreak/>
        <w:t>以最近7日（含节假日） 每万份基金已实现收益所折算的年资产收益率，精确到0.001%，百分号内小数点后第4位四舍五入。国家另有规定的，从其规定。</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估值原则应符合《基金合同》、《证券投资基金会计核算业务指引》及其他法律、法规的规定。用于基金信息披露的各类基金份额的基金资产净值、每万份基金已实现收益和7日年化收益率由基金管理人负责计算，基金托管人复核。基金管理人应于每个工作日交易结束后计算当日的各类基金份额的基金份额资产净值、每万份基金已实现收益和7日年化收益率并以双方认可的方式发送给基金托管人。基金托管人对净值计算结果复核后以双方认可的方式发送给基金管理人，由基金管理人对基金净值予以公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各类基金份额的基金资产净值、每万份基金已实现收益和7日年化收益率，基金托管人复核、审查基金管理人计算的各类基金份额的基金资产净值、每万份基金已实现收益和7日年化收益率。因此，本基金的会计责任方是基金管理人，就与本基金有关的会计问题，如经相关各方在平等基础上充分讨论后，仍无法达成一致的意见，按照基金管理人对各类基金份额的基金资产净值、每万份基金已实现收益和7日年化收益率的计算结果对外予以公布。法律法规以及监管部门有强制规定的，从其规定。如有新增事项，按国家最新规定估值。</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份额登记机构的保存期限自基金账户销户之日起不得少于20年。基金管理人和基金托管人应按照目前相关规则分别保管基金份额持有人名册。保管方式可以采用电子或文档的形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w:t>
      </w:r>
      <w:r>
        <w:rPr>
          <w:rFonts w:ascii="宋体" w:hAnsi="宋体"/>
          <w:sz w:val="24"/>
        </w:rPr>
        <w:lastRenderedPageBreak/>
        <w:t>册应于下月前十个工作日内提交；《基金合同》生效日、《基金合同》终止日等涉及到基金重要事项日期的基金份额持有人名册应于发生日后十个工作日内提交。</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基金托管人以电子版形式妥善保管基金份额持有人名册，并定期刻成光盘备份，保存期限为15年。基金托管人不得将所保管的基金份额持有人名册用于基金托管业务以外的其他用途，并应遵守保密义务。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在北京市，仲裁裁决是终局性的并对相关各方均有约束力，除非仲裁裁决另有规定，仲裁费用由败诉方承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本协议双方当事人经协商一致，可以对协议的内容进行变更。变更后的托管协议，其内容不得与基金合同的规定有任何冲突。基金托管协议的变更报中国证监会备案。</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（4）发生法律法规、中国证监会或《基金合同》规定的终止事项。</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5" w:name="_Toc231283869"/>
      <w:r>
        <w:rPr>
          <w:rFonts w:ascii="Times New Roman" w:hAnsi="Times New Roman"/>
          <w:sz w:val="30"/>
        </w:rPr>
        <w:lastRenderedPageBreak/>
        <w:t>二十二、对基金份额持有人的服务</w:t>
      </w:r>
      <w:bookmarkEnd w:id="25"/>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本基金管理人已开通基金网上直销服务，个人投资者可以直接通过本基金管理人的网上直销交易平台办理开户和本基金A类基金份额的申购、赎回、转换等业务。有关详情可参见相关公告。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投资人如果想查询申购和赎回等交易情况、基金账户余额、基金产品与服务等信息，请拨打本基金管理人客户服务电话（400-700-5000，021-61055000）或登录本基金管理人网站（www.fund001.com）进行咨询、查询。</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本基金已开通基金转换业务，具体实施方法请参见相关公告。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待技术条件成熟时，基金管理人可通过销售机构为投资人提供定期定额投资的</w:t>
      </w:r>
      <w:r>
        <w:rPr>
          <w:rFonts w:ascii="宋体" w:hAnsi="宋体"/>
          <w:sz w:val="24"/>
        </w:rPr>
        <w:lastRenderedPageBreak/>
        <w:t>服务。通过定期定额投资计划，投资人可以定期定额申购基金份额，具体实施方法另行公告。</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6" w:name="_Toc231283870"/>
      <w:r>
        <w:rPr>
          <w:rFonts w:ascii="Times New Roman" w:hAnsi="Times New Roman"/>
          <w:sz w:val="30"/>
        </w:rPr>
        <w:lastRenderedPageBreak/>
        <w:t>二十三、其他应披露事项</w:t>
      </w:r>
      <w:bookmarkEnd w:id="26"/>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交银施罗德基金管理有限公司关于交银施罗德天益宝货币市场基金调整非直销销售机构大额申购（转换转入、定期定额投资）业务限额的公告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2025-09-10</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交银施罗德基金管理有限公司关于交银施罗德天益宝货币市场基金恢复机构投资者非直销销售机构大额申购（转换转入、定期定额投资）业务的公告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交银施罗德基金管理有限公司关于交银施罗德天益宝货币市场基金暂停机构投资者非直销销售机构大额申购（转换转入、定期定额投资）业务的公告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2025-10-22</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交银施罗德基金管理有限公司关于交银施罗德天益宝货币市场基金恢复机构投资者非直销销售机构大额申购（转换转入、定期定额投资）业务的公告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2025-12-25</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交银施罗德基金管理有限公司关于交银施罗德天益宝货币市场基金暂停机构投资者非直销销售机构大额申购（转换转入、定期定额投资）业务的公告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E</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交银施罗德基金管理有限公司关于交银施罗德天益宝货币市场基金恢复机构投资者非直销销售机构大额申购（转换转入、定期定额投资）业务的公告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交银施罗德基金管理有限公司关于交银施罗德天益宝货币市场基金暂停机构投资者非直销销售机构大额申购（转换转入、定期定额投资）业务的公告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334D8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交银施罗德天益宝货币市场基金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34D8E" w:rsidRDefault="00AB0B2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7" w:name="_Toc231283871"/>
      <w:r>
        <w:rPr>
          <w:rFonts w:ascii="Times New Roman" w:hAnsi="Times New Roman"/>
          <w:sz w:val="30"/>
        </w:rPr>
        <w:lastRenderedPageBreak/>
        <w:t>二十四、招募说明书的存放及查阅方式</w:t>
      </w:r>
      <w:bookmarkEnd w:id="27"/>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AB0B2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34D8E" w:rsidRDefault="00AB0B27">
      <w:pPr>
        <w:pStyle w:val="1"/>
        <w:snapToGrid w:val="0"/>
        <w:spacing w:beforeLines="0" w:before="240" w:after="240"/>
        <w:rPr>
          <w:rFonts w:ascii="宋体" w:hAnsi="宋体"/>
          <w:szCs w:val="30"/>
        </w:rPr>
      </w:pPr>
      <w:bookmarkStart w:id="28" w:name="_Toc231283872"/>
      <w:r>
        <w:rPr>
          <w:rFonts w:ascii="Times New Roman" w:hAnsi="Times New Roman"/>
          <w:sz w:val="30"/>
        </w:rPr>
        <w:lastRenderedPageBreak/>
        <w:t>二十五、备查文件</w:t>
      </w:r>
      <w:bookmarkEnd w:id="28"/>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（一）中国证监会准予交银施罗德天益宝货币市场基金募集注册的文件</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（二）《交银施罗德天益宝货币市场基金基金合同》</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（三）《交银施罗德天益宝货币市场基金托管协议》</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34D8E" w:rsidRDefault="00AB0B2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（六）关于申请募集注册交银施罗德天益宝货币市场基金的法律意见书</w:t>
      </w:r>
    </w:p>
    <w:sectPr w:rsidR="00334D8E">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6AF" w:rsidRDefault="00AB0B27">
      <w:r>
        <w:separator/>
      </w:r>
    </w:p>
  </w:endnote>
  <w:endnote w:type="continuationSeparator" w:id="0">
    <w:p w:rsidR="007F16AF" w:rsidRDefault="00AB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334D8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8D122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34D8E" w:rsidRDefault="00AB0B2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D1221">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334D8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8D122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34D8E" w:rsidRDefault="00AB0B2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D1221">
                  <w:rPr>
                    <w:rFonts w:ascii="Times New Roman" w:hAnsi="Times New Roman"/>
                    <w:noProof/>
                    <w:kern w:val="0"/>
                    <w:sz w:val="18"/>
                    <w:szCs w:val="18"/>
                  </w:rPr>
                  <w:t>134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6AF" w:rsidRDefault="00AB0B27">
      <w:r>
        <w:separator/>
      </w:r>
    </w:p>
  </w:footnote>
  <w:footnote w:type="continuationSeparator" w:id="0">
    <w:p w:rsidR="007F16AF" w:rsidRDefault="00AB0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334D8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AB0B27">
    <w:pPr>
      <w:pStyle w:val="a3"/>
      <w:jc w:val="right"/>
      <w:rPr>
        <w:rFonts w:ascii="宋体" w:hAnsi="宋体"/>
      </w:rPr>
    </w:pPr>
    <w:r>
      <w:rPr>
        <w:rFonts w:ascii="宋体" w:hAnsi="宋体" w:hint="eastAsia"/>
      </w:rPr>
      <w:t>交银施罗德天益宝货币市场基金招募说明书更新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334D8E">
    <w:pPr>
      <w:pStyle w:val="10"/>
      <w:jc w:val="right"/>
    </w:pPr>
  </w:p>
  <w:p w:rsidR="00334D8E" w:rsidRDefault="00334D8E">
    <w:pPr>
      <w:pStyle w:val="10"/>
      <w:jc w:val="right"/>
    </w:pPr>
  </w:p>
  <w:p w:rsidR="00334D8E" w:rsidRDefault="00334D8E">
    <w:pPr>
      <w:pStyle w:val="a3"/>
      <w:jc w:val="right"/>
    </w:pPr>
  </w:p>
  <w:p w:rsidR="00334D8E" w:rsidRDefault="00AB0B27">
    <w:pPr>
      <w:pStyle w:val="a3"/>
      <w:jc w:val="right"/>
      <w:rPr>
        <w:rFonts w:ascii="宋体" w:hAnsi="宋体"/>
      </w:rPr>
    </w:pPr>
    <w:r>
      <w:rPr>
        <w:rFonts w:ascii="宋体" w:hAnsi="宋体" w:hint="eastAsia"/>
      </w:rPr>
      <w:t>交银施罗德天益宝货币市场基金招募说明书更新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D8E" w:rsidRDefault="00334D8E">
    <w:pPr>
      <w:pStyle w:val="a3"/>
      <w:jc w:val="right"/>
    </w:pPr>
  </w:p>
  <w:p w:rsidR="00334D8E" w:rsidRDefault="00334D8E">
    <w:pPr>
      <w:pStyle w:val="a3"/>
      <w:jc w:val="right"/>
    </w:pPr>
  </w:p>
  <w:p w:rsidR="00334D8E" w:rsidRDefault="00334D8E">
    <w:pPr>
      <w:pStyle w:val="a3"/>
      <w:jc w:val="right"/>
    </w:pPr>
  </w:p>
  <w:p w:rsidR="00334D8E" w:rsidRDefault="00AB0B27">
    <w:pPr>
      <w:pStyle w:val="a3"/>
      <w:jc w:val="right"/>
      <w:rPr>
        <w:rFonts w:ascii="宋体" w:hAnsi="宋体"/>
      </w:rPr>
    </w:pPr>
    <w:r>
      <w:rPr>
        <w:rFonts w:ascii="宋体" w:hAnsi="宋体" w:hint="eastAsia"/>
      </w:rPr>
      <w:t>交银施罗德天益宝货币市场基金招募说明书更新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4D8E"/>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6AF"/>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122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0B27"/>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9"/>
    <o:shapelayout v:ext="edit">
      <o:idmap v:ext="edit" data="3"/>
    </o:shapelayout>
  </w:shapeDefaults>
  <w:decimalSymbol w:val="."/>
  <w:listSeparator w:val=","/>
  <w15:docId w15:val="{8AF4CD2C-9385-4463-9D4C-458A9DE20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135</Pages>
  <Words>13956</Words>
  <Characters>79550</Characters>
  <Application>Microsoft Office Word</Application>
  <DocSecurity>0</DocSecurity>
  <Lines>662</Lines>
  <Paragraphs>186</Paragraphs>
  <ScaleCrop>false</ScaleCrop>
  <Company>Microsoft</Company>
  <LinksUpToDate>false</LinksUpToDate>
  <CharactersWithSpaces>93320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2026-06-02T01:10:00Z</dcterms:created>
  <dcterms:modified xsi:type="dcterms:W3CDTF">2026-06-02T01:10:00Z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