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交银施罗德纯债债券型发起式证券投资基金（C类份额）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交银纯债债券发起C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2012-12-19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2017-06-10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出现基金份额持有人数量不满200人或者基金资产净值低于5000万元情形的，基金管理人应当及时报告中国证监会；连续20个工作日出现前述情形的，基金管理人应当及时向中国证监会报告，说明出现上述情况的原因并提出解决方案。</w:t>
            </w:r>
          </w:p>
          <w:p>
            <w:pPr>
              <w:ind w:firstLine="420"/>
              <w:jc w:val="left"/>
              <w:rPr>
                <w:rFonts w:ascii="仿宋_GB2312" w:eastAsia="仿宋_GB2312"/>
                <w:szCs w:val="21"/>
              </w:rPr>
            </w:pPr>
            <w:r>
              <w:rPr>
                <w:rFonts w:ascii="仿宋_GB2312" w:eastAsia="仿宋_GB2312"/>
                <w:szCs w:val="21"/>
              </w:rPr>
              <w:t>基金合同生效之日起满3年后的对应日（如该对应日为非工作日，则顺延至下一个工作日），若基金资产净值低于2亿元的，基金合同自动终止，且不得通过召开基金份额持有人大会延续基金合同期限。</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本基金为纯债基金，在严格控制投资风险的基础上，追求稳定的当期收益和基金资产的稳健增值。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逆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如法律法规或监管机构以后允许基金投资其他品种，基金管理人履行适当程序后，可以将其纳入投资范围，其投资比例遵循届时有效法律法规或相关规定。</w:t>
            </w:r>
          </w:p>
          <w:p>
            <w:pPr>
              <w:ind w:firstLine="420"/>
              <w:jc w:val="left"/>
              <w:rPr>
                <w:rFonts w:ascii="仿宋_GB2312" w:eastAsia="仿宋_GB2312"/>
                <w:szCs w:val="21"/>
              </w:rPr>
            </w:pPr>
            <w:r>
              <w:rPr>
                <w:rFonts w:hint="eastAsia" w:ascii="仿宋_GB2312" w:eastAsia="仿宋_GB2312"/>
                <w:szCs w:val="21"/>
              </w:rPr>
              <w:t>本基金的投资组合比例范围为：固定收益类资产的比例不低于基金资产的80%；现金或到期日在一年以内的政府债券的比例合计不低于基金资产净值的5%，其中现金不包括结算备付金、存出保证金和应收申购款等。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自下而上地精选个券。本基金采用的主要策略包括：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详见《交银施罗德纯债债券型发起式证券投资基金招募说明书》“基金的投资”。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为发起式基金，基金管理人运用固有资金认购本基金1000万元，持有期限并不低于三年。但基金管理人对本基金的发起认购，并不代表对本基金的风险或收益的任何判断、预测、推荐和保证，基金管理人认购的发起资金也并不用于对投资者投资亏损的补偿，投资者及基金管理人均自行承担投资风险。基金管理人认购的发起份额持有期限满三年后，基金管理人将根据自身情况决定是否继续持有，届时，基金管理人有可能赎回认购的本基金份额。基金合同生效之日起满3年后的对应日（如该对应日为非工作日，则顺延至下一个工作日），若本基金的资产净值低于2亿元，基金合同将自动终止，且无法通过召开持有人大会延续基金合同期限，因此投资者将面临基金合同可能终止的不确定性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●《交银施罗德纯债债券型发起式证券投资基金基金合同》、</w:t>
      </w:r>
    </w:p>
    <w:p>
      <w:pPr>
        <w:ind w:firstLine="420"/>
        <w:jc w:val="left"/>
        <w:rPr>
          <w:rFonts w:ascii="仿宋_GB2312" w:eastAsia="仿宋_GB2312"/>
          <w:szCs w:val="21"/>
        </w:rPr>
      </w:pPr>
      <w:r>
        <w:rPr>
          <w:rFonts w:hint="eastAsia" w:ascii="仿宋_GB2312" w:eastAsia="仿宋_GB2312"/>
          <w:szCs w:val="21"/>
        </w:rPr>
        <w:t>《交银施罗德纯债债券型发起式证券投资基金托管协议》、</w:t>
      </w:r>
    </w:p>
    <w:p>
      <w:pPr>
        <w:ind w:firstLine="420"/>
        <w:jc w:val="left"/>
        <w:rPr>
          <w:rFonts w:ascii="仿宋_GB2312" w:eastAsia="仿宋_GB2312"/>
          <w:szCs w:val="21"/>
        </w:rPr>
      </w:pPr>
      <w:r>
        <w:rPr>
          <w:rFonts w:hint="eastAsia" w:ascii="仿宋_GB2312" w:eastAsia="仿宋_GB2312"/>
          <w:szCs w:val="21"/>
        </w:rPr>
        <w:t>《交银施罗德纯债债券型发起式证券投资基金招募说明书》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12B5B"/>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83B6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594</Words>
  <Characters>3388</Characters>
  <Lines>28</Lines>
  <Paragraphs>7</Paragraphs>
  <TotalTime>0</TotalTime>
  <ScaleCrop>false</ScaleCrop>
  <LinksUpToDate>false</LinksUpToDate>
  <CharactersWithSpaces>3975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2026-05-21T05:56:40Z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2651F58131E2422B9E3898FF19F5F773</vt:lpwstr>
  </property>
</Properties>
</file>