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交银施罗德招享一年持有期混合型基金中基金（FOF）（C类份额）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交银招享一年混合C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011606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招商银行股份有限公司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2021-08-24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基金中基金</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每个开放日开放申购；每份基金份额最短持有期限为一年，在最短持有期限内不可赎回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刘迪</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2024-10-31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2015-07-01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本基金主要投资于经中国证监会依法核准或注册的公开募集证券投资基金的基金份额，在保持基金资产良好的流动性的前提下，力争实现基金资产的长期增值。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经中国证监会依法核准或注册的公开募集证券投资基金（含ETF和LOF、香港互认基金、不含QDII）、国内依法发行上市的股票（含中小板、创业板及其他经中国证监会核准或注册上市的股票、存托凭证）、债券（含国债、央行票据、金融债券、政府支持债券、政府支持机构债券、地方政府债券、企业债券、公司债券、可转换债券（含可分离交易可转换债券的纯债部分）、可交换债券、公开发行的次级债券、中期票据、短期融资券、超短期融资券等）、资产支持证券、货币市场工具、债券回购、同业存单、银行存款（含协议存款、定期存款及其他银行存款）以及法律法规或中国证监会允许基金投资的其他金融工具。</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经中国证监会依法核准或注册的公开募集证券投资基金的基金份额的资产不低于本基金资产的80%；投资于股票型基金（包括股票指数基金）的比例占基金资产的0%-30%；本基金持有的现金或者投资于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本基金投资策略主要分为以下五个部分：</w:t>
            </w:r>
          </w:p>
          <w:p>
            <w:pPr>
              <w:ind w:firstLine="420"/>
              <w:jc w:val="left"/>
              <w:rPr>
                <w:rFonts w:ascii="仿宋_GB2312" w:eastAsia="仿宋_GB2312"/>
                <w:szCs w:val="21"/>
              </w:rPr>
            </w:pPr>
            <w:r>
              <w:rPr>
                <w:rFonts w:hint="eastAsia" w:ascii="仿宋_GB2312" w:eastAsia="仿宋_GB2312"/>
                <w:szCs w:val="21"/>
              </w:rPr>
              <w:t>1、大类资产配置；2、基金投资策略；3、股票投资策略；4、债券投资策略；5、资产支持证券投资策略。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85%×中债综合全价指数收益率+15%×沪深300指数收益率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混合型基金中基金，由于本基金主要投资于经中国证监会依法核准或注册的公开募集证券投资基金的基金份额，持有基金的预期风险和预期收益间接成为本基金的预期风险和预期收益。本基金的预期风险与预期收益高于债券型基金、债券型基金中基金、货币市场基金和货币型基金中基金，低于股票型基金和股票型基金中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详见《交银施罗德招享一年持有期混合型基金中基金(FOF)招募说明书》“基金的投资”。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2、本基金合同于2021年8月24日生效，合同生效当年净值增长率按实际存续期计算；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ind w:firstLine="420"/>
        <w:jc w:val="left"/>
        <w:rPr>
          <w:rFonts w:ascii="仿宋_GB2312" w:eastAsia="仿宋_GB2312"/>
          <w:szCs w:val="21"/>
        </w:rPr>
      </w:pPr>
      <w:r>
        <w:rPr>
          <w:rFonts w:hint="eastAsia" w:ascii="仿宋_GB2312" w:eastAsia="仿宋_GB2312"/>
          <w:szCs w:val="21"/>
        </w:rPr>
        <w:t>无。</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0.50%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0.40%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1、本基金基金财产中持有的基金管理人自身管理的基金部分不收取管理费；持有的基金托管人自身托管的基金部分不收取托管费。 2、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1.07%</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混合型基金中基金，本基金投资于经中国证监会依法核准或注册的公开募集证券投资基金的基金份额的资产不低于本基金资产的80%；投资于股票型基金（包括股票指数基金）的比例占基金资产的0%-30%。因此本基金所持有的基金的业绩表现、持有基金的基金管理人水平等因素将影响到本基金的基金业绩表现。</w:t>
      </w:r>
    </w:p>
    <w:p>
      <w:pPr>
        <w:ind w:firstLine="420"/>
        <w:jc w:val="left"/>
        <w:rPr>
          <w:rFonts w:ascii="仿宋_GB2312" w:eastAsia="仿宋_GB2312"/>
          <w:szCs w:val="21"/>
        </w:rPr>
      </w:pPr>
      <w:r>
        <w:rPr>
          <w:rFonts w:hint="eastAsia" w:ascii="仿宋_GB2312" w:eastAsia="仿宋_GB2312"/>
          <w:szCs w:val="21"/>
        </w:rPr>
        <w:t>（2）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pPr>
        <w:ind w:firstLine="420"/>
        <w:jc w:val="left"/>
        <w:rPr>
          <w:rFonts w:ascii="仿宋_GB2312" w:eastAsia="仿宋_GB2312"/>
          <w:szCs w:val="21"/>
        </w:rPr>
      </w:pPr>
      <w:r>
        <w:rPr>
          <w:rFonts w:hint="eastAsia" w:ascii="仿宋_GB2312" w:eastAsia="仿宋_GB2312"/>
          <w:szCs w:val="21"/>
        </w:rPr>
        <w:t>（3）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pPr>
        <w:ind w:firstLine="420"/>
        <w:jc w:val="left"/>
        <w:rPr>
          <w:rFonts w:ascii="仿宋_GB2312" w:eastAsia="仿宋_GB2312"/>
          <w:szCs w:val="21"/>
        </w:rPr>
      </w:pPr>
      <w:r>
        <w:rPr>
          <w:rFonts w:hint="eastAsia" w:ascii="仿宋_GB2312" w:eastAsia="仿宋_GB2312"/>
          <w:szCs w:val="21"/>
        </w:rPr>
        <w:t>（4）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pPr>
        <w:ind w:firstLine="420"/>
        <w:jc w:val="left"/>
        <w:rPr>
          <w:rFonts w:ascii="仿宋_GB2312" w:eastAsia="仿宋_GB2312"/>
          <w:szCs w:val="21"/>
        </w:rPr>
      </w:pPr>
      <w:r>
        <w:rPr>
          <w:rFonts w:hint="eastAsia" w:ascii="仿宋_GB2312" w:eastAsia="仿宋_GB2312"/>
          <w:szCs w:val="21"/>
        </w:rPr>
        <w:t>（5）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pPr>
        <w:ind w:firstLine="420"/>
        <w:jc w:val="left"/>
        <w:rPr>
          <w:rFonts w:ascii="仿宋_GB2312" w:eastAsia="仿宋_GB2312"/>
          <w:szCs w:val="21"/>
        </w:rPr>
      </w:pPr>
      <w:r>
        <w:rPr>
          <w:rFonts w:hint="eastAsia" w:ascii="仿宋_GB2312" w:eastAsia="仿宋_GB2312"/>
          <w:szCs w:val="21"/>
        </w:rPr>
        <w:t>（6）本基金为基金中基金，本基金可投资于商品基金，因此将间接承担商品基金可能面临的商品价格波动风险、投资商品期货合约的风险、盯市风险等商品投资风险。</w:t>
      </w:r>
    </w:p>
    <w:p>
      <w:pPr>
        <w:ind w:firstLine="420"/>
        <w:jc w:val="left"/>
        <w:rPr>
          <w:rFonts w:ascii="仿宋_GB2312" w:eastAsia="仿宋_GB2312"/>
          <w:szCs w:val="21"/>
        </w:rPr>
      </w:pPr>
      <w:r>
        <w:rPr>
          <w:rFonts w:hint="eastAsia" w:ascii="仿宋_GB2312" w:eastAsia="仿宋_GB2312"/>
          <w:szCs w:val="21"/>
        </w:rPr>
        <w:t>（7）基金份额持有人持有的每份基金份额最短持有期限为一年，在最短持有期限内该份基金份额不可赎回，自最短持有期限届满的下一工作日起（含该日）可赎回。对于每笔认购的基金份额而言，最短持有期限自基金合同生效之日起（含该日）至一年后的年度对日的前一日；对于每笔申购的基金份额而言，最短持有期限自该笔申购份额确认日（含该日）至一年后的年度对日的前一日。因此，对于基金份额持有人而言，存在投资本基金后一年内无法赎回的风险。</w:t>
      </w:r>
    </w:p>
    <w:p>
      <w:pPr>
        <w:ind w:firstLine="420"/>
        <w:jc w:val="left"/>
        <w:rPr>
          <w:rFonts w:ascii="仿宋_GB2312" w:eastAsia="仿宋_GB2312"/>
          <w:szCs w:val="21"/>
        </w:rPr>
      </w:pPr>
      <w:r>
        <w:rPr>
          <w:rFonts w:hint="eastAsia" w:ascii="仿宋_GB2312" w:eastAsia="仿宋_GB2312"/>
          <w:szCs w:val="21"/>
        </w:rPr>
        <w:t>（8）本基金可投资创业板股票，创业板个股上市后的前五个交易日不设价格涨跌幅限制，第六个交易日开始涨跌幅限制比例为20%。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7、投资流通受限证券的特定风险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8、投资科创板股票的特定风险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9、基金合同提前终止风险</w:t>
      </w:r>
    </w:p>
    <w:p>
      <w:pPr>
        <w:ind w:firstLine="420"/>
        <w:jc w:val="left"/>
        <w:rPr>
          <w:rFonts w:ascii="仿宋_GB2312" w:eastAsia="仿宋_GB2312"/>
          <w:szCs w:val="21"/>
        </w:rPr>
      </w:pPr>
      <w:r>
        <w:rPr>
          <w:rFonts w:hint="eastAsia" w:ascii="仿宋_GB2312" w:eastAsia="仿宋_GB2312"/>
          <w:szCs w:val="21"/>
        </w:rPr>
        <w:t>连续50个工作日出现基金份额持有人数量不满200人或基金资产净值低于5000万元情形时，基金合同终止，不需召开基金份额持有人大会。</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12、其他风险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因基金合同而产生的或与基金合同有关的一切争议，如经友好协商未能解决的，任何一方均有权将争议提交深圳国际仲裁院，按其届时有效的仲裁规则进行仲裁。仲裁地点为深圳市。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●《交银施罗德招享一年持有期混合型基金中基金（FOF）基金合同》、</w:t>
      </w:r>
    </w:p>
    <w:p>
      <w:pPr>
        <w:ind w:firstLine="420"/>
        <w:jc w:val="left"/>
        <w:rPr>
          <w:rFonts w:ascii="仿宋_GB2312" w:eastAsia="仿宋_GB2312"/>
          <w:szCs w:val="21"/>
        </w:rPr>
      </w:pPr>
      <w:r>
        <w:rPr>
          <w:rFonts w:hint="eastAsia" w:ascii="仿宋_GB2312" w:eastAsia="仿宋_GB2312"/>
          <w:szCs w:val="21"/>
        </w:rPr>
        <w:t>《交银施罗德招享一年持有期混合型基金中基金（FOF）托管协议》、</w:t>
      </w:r>
    </w:p>
    <w:p>
      <w:pPr>
        <w:ind w:firstLine="420"/>
        <w:jc w:val="left"/>
        <w:rPr>
          <w:rFonts w:ascii="仿宋_GB2312" w:eastAsia="仿宋_GB2312"/>
          <w:szCs w:val="21"/>
        </w:rPr>
      </w:pPr>
      <w:r>
        <w:rPr>
          <w:rFonts w:hint="eastAsia" w:ascii="仿宋_GB2312" w:eastAsia="仿宋_GB2312"/>
          <w:szCs w:val="21"/>
        </w:rPr>
        <w:t>《交银施罗德招享一年持有期混合型基金中基金（FOF）招募说明书》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B8574A"/>
    <w:rsid w:val="00C0525C"/>
    <w:rsid w:val="00CD7637"/>
    <w:rsid w:val="00D04A15"/>
    <w:rsid w:val="00D373CC"/>
    <w:rsid w:val="00DB319C"/>
    <w:rsid w:val="00E51B6D"/>
    <w:rsid w:val="00F75715"/>
    <w:rsid w:val="00F811C4"/>
    <w:rsid w:val="00FC2918"/>
    <w:rsid w:val="314142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819</Words>
  <Characters>4674</Characters>
  <Lines>38</Lines>
  <Paragraphs>10</Paragraphs>
  <TotalTime>0</TotalTime>
  <ScaleCrop>false</ScaleCrop>
  <LinksUpToDate>false</LinksUpToDate>
  <CharactersWithSpaces>5483</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2026-05-20T01:37:00Z</dcterms:created>
  <dc:creator>Cc</dc:creator>
  <cp:lastModifiedBy>haotingting</cp:lastModifiedBy>
  <dcterms:modified xsi:type="dcterms:W3CDTF">2026-05-25T01:39:01Z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57FAC7B91C7E4CA9B4B88F6EEFCCB849</vt:lpwstr>
  </property>
</Properties>
</file>