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FC662A">
      <w:pPr>
        <w:rPr>
          <w:sz w:val="32"/>
        </w:rPr>
      </w:pPr>
    </w:p>
    <w:p w:rsidR="00C92FC0" w:rsidRPr="00EB07BC" w:rsidRDefault="00FC662A">
      <w:pPr>
        <w:rPr>
          <w:sz w:val="32"/>
        </w:rPr>
      </w:pPr>
    </w:p>
    <w:p w:rsidR="00C92FC0" w:rsidRPr="00EB07BC" w:rsidRDefault="00FC662A">
      <w:pPr>
        <w:rPr>
          <w:sz w:val="32"/>
        </w:rPr>
      </w:pPr>
    </w:p>
    <w:p w:rsidR="00413E62" w:rsidRDefault="00413E6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413E62" w:rsidRDefault="00413E6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413E62" w:rsidRDefault="00413E6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413E62" w:rsidRDefault="006130FA">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交银施罗德启合混合型证券投资基金</w:t>
      </w:r>
    </w:p>
    <w:p w:rsidR="00413E62" w:rsidRDefault="006130FA">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413E62" w:rsidRDefault="00413E62">
      <w:pPr>
        <w:snapToGrid w:val="0"/>
        <w:spacing w:line="360" w:lineRule="auto"/>
        <w:jc w:val="center"/>
        <w:rPr>
          <w:rFonts w:ascii="宋体" w:hAnsi="宋体"/>
          <w:b/>
          <w:sz w:val="30"/>
          <w:szCs w:val="30"/>
        </w:rPr>
      </w:pPr>
    </w:p>
    <w:p w:rsidR="00413E62" w:rsidRDefault="00413E6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13E62" w:rsidRDefault="00413E6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13E62" w:rsidRDefault="00413E6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13E62" w:rsidRDefault="00413E6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13E62" w:rsidRDefault="00413E6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13E62" w:rsidRDefault="00413E6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13E62" w:rsidRDefault="006130F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413E62" w:rsidRDefault="006130F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413E62" w:rsidRDefault="00413E6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13E62" w:rsidRDefault="00413E6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13E62" w:rsidRDefault="006130FA">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413E62" w:rsidRDefault="00413E62">
      <w:pPr>
        <w:autoSpaceDE w:val="0"/>
        <w:autoSpaceDN w:val="0"/>
        <w:adjustRightInd w:val="0"/>
        <w:snapToGrid w:val="0"/>
        <w:spacing w:line="360" w:lineRule="auto"/>
        <w:ind w:left="1347" w:rightChars="6" w:right="13"/>
        <w:rPr>
          <w:rFonts w:ascii="宋体" w:hAnsi="宋体"/>
          <w:kern w:val="0"/>
          <w:sz w:val="32"/>
          <w:szCs w:val="32"/>
        </w:rPr>
        <w:sectPr w:rsidR="00413E62">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413E62" w:rsidRDefault="006130FA">
      <w:pPr>
        <w:pStyle w:val="1"/>
        <w:snapToGrid w:val="0"/>
        <w:spacing w:beforeLines="0" w:before="240" w:after="240"/>
        <w:rPr>
          <w:rFonts w:ascii="宋体" w:hAnsi="宋体"/>
          <w:kern w:val="0"/>
        </w:rPr>
      </w:pPr>
      <w:bookmarkStart w:id="0" w:name="_Toc324920538"/>
      <w:bookmarkStart w:id="1" w:name="_Toc496884613"/>
      <w:bookmarkStart w:id="2" w:name="_Toc231197022"/>
      <w:r>
        <w:rPr>
          <w:rFonts w:ascii="Times New Roman" w:hAnsi="Times New Roman"/>
          <w:kern w:val="0"/>
        </w:rPr>
        <w:lastRenderedPageBreak/>
        <w:t>重要提示</w:t>
      </w:r>
      <w:bookmarkEnd w:id="0"/>
      <w:bookmarkEnd w:id="1"/>
      <w:bookmarkEnd w:id="2"/>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交银施罗德启合混合型证券投资基金（以下简称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2023</w:t>
      </w:r>
      <w:r>
        <w:rPr>
          <w:rFonts w:ascii="Times New Roman" w:hAnsi="Times New Roman"/>
          <w:kern w:val="0"/>
          <w:sz w:val="24"/>
        </w:rPr>
        <w:t>】</w:t>
      </w:r>
      <w:r>
        <w:rPr>
          <w:rFonts w:ascii="Times New Roman" w:hAnsi="Times New Roman"/>
          <w:kern w:val="0"/>
          <w:sz w:val="24"/>
        </w:rPr>
        <w:t>1673</w:t>
      </w:r>
      <w:r>
        <w:rPr>
          <w:rFonts w:ascii="Times New Roman" w:hAnsi="Times New Roman"/>
          <w:kern w:val="0"/>
          <w:sz w:val="24"/>
        </w:rPr>
        <w:t>号文准予募集注册，并经机构部函【</w:t>
      </w:r>
      <w:r>
        <w:rPr>
          <w:rFonts w:ascii="Times New Roman" w:hAnsi="Times New Roman"/>
          <w:kern w:val="0"/>
          <w:sz w:val="24"/>
        </w:rPr>
        <w:t>2024</w:t>
      </w:r>
      <w:r>
        <w:rPr>
          <w:rFonts w:ascii="Times New Roman" w:hAnsi="Times New Roman"/>
          <w:kern w:val="0"/>
          <w:sz w:val="24"/>
        </w:rPr>
        <w:t>】</w:t>
      </w:r>
      <w:r>
        <w:rPr>
          <w:rFonts w:ascii="Times New Roman" w:hAnsi="Times New Roman"/>
          <w:kern w:val="0"/>
          <w:sz w:val="24"/>
        </w:rPr>
        <w:t>1171</w:t>
      </w:r>
      <w:r>
        <w:rPr>
          <w:rFonts w:ascii="Times New Roman" w:hAnsi="Times New Roman"/>
          <w:kern w:val="0"/>
          <w:sz w:val="24"/>
        </w:rPr>
        <w:t>号准予延期募集。本基金基金合同于</w:t>
      </w:r>
      <w:r>
        <w:rPr>
          <w:rFonts w:ascii="Times New Roman" w:hAnsi="Times New Roman"/>
          <w:kern w:val="0"/>
          <w:sz w:val="24"/>
        </w:rPr>
        <w:t>2024</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投资股指期货的特定风险；投资资产支持证券的特定风险；投资流通受限证券的特定风险；投资港股通标的股票的特定风险；投资科创板股票的特定风险；投资存托凭证的特定风险；本基金法律文件风险收益特征表述与销售机构基金风险评价可能不一致的风险；投资本基金的其他风险等等。</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本基金是一只混合型基金，其预期风险和预期收益理论上高于债券型基金和货币市场基金，低于股票型基金。</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）的，会面临港股通机制下因投资环境、投资标的、市场制度以及交易规则等差异带来的特有风险，包括但不限于港股市场股价波动较大的风险（港股市场实行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本基金可根据投资策略需要或不同配置地市场环境的变化，选择将部分基金资产投资于港股或选择不将基金资产投资于港股，基金资产并非必然投资港股。</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集中度风险、系统性风险、政策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基金可根据投资策略需要或市场环境的变化，选择将部分基金资产投资于科创板股票或选择不将基金资产投资于科创板股票，基金资产并非必然投资于科创板股票。</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基金合同提前终止风险。连续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人或者基金资产净值低于</w:t>
      </w:r>
      <w:r>
        <w:rPr>
          <w:rFonts w:ascii="Times New Roman" w:hAnsi="Times New Roman"/>
          <w:kern w:val="0"/>
          <w:sz w:val="24"/>
        </w:rPr>
        <w:t>5000</w:t>
      </w:r>
      <w:r>
        <w:rPr>
          <w:rFonts w:ascii="Times New Roman" w:hAnsi="Times New Roman"/>
          <w:kern w:val="0"/>
          <w:sz w:val="24"/>
        </w:rPr>
        <w:t>万元情形的，基金合同终止，不需召开基金份额持有人大会。</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413E62" w:rsidRDefault="006130F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413E62" w:rsidRDefault="00413E62">
      <w:pPr>
        <w:autoSpaceDE w:val="0"/>
        <w:autoSpaceDN w:val="0"/>
        <w:adjustRightInd w:val="0"/>
        <w:snapToGrid w:val="0"/>
        <w:spacing w:before="51" w:line="360" w:lineRule="auto"/>
        <w:ind w:left="120" w:rightChars="6" w:right="13" w:firstLine="480"/>
        <w:rPr>
          <w:rFonts w:ascii="宋体" w:hAnsi="宋体"/>
          <w:kern w:val="0"/>
          <w:szCs w:val="24"/>
        </w:rPr>
        <w:sectPr w:rsidR="00413E62">
          <w:headerReference w:type="default" r:id="rId14"/>
          <w:pgSz w:w="11920" w:h="16840"/>
          <w:pgMar w:top="1440" w:right="1680" w:bottom="280" w:left="1680" w:header="0" w:footer="1073" w:gutter="0"/>
          <w:pgNumType w:start="1"/>
          <w:cols w:space="720"/>
        </w:sectPr>
      </w:pPr>
    </w:p>
    <w:p w:rsidR="00FC662A" w:rsidRPr="00FC662A" w:rsidRDefault="006130FA" w:rsidP="00FC662A">
      <w:pPr>
        <w:pStyle w:val="ad"/>
        <w:snapToGrid w:val="0"/>
        <w:spacing w:after="240" w:line="360" w:lineRule="auto"/>
        <w:jc w:val="center"/>
        <w:rPr>
          <w:rFonts w:ascii="宋体" w:hAnsi="宋体"/>
          <w:noProof/>
          <w:sz w:val="24"/>
        </w:rPr>
      </w:pPr>
      <w:r w:rsidRPr="00FC662A">
        <w:rPr>
          <w:rFonts w:ascii="宋体" w:hAnsi="宋体"/>
          <w:color w:val="000000"/>
          <w:position w:val="-4"/>
          <w:sz w:val="24"/>
          <w:szCs w:val="30"/>
        </w:rPr>
        <w:lastRenderedPageBreak/>
        <w:t>目</w:t>
      </w:r>
      <w:r w:rsidRPr="00FC662A">
        <w:rPr>
          <w:rFonts w:ascii="宋体" w:hAnsi="宋体"/>
          <w:color w:val="000000"/>
          <w:position w:val="-4"/>
          <w:sz w:val="24"/>
          <w:szCs w:val="30"/>
        </w:rPr>
        <w:tab/>
        <w:t>录</w:t>
      </w:r>
      <w:r w:rsidR="00FC662A" w:rsidRPr="00FC662A">
        <w:rPr>
          <w:rFonts w:ascii="宋体" w:hAnsi="宋体"/>
          <w:color w:val="000000"/>
          <w:position w:val="-4"/>
          <w:sz w:val="24"/>
          <w:szCs w:val="30"/>
        </w:rPr>
        <w:fldChar w:fldCharType="begin"/>
      </w:r>
      <w:r w:rsidR="00FC662A" w:rsidRPr="00FC662A">
        <w:rPr>
          <w:rFonts w:ascii="宋体" w:hAnsi="宋体"/>
          <w:color w:val="000000"/>
          <w:position w:val="-4"/>
          <w:sz w:val="24"/>
          <w:szCs w:val="30"/>
        </w:rPr>
        <w:instrText xml:space="preserve"> TOC \o "1-3" \f - \h \t "-1" </w:instrText>
      </w:r>
      <w:r w:rsidR="00FC662A" w:rsidRPr="00FC662A">
        <w:rPr>
          <w:rFonts w:ascii="宋体" w:hAnsi="宋体"/>
          <w:color w:val="000000"/>
          <w:position w:val="-4"/>
          <w:sz w:val="24"/>
          <w:szCs w:val="30"/>
        </w:rPr>
        <w:fldChar w:fldCharType="separate"/>
      </w:r>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22" w:history="1">
        <w:r w:rsidRPr="00FC662A">
          <w:rPr>
            <w:rStyle w:val="aa"/>
            <w:rFonts w:ascii="宋体" w:hAnsi="宋体" w:hint="eastAsia"/>
            <w:noProof/>
            <w:kern w:val="0"/>
            <w:sz w:val="24"/>
          </w:rPr>
          <w:t>重要提示</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_Toc231197022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1</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23" w:history="1">
        <w:r w:rsidRPr="00FC662A">
          <w:rPr>
            <w:rStyle w:val="aa"/>
            <w:rFonts w:ascii="宋体" w:hAnsi="宋体" w:hint="eastAsia"/>
            <w:noProof/>
            <w:sz w:val="24"/>
          </w:rPr>
          <w:t>一、绪言</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_Toc231197023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5</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24" w:history="1">
        <w:r w:rsidRPr="00FC662A">
          <w:rPr>
            <w:rStyle w:val="aa"/>
            <w:rFonts w:ascii="宋体" w:hAnsi="宋体" w:hint="eastAsia"/>
            <w:noProof/>
            <w:sz w:val="24"/>
          </w:rPr>
          <w:t>二、释义</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_Toc231197024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6</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25" w:history="1">
        <w:r w:rsidRPr="00FC662A">
          <w:rPr>
            <w:rStyle w:val="aa"/>
            <w:rFonts w:ascii="宋体" w:hAnsi="宋体" w:hint="eastAsia"/>
            <w:noProof/>
            <w:sz w:val="24"/>
          </w:rPr>
          <w:t>三、基金管理人</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_Toc231197025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11</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26" w:history="1">
        <w:r w:rsidRPr="00FC662A">
          <w:rPr>
            <w:rStyle w:val="aa"/>
            <w:rFonts w:ascii="宋体" w:hAnsi="宋体" w:hint="eastAsia"/>
            <w:noProof/>
            <w:sz w:val="24"/>
          </w:rPr>
          <w:t>四、基金托管人</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_Toc231197026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18</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27" w:history="1">
        <w:r w:rsidRPr="00FC662A">
          <w:rPr>
            <w:rStyle w:val="aa"/>
            <w:rFonts w:ascii="宋体" w:hAnsi="宋体" w:hint="eastAsia"/>
            <w:noProof/>
            <w:sz w:val="24"/>
          </w:rPr>
          <w:t>五、相关服务机构</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_Toc231197027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25</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28" w:history="1">
        <w:r w:rsidRPr="00FC662A">
          <w:rPr>
            <w:rStyle w:val="aa"/>
            <w:rFonts w:ascii="宋体" w:hAnsi="宋体" w:hint="eastAsia"/>
            <w:noProof/>
            <w:sz w:val="24"/>
          </w:rPr>
          <w:t>六、基金的募集</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_Toc231197028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46</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29" w:history="1">
        <w:r w:rsidRPr="00FC662A">
          <w:rPr>
            <w:rStyle w:val="aa"/>
            <w:rFonts w:ascii="宋体" w:hAnsi="宋体" w:hint="eastAsia"/>
            <w:noProof/>
            <w:sz w:val="24"/>
          </w:rPr>
          <w:t>七、基金合同的生效</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_Toc231197029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47</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30" w:history="1">
        <w:r w:rsidRPr="00FC662A">
          <w:rPr>
            <w:rStyle w:val="aa"/>
            <w:rFonts w:ascii="宋体" w:hAnsi="宋体" w:hint="eastAsia"/>
            <w:noProof/>
            <w:sz w:val="24"/>
          </w:rPr>
          <w:t>八、基金份额的申购与赎回</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_Toc231197030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48</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31" w:history="1">
        <w:r w:rsidRPr="00FC662A">
          <w:rPr>
            <w:rStyle w:val="aa"/>
            <w:rFonts w:ascii="宋体" w:hAnsi="宋体" w:hint="eastAsia"/>
            <w:noProof/>
            <w:sz w:val="24"/>
          </w:rPr>
          <w:t>九、基金的转换</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_Toc231197031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62</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32" w:history="1">
        <w:r w:rsidRPr="00FC662A">
          <w:rPr>
            <w:rStyle w:val="aa"/>
            <w:rFonts w:ascii="宋体" w:hAnsi="宋体" w:hint="eastAsia"/>
            <w:noProof/>
            <w:sz w:val="24"/>
          </w:rPr>
          <w:t>十、基金的投资</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_Toc231197032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69</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33" w:history="1">
        <w:r w:rsidRPr="00FC662A">
          <w:rPr>
            <w:rStyle w:val="aa"/>
            <w:rFonts w:ascii="宋体" w:hAnsi="宋体" w:hint="eastAsia"/>
            <w:noProof/>
            <w:sz w:val="24"/>
          </w:rPr>
          <w:t>十一、基金的业绩</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_Toc231197033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81</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34" w:history="1">
        <w:r w:rsidRPr="00FC662A">
          <w:rPr>
            <w:rStyle w:val="aa"/>
            <w:rFonts w:ascii="宋体" w:hAnsi="宋体" w:hint="eastAsia"/>
            <w:noProof/>
            <w:sz w:val="24"/>
          </w:rPr>
          <w:t>十二、基金的财产</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_Toc231197034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84</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35" w:history="1">
        <w:r w:rsidRPr="00FC662A">
          <w:rPr>
            <w:rStyle w:val="aa"/>
            <w:rFonts w:ascii="宋体" w:hAnsi="宋体" w:hint="eastAsia"/>
            <w:noProof/>
            <w:sz w:val="24"/>
          </w:rPr>
          <w:t>十三、基金资产的估值</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_Toc231197035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85</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36" w:history="1">
        <w:r w:rsidRPr="00FC662A">
          <w:rPr>
            <w:rStyle w:val="aa"/>
            <w:rFonts w:ascii="宋体" w:hAnsi="宋体" w:hint="eastAsia"/>
            <w:noProof/>
            <w:sz w:val="24"/>
          </w:rPr>
          <w:t>十四、基金收益与分配</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_Toc231197036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92</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37" w:history="1">
        <w:r w:rsidRPr="00FC662A">
          <w:rPr>
            <w:rStyle w:val="aa"/>
            <w:rFonts w:ascii="宋体" w:hAnsi="宋体" w:hint="eastAsia"/>
            <w:noProof/>
            <w:sz w:val="24"/>
          </w:rPr>
          <w:t>十五、基金的费用与税收</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_Toc231197037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94</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38" w:history="1">
        <w:r w:rsidRPr="00FC662A">
          <w:rPr>
            <w:rStyle w:val="aa"/>
            <w:rFonts w:ascii="宋体" w:hAnsi="宋体" w:hint="eastAsia"/>
            <w:noProof/>
            <w:sz w:val="24"/>
          </w:rPr>
          <w:t>十六、基金的会计与审计</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_Toc231197038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97</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39" w:history="1">
        <w:r w:rsidRPr="00FC662A">
          <w:rPr>
            <w:rStyle w:val="aa"/>
            <w:rFonts w:ascii="宋体" w:hAnsi="宋体" w:hint="eastAsia"/>
            <w:noProof/>
            <w:sz w:val="24"/>
          </w:rPr>
          <w:t>十七、基金的信息披露</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_Toc231197039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98</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40" w:history="1">
        <w:r w:rsidRPr="00FC662A">
          <w:rPr>
            <w:rStyle w:val="aa"/>
            <w:rFonts w:ascii="宋体" w:hAnsi="宋体" w:hint="eastAsia"/>
            <w:noProof/>
            <w:sz w:val="24"/>
          </w:rPr>
          <w:t>十八、侧袋机制</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_Toc231197040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105</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41" w:history="1">
        <w:r w:rsidRPr="00FC662A">
          <w:rPr>
            <w:rStyle w:val="aa"/>
            <w:rFonts w:ascii="宋体" w:hAnsi="宋体" w:hint="eastAsia"/>
            <w:noProof/>
            <w:sz w:val="24"/>
          </w:rPr>
          <w:t>十九、风险揭示</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_Toc231197041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108</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42" w:history="1">
        <w:r w:rsidRPr="00FC662A">
          <w:rPr>
            <w:rStyle w:val="aa"/>
            <w:rFonts w:ascii="宋体" w:hAnsi="宋体" w:hint="eastAsia"/>
            <w:noProof/>
            <w:sz w:val="24"/>
          </w:rPr>
          <w:t>二十、基金合同的变更、终止与基金财产的清算</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_Toc231197042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118</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43" w:history="1">
        <w:r w:rsidRPr="00FC662A">
          <w:rPr>
            <w:rStyle w:val="aa"/>
            <w:rFonts w:ascii="宋体" w:hAnsi="宋体" w:hint="eastAsia"/>
            <w:noProof/>
            <w:sz w:val="24"/>
          </w:rPr>
          <w:t>二十一、基金合同内容摘要</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_Toc231197043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120</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44" w:history="1">
        <w:r w:rsidRPr="00FC662A">
          <w:rPr>
            <w:rStyle w:val="aa"/>
            <w:rFonts w:ascii="宋体" w:hAnsi="宋体" w:hint="eastAsia"/>
            <w:noProof/>
            <w:sz w:val="24"/>
          </w:rPr>
          <w:t>二十二、托管协议的内容摘要</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_Toc231197044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137</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45" w:history="1">
        <w:r w:rsidRPr="00FC662A">
          <w:rPr>
            <w:rStyle w:val="aa"/>
            <w:rFonts w:ascii="宋体" w:hAnsi="宋体" w:hint="eastAsia"/>
            <w:noProof/>
            <w:sz w:val="24"/>
          </w:rPr>
          <w:t>二十三、对基金份额持有人的服务</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_Toc231197045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155</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46" w:history="1">
        <w:r w:rsidRPr="00FC662A">
          <w:rPr>
            <w:rStyle w:val="aa"/>
            <w:rFonts w:ascii="宋体" w:hAnsi="宋体" w:hint="eastAsia"/>
            <w:noProof/>
            <w:sz w:val="24"/>
          </w:rPr>
          <w:t>二十四、其他应披露事项</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_Toc231197046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157</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47" w:history="1">
        <w:r w:rsidRPr="00FC662A">
          <w:rPr>
            <w:rStyle w:val="aa"/>
            <w:rFonts w:ascii="宋体" w:hAnsi="宋体" w:hint="eastAsia"/>
            <w:noProof/>
            <w:sz w:val="24"/>
          </w:rPr>
          <w:t>二十五、招募说明书的存放及查阅方式</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_Toc231197047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159</w:t>
        </w:r>
        <w:r w:rsidRPr="00FC662A">
          <w:rPr>
            <w:rFonts w:ascii="宋体" w:hAnsi="宋体"/>
            <w:noProof/>
            <w:sz w:val="24"/>
          </w:rPr>
          <w:fldChar w:fldCharType="end"/>
        </w:r>
      </w:hyperlink>
    </w:p>
    <w:p w:rsidR="00FC662A" w:rsidRPr="00FC662A" w:rsidRDefault="00FC662A" w:rsidP="00FC662A">
      <w:pPr>
        <w:pStyle w:val="10"/>
        <w:tabs>
          <w:tab w:val="right" w:leader="dot" w:pos="8550"/>
        </w:tabs>
        <w:spacing w:line="360" w:lineRule="auto"/>
        <w:rPr>
          <w:rFonts w:ascii="宋体" w:hAnsi="宋体" w:cstheme="minorBidi"/>
          <w:noProof/>
          <w:sz w:val="24"/>
        </w:rPr>
      </w:pPr>
      <w:hyperlink w:anchor="_Toc231197048" w:history="1">
        <w:r w:rsidRPr="00FC662A">
          <w:rPr>
            <w:rStyle w:val="aa"/>
            <w:rFonts w:ascii="宋体" w:hAnsi="宋体" w:hint="eastAsia"/>
            <w:noProof/>
            <w:sz w:val="24"/>
          </w:rPr>
          <w:t>二十六、备查文件</w:t>
        </w:r>
        <w:r w:rsidRPr="00FC662A">
          <w:rPr>
            <w:rFonts w:ascii="宋体" w:hAnsi="宋体"/>
            <w:noProof/>
            <w:sz w:val="24"/>
          </w:rPr>
          <w:tab/>
        </w:r>
        <w:r w:rsidRPr="00FC662A">
          <w:rPr>
            <w:rFonts w:ascii="宋体" w:hAnsi="宋体"/>
            <w:noProof/>
            <w:sz w:val="24"/>
          </w:rPr>
          <w:fldChar w:fldCharType="begin"/>
        </w:r>
        <w:r w:rsidRPr="00FC662A">
          <w:rPr>
            <w:rFonts w:ascii="宋体" w:hAnsi="宋体"/>
            <w:noProof/>
            <w:sz w:val="24"/>
          </w:rPr>
          <w:instrText xml:space="preserve"> PAGEREF _Toc231197048 \h </w:instrText>
        </w:r>
        <w:r w:rsidRPr="00FC662A">
          <w:rPr>
            <w:rFonts w:ascii="宋体" w:hAnsi="宋体"/>
            <w:noProof/>
            <w:sz w:val="24"/>
          </w:rPr>
        </w:r>
        <w:r w:rsidRPr="00FC662A">
          <w:rPr>
            <w:rFonts w:ascii="宋体" w:hAnsi="宋体"/>
            <w:noProof/>
            <w:sz w:val="24"/>
          </w:rPr>
          <w:fldChar w:fldCharType="separate"/>
        </w:r>
        <w:r w:rsidRPr="00FC662A">
          <w:rPr>
            <w:rFonts w:ascii="宋体" w:hAnsi="宋体"/>
            <w:noProof/>
            <w:sz w:val="24"/>
          </w:rPr>
          <w:t>160</w:t>
        </w:r>
        <w:r w:rsidRPr="00FC662A">
          <w:rPr>
            <w:rFonts w:ascii="宋体" w:hAnsi="宋体"/>
            <w:noProof/>
            <w:sz w:val="24"/>
          </w:rPr>
          <w:fldChar w:fldCharType="end"/>
        </w:r>
      </w:hyperlink>
    </w:p>
    <w:p w:rsidR="00413E62" w:rsidRPr="00FC662A" w:rsidRDefault="00FC662A" w:rsidP="00FC662A">
      <w:pPr>
        <w:pStyle w:val="ad"/>
        <w:snapToGrid w:val="0"/>
        <w:spacing w:after="240" w:line="360" w:lineRule="auto"/>
        <w:jc w:val="center"/>
        <w:rPr>
          <w:rFonts w:ascii="宋体" w:hAnsi="宋体"/>
          <w:color w:val="000000"/>
          <w:sz w:val="24"/>
        </w:rPr>
      </w:pPr>
      <w:r w:rsidRPr="00FC662A">
        <w:rPr>
          <w:rFonts w:ascii="宋体" w:hAnsi="宋体"/>
          <w:color w:val="000000"/>
          <w:position w:val="-4"/>
          <w:sz w:val="24"/>
          <w:szCs w:val="30"/>
        </w:rPr>
        <w:fldChar w:fldCharType="end"/>
      </w:r>
      <w:bookmarkStart w:id="3" w:name="_GoBack"/>
      <w:bookmarkEnd w:id="3"/>
    </w:p>
    <w:p w:rsidR="00413E62" w:rsidRDefault="00413E62">
      <w:pPr>
        <w:autoSpaceDE w:val="0"/>
        <w:autoSpaceDN w:val="0"/>
        <w:adjustRightInd w:val="0"/>
        <w:snapToGrid w:val="0"/>
        <w:spacing w:line="360" w:lineRule="auto"/>
        <w:ind w:left="120" w:rightChars="6" w:right="13"/>
        <w:rPr>
          <w:rFonts w:ascii="宋体" w:hAnsi="宋体"/>
          <w:kern w:val="0"/>
          <w:szCs w:val="24"/>
        </w:rPr>
        <w:sectPr w:rsidR="00413E62">
          <w:pgSz w:w="11920" w:h="16840"/>
          <w:pgMar w:top="1480" w:right="1680" w:bottom="280" w:left="1680" w:header="0" w:footer="1073" w:gutter="0"/>
          <w:cols w:space="720"/>
        </w:sectPr>
      </w:pPr>
    </w:p>
    <w:p w:rsidR="00413E62" w:rsidRDefault="006130FA">
      <w:pPr>
        <w:pStyle w:val="1"/>
        <w:snapToGrid w:val="0"/>
        <w:spacing w:beforeLines="0" w:before="240" w:after="240"/>
        <w:rPr>
          <w:rFonts w:ascii="宋体" w:hAnsi="宋体"/>
          <w:szCs w:val="30"/>
        </w:rPr>
      </w:pPr>
      <w:bookmarkStart w:id="4" w:name="_Toc231197023"/>
      <w:r>
        <w:rPr>
          <w:rFonts w:ascii="Times New Roman" w:hAnsi="Times New Roman"/>
          <w:sz w:val="30"/>
        </w:rPr>
        <w:lastRenderedPageBreak/>
        <w:t>一、绪言</w:t>
      </w:r>
      <w:bookmarkEnd w:id="4"/>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启合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启合混合型证券投资基金基金合同》（以下简称“基金合同”）编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5" w:name="_Toc231197024"/>
      <w:r>
        <w:rPr>
          <w:rFonts w:ascii="Times New Roman" w:hAnsi="Times New Roman"/>
          <w:sz w:val="30"/>
        </w:rPr>
        <w:lastRenderedPageBreak/>
        <w:t>二、释义</w:t>
      </w:r>
      <w:bookmarkEnd w:id="5"/>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1、基金或本基金：指交银施罗德启合混合型证券投资基金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3、基金托管人：指招商银行股份有限公司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4、基金合同、《基金合同》：指《交银施罗德启合混合型证券投资基金基金合同》及对基金合同的任何有效修订和补充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5、托管协议：指基金管理人与基金托管人就本基金签订之《交银施罗德启合混合型证券投资基金托管协议》及对该托管协议的任何有效修订和补充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6、招募说明书、《招募说明书》或本招募说明书：指《交银施罗德启合混合型证券投资基金招募说明书》及其更新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7、基金产品资料概要：指《交银施罗德启合混合型证券投资基金基金产品资料概要》及其更新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8、基金份额发售公告：指《交银施罗德启合混合型证券投资基金基金份额发售公告》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16、银行业监督管理机构：指中国人民银行和/或国家金融监督管理总局</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17、基金合同当事人：指受基金合同约束，根据基金合同享有权利并承担义务的法律主体，包括基金管理人、基金托管人和基金份额持有人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w:t>
      </w:r>
      <w:r>
        <w:rPr>
          <w:rFonts w:ascii="宋体" w:hAnsi="宋体"/>
          <w:sz w:val="24"/>
        </w:rPr>
        <w:lastRenderedPageBreak/>
        <w:t>期</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36、开放日：指为投资人办理基金份额申购、赎回或其他业务的工作日（若该工作日为非港股通交易日，则本基金可不开放）</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37、开放时间：指开放日基金接受申购、赎回或其他交易的时间段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38、《业务规则》：指中国证券登记结算有限责任公司相关业务规则及其不时做出的修订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39、认购：指在基金募集期内，投资人根据基金合同和招募说明书的规定申请购买基金份额的行为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40、申购：指基金合同生效后，投资人根据基金合同和招募说明书的规定申请购买基金份额的行为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41、赎回：指基金合同生效后，基金份额持有人按基金合同和招募说明书规定的条件要求将基金份额兑换为现金的行为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42、基金转换：指基金份额持有人按照基金合同和基金管理人届时有效公告规定的条件，申请将其持有基金管理人管理的、某一基金的基金份额转换为基金管理人管理的其他基金基金份额的行为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43、转托管：指基金份额持有人在本基金的不同销售机构之间实施的变更所持基金份额销售机构的操作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45、巨额赎回：指本基金单个开放日，基金净赎回申请（赎回申请份额总数加</w:t>
      </w:r>
      <w:r>
        <w:rPr>
          <w:rFonts w:ascii="宋体" w:hAnsi="宋体"/>
          <w:sz w:val="24"/>
        </w:rPr>
        <w:lastRenderedPageBreak/>
        <w:t>上基金转换中转出申请份额总数后扣除申购申请份额总数及基金转换中转入申请份额总数后的余额）超过上一开放日基金总份额的10%的情形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46、元：指人民币元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47、基金收益：指基金投资所得红利、股息、债券利息、买卖证券价差、银行存款利息、已实现的其他合法收入及因运用基金财产带来的成本和费用的节约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48、基金资产总值：指基金拥有的各类有价证券、股指期货合约、银行存款本息、基金应收款项及其他资产的价值总和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49、基金资产净值：指基金资产总值减去基金负债后的价值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50、基金份额净值：指计算日基金资产净值除以计算日基金份额总数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51、基金资产估值：指计算评估基金资产和负债的价值，以确定基金资产净值和基金份额净值的过程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52、港股通：指内地投资者委托内地证券公司，经由内地证券交易所在香港设立的证券交易服务公司，向香港联合交易所进行申报，买卖规定范围内的香港联合交易所上市的股票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54、A类基金份额：指在投资人认购/申购时收取认购/申购费用、不从本类别基金资产中计提销售服务费的基金份额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55、C类基金份额：指在投资人认购/申购时不收取认购/申购费用、从本类别基金资产中计提销售服务费的基金份额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56、规定媒介：指符合中国证监会规定条件的用以进行信息披露的全国性报刊及《信息披露办法》规定的互联网网站（包括基金管理人网站、基金托管人网站、中国证监会基金电子披露网站）等媒介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58、摆动定价机制：指当开放式基金遭遇大额申购赎回时，通过调整基金份额净值的方式，将基金调整投资组合的市场冲击成本分配给实际申购、赎回的投资</w:t>
      </w:r>
      <w:r>
        <w:rPr>
          <w:rFonts w:ascii="宋体" w:hAnsi="宋体"/>
          <w:sz w:val="24"/>
        </w:rPr>
        <w:lastRenderedPageBreak/>
        <w:t>者，从而减少对存量基金份额持有人利益的不利影响，确保投资人的合法权益不受损害并得到公平对待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6" w:name="_Toc231197025"/>
      <w:r>
        <w:rPr>
          <w:rFonts w:ascii="Times New Roman" w:hAnsi="Times New Roman"/>
          <w:sz w:val="30"/>
        </w:rPr>
        <w:lastRenderedPageBreak/>
        <w:t>三、基金管理人</w:t>
      </w:r>
      <w:bookmarkEnd w:id="6"/>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高扬先生:基金经理。北京大学计算机科学与技术硕士、经济学学士，北京邮电大学信息工程学士。10年证券投资行业从业经验。2016年加入交银施罗德基金管理有限公司，曾任行业分析师，现任权益部基金经理。现任交银施罗德科锐科技创新混合型证券投资基金(2021年08月11日至今)、交银施罗德数据产业灵活配置混合型证券投资基金(2024年06月18日至今)、交银施罗德启合混合型证券投资基金(2024年11月27日至今)、交银施罗德定期支付月月丰债券型证券投资基金(2026年05月16日至今)的基金经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7、计算并公告基金净值信息，确定基金份额申购、赎回价格；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w:t>
      </w:r>
      <w:r>
        <w:rPr>
          <w:rFonts w:ascii="宋体" w:hAnsi="宋体"/>
          <w:sz w:val="24"/>
        </w:rPr>
        <w:lastRenderedPageBreak/>
        <w:t>关的交易活动；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（3）风险控制委员会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（2）建立相互分离、相互制衡的内控机制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7" w:name="_Toc231197026"/>
      <w:r>
        <w:rPr>
          <w:rFonts w:ascii="Times New Roman" w:hAnsi="Times New Roman"/>
          <w:sz w:val="30"/>
        </w:rPr>
        <w:lastRenderedPageBreak/>
        <w:t>四、基金托管人</w:t>
      </w:r>
      <w:bookmarkEnd w:id="7"/>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设立日期：1987年3月31日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2025年12月31日，本集团总资产130,705.23亿元人民币，高级法下资本充足率18.24%，权重法下资本充足率15.00%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260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2025年12月，荣获《2025东方财富风云际会》“年度托管银行风云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良先生，招商银行党委书记、执行董事、行长。中国人民大学经济学硕士，高级经济师。1995年6月加入招商银行，历任招商银行北京分行行长助理、副行长、行长，2012年6月起历任招商银行行长助理、副行长、常务副行长，2022年5月起任招商银行党委书记，2022年6月起任招商银行行长。兼任招商银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孙乐女士，招商银行资产托管部总经理，硕士研究生毕业，2001年8月加入招</w:t>
      </w:r>
      <w:r>
        <w:rPr>
          <w:rFonts w:ascii="宋体" w:hAnsi="宋体"/>
          <w:sz w:val="24"/>
        </w:rPr>
        <w:lastRenderedPageBreak/>
        <w:t>商银行至今，历任招商银行合肥分行风险控制部副经理、经理、信贷管理部总经理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截至2025年12月31日，招商银行股份有限公司累计托管1759只证券投资基金。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w:t>
      </w:r>
      <w:r>
        <w:rPr>
          <w:rFonts w:ascii="宋体" w:hAnsi="宋体"/>
          <w:sz w:val="24"/>
        </w:rPr>
        <w:lastRenderedPageBreak/>
        <w:t>险、审慎经营为出发点，体现“内控优先”的要求。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8" w:name="_Toc231197027"/>
      <w:r>
        <w:rPr>
          <w:rFonts w:ascii="Times New Roman" w:hAnsi="Times New Roman"/>
          <w:sz w:val="30"/>
        </w:rPr>
        <w:lastRenderedPageBreak/>
        <w:t>五、相关服务机构</w:t>
      </w:r>
      <w:bookmarkEnd w:id="8"/>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（4）名称：中信银行股份有限公司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（5）名称：宁波银行股份有限公司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传真：（021）63586215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（6）名称：光大证券股份有限公司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（7）名称：中国银河证券股份有限公司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（8）名称：中信证券（山东）有限责任公司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（9）名称：国金证券股份有限公司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（10）名称：华西证券股份有限公司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（11）名称：中信证券华南股份有限公司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（12）名称：国泰海通证券股份有限公司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法定代表人：朱健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（13）名称：招商证券股份有限公司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（14）名称：海通证券股份有限公司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（15）名称：华泰证券股份有限公司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联系人：徐浩津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（16）名称：国信证券股份有限公司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（17）名称：东方财富证券股份有限公司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（18）名称：中信建投证券股份有限公司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（19）名称：国投证券股份有限公司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住所：深圳市福田区福田街道福华一路119号安信金融大厦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（20）名称：中国中金财富证券有限公司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（21）名称：中信证券股份有限公司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（22）名称：上海中欧财富基金销售有限公司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客户服务电话：400-700-9700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（23）名称：济安财富（北京）基金销售有限公司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（24）名称：博时财富基金销售有限公司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（25）名称：大连网金基金销售有限公司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（26）名称：阳光人寿保险股份有限公司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住所：海南省三亚市迎宾路360-1号三亚阳光金融广场16层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（27）名称：玄元保险代理有限公司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（28）名称：京东肯特瑞基金销售有限公司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（29）名称：上海大智慧基金销售有限公司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电话：021-0219988-35374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（30）名称：和耕传承基金销售有限公司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（31）名称：腾安基金销售（深圳）有限公司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（32）名称：珠海盈米基金销售有限公司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联系人：黄敏嫦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（33）名称：上海华夏财富投资管理有限公司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（34）名称：北京度小满基金销售有限公司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（35）名称：南京苏宁基金销售有限公司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（36）名称：嘉实财富管理有限公司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（37）名称：北京汇成基金销售有限公司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（38）名称：上海利得基金销售有限公司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（39）名称：上海挖财基金销售有限公司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法定代表人：吕柳霞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（40）名称：上海万得基金销售有限公司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（41）名称：格上富信投资顾问有限公司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（42）名称：深圳市金斧子基金销售有限公司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传真：（0755）66892399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（43）名称：北京雪球基金销售有限公司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（44）名称：中证金牛（北京）基金销售有限公司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（45）名称：上海证达通基金销售有限公司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网址：www.zdt.fund</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（46）名称：北京创金启富基金销售有限公司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（47）名称：奕丰基金销售有限公司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（48）名称：上海天天基金销售有限公司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（49）名称：和讯信息科技有限公司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住所：北京市朝阳区朝外大街22号泛利大厦10层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（50）名称：诺亚正行基金销售有限公司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（51）名称：上海好买基金销售有限公司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（52）名称：上海长量基金销售有限公司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传真：（021）20691861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（53）名称：深圳众禄基金销售股份有限公司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（54）名称：蚂蚁（杭州）基金销售有限公司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（55）名称：中信期货有限公司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联系人：刘宏莹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（56）名称：上海基煜基金销售有限公司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（57）名称：浙江同花顺基金销售有限公司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（58）名称：宜信普泽（北京）基金销售有限公司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网址：http://www.puzefund.com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（59）名称：上海联泰基金销售有限公司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（60）名称：深圳市新兰德证券投资咨询有限公司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（61）名称：泛华普益基金销售有限公司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（62）名称：中国人寿保险股份有限公司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办公地址：北京市西城区金融大街16号中国人寿广场A座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（63）名称：易方达财富管理基金销售（广州）有限公司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住所：广州市南沙区横沥镇期航二街2号101房</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办公地址：广东省广州市天河区珠江东路30号广州银行大厦41楼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电话：020-85102688-7498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联系人：吕晋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客户服务电话：4001608888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网址：www.efundcf.com.cn</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经办律师：黎明、丁媛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9" w:name="_Toc231197028"/>
      <w:r>
        <w:rPr>
          <w:rFonts w:ascii="Times New Roman" w:hAnsi="Times New Roman"/>
          <w:sz w:val="30"/>
        </w:rPr>
        <w:lastRenderedPageBreak/>
        <w:t>六、基金的募集</w:t>
      </w:r>
      <w:bookmarkEnd w:id="9"/>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本基金由基金管理人依照《基金法》、《运作办法》、《销售办法》、基金合同及其他有关规定，并经中国证监会2023年8月1日证监许可【2023】1673号文准予募集注册，并经机构部函【2024】1171号准予延期募集。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本基金2024年11月4日至2024年11月22日进行发售，本基金设立募集期共募集508,422,818.13份基金份额，有效认购户数为4,844户。</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10" w:name="_Toc231197029"/>
      <w:r>
        <w:rPr>
          <w:rFonts w:ascii="Times New Roman" w:hAnsi="Times New Roman"/>
          <w:sz w:val="30"/>
        </w:rPr>
        <w:lastRenderedPageBreak/>
        <w:t>七、基金合同的生效</w:t>
      </w:r>
      <w:bookmarkEnd w:id="10"/>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根据有关规定，本基金满足基金合同生效条件，基金合同已于2024年11月27日正式生效。自基金合同生效之日起，本基金管理人正式开始管理本基金。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11" w:name="_Toc231197030"/>
      <w:r>
        <w:rPr>
          <w:rFonts w:ascii="Times New Roman" w:hAnsi="Times New Roman"/>
          <w:sz w:val="30"/>
        </w:rPr>
        <w:lastRenderedPageBreak/>
        <w:t>八、基金份额的申购与赎回</w:t>
      </w:r>
      <w:bookmarkEnd w:id="11"/>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w:t>
      </w:r>
      <w:r>
        <w:rPr>
          <w:rFonts w:ascii="宋体" w:hAnsi="宋体"/>
          <w:sz w:val="24"/>
        </w:rPr>
        <w:lastRenderedPageBreak/>
        <w:t>规定公告暂停申购、赎回时除外。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本基金已于2025年1月6日起开放申购、赎回业务。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接受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w:t>
      </w:r>
      <w:r>
        <w:rPr>
          <w:rFonts w:ascii="宋体" w:hAnsi="宋体"/>
          <w:sz w:val="24"/>
        </w:rPr>
        <w:lastRenderedPageBreak/>
        <w:t>笔1元。本基金直销机构单笔申购最低金额可由基金管理人酌情调整。其他销售机构接受申购申请的最低金额为单笔1元，如果销售机构业务规则规定的最低单笔申购金额高于1元，以该销售机构的规定为准。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基金交易账户保留的本基金份额余额少于1份时，若当日该账户同时有基金份额减少类业务（如赎回、转换出等）被确认，则基金管理人有权将投资人在该账户保留的本基金份额一次性全部赎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4、基金管理人可以规定本基金的总规模上限、单个投资人累计持有的基金份额上限，具体规定请参见相关公告。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本基金基金份额分为A类基金份额和C类基金份额，投资人申购A类基金份额在申购时支付申购费用，申购C类基金份额不支付申购费用、从该类别基金资产中计提销售服务费。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本基金A类基金份额的申购费用由申购A类基金份额的基金申购人承担，不列入</w:t>
      </w:r>
      <w:r>
        <w:rPr>
          <w:rFonts w:ascii="宋体" w:hAnsi="宋体"/>
          <w:sz w:val="24"/>
        </w:rPr>
        <w:lastRenderedPageBreak/>
        <w:t>基金财产，主要用于本基金的市场推广、销售、登记等各项费用。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（1）本基金A类基金份额的赎回费用由赎回A类基金份额的基金份额持有人承</w:t>
      </w:r>
      <w:r>
        <w:rPr>
          <w:rFonts w:ascii="宋体" w:hAnsi="宋体"/>
          <w:sz w:val="24"/>
        </w:rPr>
        <w:lastRenderedPageBreak/>
        <w:t>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413E62">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413E6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413E62" w:rsidRDefault="00413E6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413E6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413E62" w:rsidRDefault="00413E6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413E6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413E62" w:rsidRDefault="00413E6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413E6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413E62" w:rsidRDefault="00413E6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413E6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413E62" w:rsidRDefault="00413E6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413E62">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413E6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413E62" w:rsidRDefault="00413E6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413E6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413E62" w:rsidRDefault="00413E6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413E6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413E62" w:rsidRDefault="00413E6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3、经与基金托管人协商一致，基金管理人可以在基金合同约定的范围内调整费率或收费方式，并最迟应于新的费率或收费方式实施日前依照《信息披露办法》的有关规定在规定媒介上公告。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w:t>
      </w:r>
      <w:r>
        <w:rPr>
          <w:rFonts w:ascii="宋体" w:hAnsi="宋体"/>
          <w:sz w:val="24"/>
        </w:rPr>
        <w:lastRenderedPageBreak/>
        <w:t>销活动期间，基金管理人可以按中国证监会要求履行必要手续后，对投资人适当调低基金销售费用。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本基金采用金额申购的方式。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申购份额=净申购金额/T日A类基金份额净值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例一：某投资者（非养老金客户）投资100,000.00元申购本基金A类基金份额，假设申购当日A类基金份额净值为1.0400元，申购费率为1.5%，则其可得到的申购份额为：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净申购金额=100,000.00/（1+1.5%）=98,522.17元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申购费用=100,000.00-98,522.17=1477.83元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申购份额=98,522.17/1.0400=94,732.86份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即：该投资者（非养老金客户）投资100,000.00元申购本基金A类基金份额，假设申购当日A类基金份额净值为1.0400元，则其可得到94,732.86份A类基金份</w:t>
      </w:r>
      <w:r>
        <w:rPr>
          <w:rFonts w:ascii="宋体" w:hAnsi="宋体"/>
          <w:sz w:val="24"/>
        </w:rPr>
        <w:lastRenderedPageBreak/>
        <w:t>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例二：某养老金客户投资1,000,000.00元通过基金管理人的直销柜台申购本基金A类基金份额，假设申购当日A类基金份额净值为1.0400元，申购费率为0.6%，则其可得到的申购份额为：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净申购金额=1,000,000.00/（1+0.6%）=994,035.79元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申购费用=1,000,000.00-994,035.79=5,964.21元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申购份额=994,035.79/1.0400=955,803.64份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即：该养老金客户投资1,000,000.00元通过基金管理人的直销柜台申购本基金A类基金份额，假设申购当日A类基金份额净值为1.0400元，则其可得到955,803.64份A类基金份额。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例三：某投资者投资100,000.00元申购本基金的C类基金份额，假设申购当日C类基金份额净值为1.0400元，则其可得到的申购份额为：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申购份额＝100,000.00/1.0400＝96,153.85份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即：投资者投资100,000.00元申购本基金的C类基金份额，假设申购当日C类基金份额净值为1.0400元，则其可得到96,153.85份C类基金份额。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本基金采用“份额赎回”的方式。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例四：某投资者赎回持有的10,000.00份A类基金份额，持有期限为30日，对应的赎回费率为0.5%，假设赎回当日A类基金份额净值是1.0160元，则其可得到的赎回金额为：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赎回费用=10,000.00×1.0160×0.5%＝50.80元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赎回金额=10,000.00×1.0160-50.80＝10,109.20元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即：该投资者赎回本基金10,000.00份A类基金份额，持有期限为30日，对应的赎回费率为0.5%，假设赎回当日A类基金份额净值是1.0160元，则其可得到的赎回金额为10,109.20元。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如果投资者赎回C类基金份额，赎回金额的计算方法如下：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例五：某投资者赎回持有的10,000.00份C类基金份额，持有时间为20日，对应的赎回费率为0.5%，假设赎回当日C类基金份额净值是1.0160元，则其可得到的赎回金额为：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赎回费用=10,000.00×1.0160×0.5%＝50.80元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赎回金额=10,000.00×1.0160-50.80＝10,109.20元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即：该投资者赎回本基金10,000.00份C类基金份额，持有时间为20日，对应的赎回费率为0.5%，假设赎回当日C类基金份额净值是1.0160元，则其可得到的赎回金额为10,109.20元。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资人的申购申请。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采用估值技术仍导致公允价值存在重大不确定性时，经与基金托管人协商确认后，基金管理人应当延缓支付赎回款项或暂停接受基金赎回申请。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w:t>
      </w:r>
      <w:r>
        <w:rPr>
          <w:rFonts w:ascii="宋体" w:hAnsi="宋体"/>
          <w:sz w:val="24"/>
        </w:rPr>
        <w:lastRenderedPageBreak/>
        <w:t>自动延期赎回处理。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w:t>
      </w:r>
      <w:r>
        <w:rPr>
          <w:rFonts w:ascii="宋体" w:hAnsi="宋体"/>
          <w:sz w:val="24"/>
        </w:rPr>
        <w:lastRenderedPageBreak/>
        <w:t>时间，届时不再另行发布重新开放的公告。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本基金2025年1月2日刊登公告自2025年1月6日起开通定期定额投资计划业务，具体开通销售机构名单和业务规则参见相关公告。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（十七）实施侧袋机制期间本基金的申购与赎回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12" w:name="_Toc231197031"/>
      <w:r>
        <w:rPr>
          <w:rFonts w:ascii="Times New Roman" w:hAnsi="Times New Roman"/>
          <w:sz w:val="30"/>
        </w:rPr>
        <w:lastRenderedPageBreak/>
        <w:t>九、基金的转换</w:t>
      </w:r>
      <w:bookmarkEnd w:id="12"/>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本基金2025年1月2日刊登公告自2025年1月6日起开放日常转换业务。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13" w:name="_Toc231197032"/>
      <w:r>
        <w:rPr>
          <w:rFonts w:ascii="Times New Roman" w:hAnsi="Times New Roman"/>
          <w:sz w:val="30"/>
        </w:rPr>
        <w:lastRenderedPageBreak/>
        <w:t>十、基金的投资</w:t>
      </w:r>
      <w:bookmarkEnd w:id="13"/>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本基金在严格控制风险的前提下，充分发挥专业研究与管理能力，力争为投资者提供长期稳健的投资回报。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w:t>
      </w:r>
      <w:r>
        <w:rPr>
          <w:rFonts w:ascii="宋体" w:hAnsi="宋体"/>
          <w:sz w:val="24"/>
        </w:rPr>
        <w:lastRenderedPageBreak/>
        <w:t>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（4）存托凭证的投资策略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基金的投资组合应遵循以下限制：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w:t>
      </w:r>
      <w:r>
        <w:rPr>
          <w:rFonts w:ascii="宋体" w:hAnsi="宋体"/>
          <w:sz w:val="24"/>
        </w:rPr>
        <w:lastRenderedPageBreak/>
        <w:t>15%；因证券市场波动、上市公司股票停牌、基金规模变动等基金管理人之外的因素致使基金不符合该比例限制的，基金管理人不得主动新增流动性受限资产的投资；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（14）若本基金参与股指期货交易，则：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（15）本基金资产总值不超过基金资产净值的140%；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（17）法律法规及中国证监会规定的和《基金合同》约定的其他投资限制。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法律法规或监管部门取消或变更上述限制，如适用于本基金，基金管理人在履</w:t>
      </w:r>
      <w:r>
        <w:rPr>
          <w:rFonts w:ascii="宋体" w:hAnsi="宋体"/>
          <w:sz w:val="24"/>
        </w:rPr>
        <w:lastRenderedPageBreak/>
        <w:t>行适当程序后，则本基金投资不再受相关限制或以变更后的规定为准。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沪深300指数收益率×70%+恒生指数收益率×5%+中证综合债券指数收益率×25%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恒生指数是由恒生指数服务有限公司编制，以香港股票市场中的50家上市股票</w:t>
      </w:r>
      <w:r>
        <w:rPr>
          <w:rFonts w:ascii="宋体" w:hAnsi="宋体"/>
          <w:sz w:val="24"/>
        </w:rPr>
        <w:lastRenderedPageBreak/>
        <w:t>为成份股样本，以其发行量为权数的加权平均股价指数，是反映香港股市价幅趋势最有影响的一种股价指数。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本基金是一只混合型基金，其预期风险和预期收益理论上高于债券型基金和货币市场基金，低于股票型基金。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侧袋账户的实施条件、实施程序、运作安排、投资安排、特定资产的处置变现和支付等对投资者权益有重大影响的事项详见本招募说明书“侧袋机制”部分的规定。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本基金托管人中国招商银行根据本基金合同规定,于2026年04月20日复核了本报告中的财务指标、净值表现和投资组合报告等内容,保证复核内容不存在虚假记载、误导性陈述或者重大遗漏。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69,191,532.96</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89.80</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69,191,532.96</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89.80</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2,321,872.05</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3.01</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2,321,872.05</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3.01</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3,409,525.06</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4.43</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2,125,635.94</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2.76</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77,048,566.01</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注：本基金本报告期末通过港股通机制投资香港股票的公允价值为13,599,235.73元，占基金资产净值比例为17.83%。</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B</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54,026,825.23</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70.82</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1,453,800.00</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1.91</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111,672.00</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55,592,297.23</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72.87</w:t>
            </w:r>
          </w:p>
        </w:tc>
      </w:tr>
    </w:tbl>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4,617,937.99</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6.05</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2,506,364.83</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3.29</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2,311,951.60</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3.03</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2,265,334.00</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2.97</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1,588,868.53</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2.08</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308,778.78</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13,599,235.73</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17.83</w:t>
            </w:r>
          </w:p>
        </w:tc>
      </w:tr>
    </w:tbl>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002371</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北方华创</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14,060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6,284,820.00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8.24</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688002</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睿创微纳</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48,606</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4,918,927.20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6.45</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4,555,280.00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5.97</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301035</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润丰股份</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51,200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3,903,488.00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5.12</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603061</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金海通</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11,200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3,027,696.00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3.97</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6,836</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2,921,349.56</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3.83</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603986</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兆易创新</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11,900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2,833,390.00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3.71</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300037</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新宙邦</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2,816,000.00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3.69</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605111</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新洁能</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74,800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2,730,200.00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3.58</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605117</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德业股份</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20,200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2,655,492.00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3.48</w:t>
            </w:r>
          </w:p>
        </w:tc>
      </w:tr>
    </w:tbl>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2,321,872.05</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3.04</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2,321,872.05</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3.04</w:t>
            </w:r>
          </w:p>
        </w:tc>
      </w:tr>
    </w:tbl>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23,000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2,321,872.05</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3.04</w:t>
            </w:r>
          </w:p>
        </w:tc>
      </w:tr>
    </w:tbl>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8、报告期末按公允价值占基金资产净值比例大小排序的前五名权证投资明细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20,959.46</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2,100,385.89</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4,290.59</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right"/>
              <w:rPr>
                <w:rFonts w:ascii="宋体" w:hAnsi="宋体"/>
                <w:color w:val="000000"/>
                <w:kern w:val="0"/>
                <w:sz w:val="25"/>
                <w:szCs w:val="24"/>
              </w:rPr>
            </w:pPr>
            <w:r>
              <w:rPr>
                <w:rFonts w:ascii="Times New Roman" w:hAnsi="Times New Roman"/>
                <w:color w:val="000000"/>
                <w:kern w:val="0"/>
                <w:sz w:val="25"/>
                <w:szCs w:val="24"/>
              </w:rPr>
              <w:t>2,125,635.94</w:t>
            </w:r>
          </w:p>
        </w:tc>
      </w:tr>
    </w:tbl>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14" w:name="_Toc231197033"/>
      <w:r>
        <w:rPr>
          <w:rFonts w:ascii="Times New Roman" w:hAnsi="Times New Roman"/>
          <w:sz w:val="30"/>
        </w:rPr>
        <w:lastRenderedPageBreak/>
        <w:t>十一、基金的业绩</w:t>
      </w:r>
      <w:bookmarkEnd w:id="14"/>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1、本报告期基金份额净值收益率及其与同期业绩比较基准收益率的比较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1）交银启合A：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413E6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413E6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1.71%</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3.04%</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r>
      <w:tr w:rsidR="00413E6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16.27%</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2.29%</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413E6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2.50%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-2.42%</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r>
    </w:tbl>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2）交银启合C：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413E6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413E6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1.71%</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2.91%</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r>
      <w:tr w:rsidR="00413E6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15.57%</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413E6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2.50%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-2.48%</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r>
    </w:tbl>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注：本基金的业绩比较基准为沪深300指数收益率×70%+恒生指数收益率×5%+中证综合债券指数收益率×25%，每日进行再平衡过程。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413E62" w:rsidRDefault="006130F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交银施罗德启合混合证券投资基金</w:t>
      </w:r>
    </w:p>
    <w:p w:rsidR="00413E62" w:rsidRDefault="006130F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lastRenderedPageBreak/>
        <w:t>份额累计份额净值增长率与业绩比较基准收益率的历史走势对比图</w:t>
      </w:r>
    </w:p>
    <w:p w:rsidR="00413E62" w:rsidRDefault="006130F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（2024年11月27日至2026年03月31日）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1、交银启合A</w:t>
      </w:r>
    </w:p>
    <w:p w:rsidR="00413E62" w:rsidRDefault="00FC662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2、交银启合C</w:t>
      </w:r>
    </w:p>
    <w:p w:rsidR="00413E62" w:rsidRDefault="00FC662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注：本基金基金合同生效日为2024年11月27日，截至报告期期末，本基金已完成建仓但报告期期末距建仓结束未满一年。本基金建仓期为自基金合同生效日起的</w:t>
      </w:r>
      <w:r>
        <w:rPr>
          <w:rFonts w:ascii="宋体" w:hAnsi="宋体"/>
          <w:sz w:val="24"/>
        </w:rPr>
        <w:lastRenderedPageBreak/>
        <w:t>6个月。截至建仓期结束，本基金各项资产配置比例符合基金合同及招募说明书有关投资比例的约定。</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15" w:name="_Toc231197034"/>
      <w:r>
        <w:rPr>
          <w:rFonts w:ascii="Times New Roman" w:hAnsi="Times New Roman"/>
          <w:sz w:val="30"/>
        </w:rPr>
        <w:lastRenderedPageBreak/>
        <w:t>十二、基金的财产</w:t>
      </w:r>
      <w:bookmarkEnd w:id="15"/>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16" w:name="_Toc231197035"/>
      <w:r>
        <w:rPr>
          <w:rFonts w:ascii="Times New Roman" w:hAnsi="Times New Roman"/>
          <w:sz w:val="30"/>
        </w:rPr>
        <w:lastRenderedPageBreak/>
        <w:t>十三、基金资产的估值</w:t>
      </w:r>
      <w:bookmarkEnd w:id="16"/>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4、同一证券同时在两个或两个以上市场交易的，按证券所处的市场分别估值。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5、本基金投资股指期货合约，一般以估值当日结算价进行估值，估值当日无结算价的，且最近交易日后经济环境未发生重大变化的，采用最近交易日结算价估值。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6、估值计算中涉及港币对人民币汇率的，将依据下列信息提供机构所提供的汇率为基准：当日中国人民银行或其授权机构当日公布的人民币与港币的中间价。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7、对于因税收规定调整或其他原因导致产品实际交纳税金与估算的应交税金有差异的，产品将在相关税金调整日或实际支付日进行相应的会计处理。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9、如有确凿证据表明按上述方法进行估值不能客观反映其公允价值的，基金管理人可根据具体情况与基金托管人商定后，按最能反映公允价值的价格估值。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10、当发生大额申购或赎回情形时，基金管理人可以采用摆动定价机制，以确保基金估值的公平性。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11、相关法律法规以及监管部门有强制规定的，从其规定。如有新增事项，按国家最新规定估值。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w:t>
      </w:r>
      <w:r>
        <w:rPr>
          <w:rFonts w:ascii="宋体" w:hAnsi="宋体"/>
          <w:sz w:val="24"/>
        </w:rPr>
        <w:lastRenderedPageBreak/>
        <w:t>题，如经相关各方在平等基础上充分讨论后，仍无法达成一致的意见，按照基金管理人对基金净值信息的计算结果对外予以公布。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2、估值错误处理原则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w:t>
      </w:r>
      <w:r>
        <w:rPr>
          <w:rFonts w:ascii="宋体" w:hAnsi="宋体"/>
          <w:sz w:val="24"/>
        </w:rPr>
        <w:lastRenderedPageBreak/>
        <w:t>金托管人，并采取合理的措施防止损失进一步扩大。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1、基金管理人或基金托管人按估值方法的第9项进行估值时，所造成的误差不作为基金资产估值错误处理。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17" w:name="_Toc231197036"/>
      <w:r>
        <w:rPr>
          <w:rFonts w:ascii="Times New Roman" w:hAnsi="Times New Roman"/>
          <w:sz w:val="30"/>
        </w:rPr>
        <w:lastRenderedPageBreak/>
        <w:t>十四、基金收益与分配</w:t>
      </w:r>
      <w:bookmarkEnd w:id="17"/>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18" w:name="_Toc231197037"/>
      <w:r>
        <w:rPr>
          <w:rFonts w:ascii="Times New Roman" w:hAnsi="Times New Roman"/>
          <w:sz w:val="30"/>
        </w:rPr>
        <w:lastRenderedPageBreak/>
        <w:t>十五、基金的费用与税收</w:t>
      </w:r>
      <w:bookmarkEnd w:id="18"/>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本基金的托管费按前一日基金资产净值的0.2%年费率计提。托管费的计算方法如下：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H＝E×年托管费率÷当年天数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支付日期顺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（三）不列入基金费用的项目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19" w:name="_Toc231197038"/>
      <w:r>
        <w:rPr>
          <w:rFonts w:ascii="Times New Roman" w:hAnsi="Times New Roman"/>
          <w:sz w:val="30"/>
        </w:rPr>
        <w:lastRenderedPageBreak/>
        <w:t>十六、基金的会计与审计</w:t>
      </w:r>
      <w:bookmarkEnd w:id="19"/>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7、基金托管人每月与基金管理人就基金的会计核算、报表编制等进行核对确认。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20" w:name="_Toc231197039"/>
      <w:r>
        <w:rPr>
          <w:rFonts w:ascii="Times New Roman" w:hAnsi="Times New Roman"/>
          <w:sz w:val="30"/>
        </w:rPr>
        <w:lastRenderedPageBreak/>
        <w:t>十七、基金的信息披露</w:t>
      </w:r>
      <w:bookmarkEnd w:id="20"/>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本基金的信息披露应符合《基金法》、《运作办法》、《信息披露办法》、《流动性风险管理规定》、《基金合同》及其他有关规定。相关法律法规关于信息披露的规定发生变化时，本基金从其最新规定。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1、基金招募说明书、《基金合同》、基金托管协议、基金产品资料概要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4、基金净值信息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w:t>
      </w:r>
      <w:r>
        <w:rPr>
          <w:rFonts w:ascii="宋体" w:hAnsi="宋体"/>
          <w:sz w:val="24"/>
        </w:rPr>
        <w:lastRenderedPageBreak/>
        <w:t>性风险分析等。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（15）管理费、托管费、销售服务费、申购费、赎回费等费用计提标准、计提方式和费率发生变更；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w:t>
      </w:r>
      <w:r>
        <w:rPr>
          <w:rFonts w:ascii="宋体" w:hAnsi="宋体"/>
          <w:sz w:val="24"/>
        </w:rPr>
        <w:lastRenderedPageBreak/>
        <w:t>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本基金可投资港股通标的股票，基金应当在季度报告、中期报告、年度报告等定期报告和招募说明书（更新）等文件中披露港股通标的股票的投资情况。法律法规或中国证监会另有规定的，从其规定。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w:t>
      </w:r>
      <w:r>
        <w:rPr>
          <w:rFonts w:ascii="宋体" w:hAnsi="宋体"/>
          <w:sz w:val="24"/>
        </w:rPr>
        <w:lastRenderedPageBreak/>
        <w:t>保证相关报送信息的真实、准确、完整、及时。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21" w:name="_Toc231197040"/>
      <w:r>
        <w:rPr>
          <w:rFonts w:ascii="Times New Roman" w:hAnsi="Times New Roman"/>
          <w:sz w:val="30"/>
        </w:rPr>
        <w:lastRenderedPageBreak/>
        <w:t>十八、侧袋机制</w:t>
      </w:r>
      <w:bookmarkEnd w:id="21"/>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413E62" w:rsidRDefault="006130FA">
      <w:pPr>
        <w:pStyle w:val="1"/>
        <w:snapToGrid w:val="0"/>
        <w:spacing w:beforeLines="0" w:before="240" w:after="240"/>
        <w:rPr>
          <w:rFonts w:ascii="宋体" w:hAnsi="宋体"/>
          <w:szCs w:val="30"/>
        </w:rPr>
      </w:pPr>
      <w:bookmarkStart w:id="22" w:name="_Toc231197041"/>
      <w:r>
        <w:rPr>
          <w:rFonts w:ascii="Times New Roman" w:hAnsi="Times New Roman"/>
          <w:sz w:val="30"/>
        </w:rPr>
        <w:lastRenderedPageBreak/>
        <w:t>十九、风险揭示</w:t>
      </w:r>
      <w:bookmarkEnd w:id="22"/>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具体业务办理时间在赎回开始公告中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以下一开放日该类基金份额的基金份额净值为基础计算赎回金额，以此类推，直到全部赎回为止。如投资人在提交赎回申请时未作明确选择，投资人未能赎回部分作自动延期赎回处理。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合同约定的时限支付赎回款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w:t>
      </w:r>
      <w:r>
        <w:rPr>
          <w:rFonts w:ascii="宋体" w:hAnsi="宋体"/>
          <w:sz w:val="24"/>
        </w:rPr>
        <w:lastRenderedPageBreak/>
        <w:t>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3、基金合同提前终止风险。连续50个工作日出现基金份额持有人数量不满200人或者基金资产净值低于5000万元情形的，基金合同终止，不需召开基金份额持有人大会。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w:t>
      </w:r>
      <w:r>
        <w:rPr>
          <w:rFonts w:ascii="宋体" w:hAnsi="宋体"/>
          <w:sz w:val="24"/>
        </w:rPr>
        <w:lastRenderedPageBreak/>
        <w:t>跌幅限制，第六个交易日开始涨跌幅限制比例为20%。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（九）投资港股通标的股票的特定风险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w:t>
      </w:r>
      <w:r>
        <w:rPr>
          <w:rFonts w:ascii="宋体" w:hAnsi="宋体"/>
          <w:sz w:val="24"/>
        </w:rPr>
        <w:lastRenderedPageBreak/>
        <w:t>市场制度以及交易规则等差异带来的特有风险，具体如下：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c）香港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w:t>
      </w:r>
      <w:r w:rsidRPr="00BB248E">
        <w:rPr>
          <w:rFonts w:ascii="宋体" w:hAnsi="宋体" w:hint="eastAsia"/>
          <w:b/>
          <w:kern w:val="0"/>
          <w:sz w:val="24"/>
        </w:rPr>
        <w:t>投资存托凭证的特定风险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w:t>
      </w:r>
      <w:r>
        <w:rPr>
          <w:rFonts w:ascii="宋体" w:hAnsi="宋体"/>
          <w:sz w:val="24"/>
        </w:rPr>
        <w:lastRenderedPageBreak/>
        <w:t>险；存托凭证退市的风险；已在境外上市的基础证券发行人，在持续信息披露监管方面与境内可能存在差异的风险；境内外法律制度、监管环境差异可能导致的其他风险。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（十一）投资科创板股票的特定风险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w:t>
      </w:r>
      <w:r>
        <w:rPr>
          <w:rFonts w:ascii="宋体" w:hAnsi="宋体"/>
          <w:sz w:val="24"/>
        </w:rPr>
        <w:lastRenderedPageBreak/>
        <w:t>在趋同，所以科创板个股相关性较高，市场表现不佳时，系统性风险将更为显著。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23" w:name="_Toc231197042"/>
      <w:r>
        <w:rPr>
          <w:rFonts w:ascii="Times New Roman" w:hAnsi="Times New Roman"/>
          <w:sz w:val="30"/>
        </w:rPr>
        <w:lastRenderedPageBreak/>
        <w:t>二十、基金合同的变更、终止与基金财产的清算</w:t>
      </w:r>
      <w:bookmarkEnd w:id="23"/>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24" w:name="_Toc231197043"/>
      <w:r>
        <w:rPr>
          <w:rFonts w:ascii="Times New Roman" w:hAnsi="Times New Roman"/>
          <w:sz w:val="30"/>
        </w:rPr>
        <w:lastRenderedPageBreak/>
        <w:t>二十一、基金合同内容摘要</w:t>
      </w:r>
      <w:bookmarkEnd w:id="24"/>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w:t>
      </w:r>
      <w:r>
        <w:rPr>
          <w:rFonts w:ascii="宋体" w:hAnsi="宋体"/>
          <w:sz w:val="24"/>
        </w:rPr>
        <w:lastRenderedPageBreak/>
        <w:t>申购、赎回价格；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w:t>
      </w:r>
      <w:r>
        <w:rPr>
          <w:rFonts w:ascii="宋体" w:hAnsi="宋体"/>
          <w:sz w:val="24"/>
        </w:rPr>
        <w:lastRenderedPageBreak/>
        <w:t>《基金合同》当事人并不以在《基金合同》上书面签章或签字为必要条件。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（10）提供基金管理人和监管机构依法要求提供的信息，以及不时的更新和补充，并保证其真实性；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1）调低基金销售服务费率；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3）在法律法规和《基金合同》规定的范围内调整本基金的申购费率、在对现有基金份额持有人利益无实质性不利影响的前提下变更收费方式；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7）在符合法律法规及本基金合同规定、并且对基金份额持有人利益无实质性不利影响的前提下，增加或调整本基金份额类别的设置、对基金份额分类办法及规则进行调整；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w:t>
      </w:r>
      <w:r>
        <w:rPr>
          <w:rFonts w:ascii="宋体" w:hAnsi="宋体"/>
          <w:sz w:val="24"/>
        </w:rPr>
        <w:lastRenderedPageBreak/>
        <w:t>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w:t>
      </w:r>
      <w:r>
        <w:rPr>
          <w:rFonts w:ascii="宋体" w:hAnsi="宋体"/>
          <w:sz w:val="24"/>
        </w:rPr>
        <w:lastRenderedPageBreak/>
        <w:t>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w:t>
      </w:r>
      <w:r>
        <w:rPr>
          <w:rFonts w:ascii="宋体" w:hAnsi="宋体"/>
          <w:sz w:val="24"/>
        </w:rPr>
        <w:lastRenderedPageBreak/>
        <w:t>规定的方式收取基金份额持有人的表决意见；基金托管人或基金管理人经通知不参加收取表决意见的，不影响表决效力；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基金份额持有人大会的各项提案或同一项提案内并列的各项议题应当分开审议、逐项表决。</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w:t>
      </w:r>
      <w:r>
        <w:rPr>
          <w:rFonts w:ascii="宋体" w:hAnsi="宋体"/>
          <w:sz w:val="24"/>
        </w:rPr>
        <w:lastRenderedPageBreak/>
        <w:t>将公证书全文、公证机构、公证员姓名等一同公告。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w:t>
      </w:r>
      <w:r>
        <w:rPr>
          <w:rFonts w:ascii="宋体" w:hAnsi="宋体"/>
          <w:sz w:val="24"/>
        </w:rPr>
        <w:lastRenderedPageBreak/>
        <w:t>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1）《基金合同》终止情形出现时，由基金财产清算小组统一接管基金；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w:t>
      </w:r>
      <w:r>
        <w:rPr>
          <w:rFonts w:ascii="宋体" w:hAnsi="宋体"/>
          <w:sz w:val="24"/>
        </w:rPr>
        <w:lastRenderedPageBreak/>
        <w:t>局的，对各方当事人均有约束力，除非仲裁裁决另有规定，仲裁费用由败诉方承担。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25" w:name="_Toc231197044"/>
      <w:r>
        <w:rPr>
          <w:rFonts w:ascii="Times New Roman" w:hAnsi="Times New Roman"/>
          <w:sz w:val="30"/>
        </w:rPr>
        <w:lastRenderedPageBreak/>
        <w:t>二十二、托管协议的内容摘要</w:t>
      </w:r>
      <w:bookmarkEnd w:id="25"/>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批准设立机关和批准设立文号：中国人民银行银复字（1986）175号文、银复（1987）86号文</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1、基金托管人根据有关法律法规的规定以及《基金合同》的约定，对基金投资范围、投资比例、投资限制、关联方交易等进行监督。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w:t>
      </w:r>
      <w:r>
        <w:rPr>
          <w:rFonts w:ascii="宋体" w:hAnsi="宋体"/>
          <w:sz w:val="24"/>
        </w:rPr>
        <w:lastRenderedPageBreak/>
        <w:t>地和香港同时上市的A+H股合计计算），不超过该证券的10％，完全按照有关指数的构成比例进行证券投资的基金品种可以不受此条款规定的比例限制；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14）若本基金参与股指期货交易，则：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b.本基金在任何交易日日终，持有的买入股指期货合约价值与有价证券市值之</w:t>
      </w:r>
      <w:r>
        <w:rPr>
          <w:rFonts w:ascii="宋体" w:hAnsi="宋体"/>
          <w:sz w:val="24"/>
        </w:rPr>
        <w:lastRenderedPageBreak/>
        <w:t>和，不得超过基金资产净值的95%。其中，有价证券指股票、债券（不含到期日在一年以内的政府债券）、资产支持证券、买入返售金融资产（不含质押式回购）等；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c.本基金在任何交易日日终，持有的卖出股指期货合约价值不得超过基金持有的股票总市值的20%；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15）本基金资产总值不超过基金资产净值的140%；</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17）法律法规及中国证监会规定的和《基金合同》约定的其他投资限制。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w:t>
      </w:r>
      <w:r>
        <w:rPr>
          <w:rFonts w:ascii="宋体" w:hAnsi="宋体"/>
          <w:sz w:val="24"/>
        </w:rPr>
        <w:lastRenderedPageBreak/>
        <w:t>通过。基金管理人董事会应至少每半年对关联交易事项进行审查。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（5）法律法规或监管部门取消或变更上述投资组合比例限制，如适用于本基金，基金管理人在履行适当程序后，则本基金投资不再受相关限制或以变更后的规定为准。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1）基金管理人应与符合资格的存款银行总行或其授权分行签订《存款协议书》。《存款协议书》的格式范本由基金托管人、基金管理人、存款银行总行或其授权分行共同商定。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2）基金托管人依据相关法规对《存款协议书》的内容进行复核，审查存款银行资格等。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w:t>
      </w:r>
      <w:r>
        <w:rPr>
          <w:rFonts w:ascii="宋体" w:hAnsi="宋体"/>
          <w:sz w:val="24"/>
        </w:rPr>
        <w:lastRenderedPageBreak/>
        <w:t>书面确认书。变更通知的送达方式同开户手续。在存期内，存款分支机构和基金托管人的指定联系人变更，应及时加盖公章书面通知对方。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1）基金投资于银行存款时，基金管理人应当依据基金管理人与存款银行签订的《存款协议书》等，以基金的名义在存款银行总行或授权分行指定的分支机构开立银行账户。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存款凭证在邮寄过程中遗失的，由基金管理人向存款银行提出补办申请，基金管理人应督促存款银行尽快补办存款凭证，并按以上1）的方式快递或上门交付至基金托管人，原存款凭证自动作废。</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3）账目核对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对于存期超过3个月的定期存款，基金托管人于每季度向存款银行发起查询查复，存款银行应按照人行查询查复的有关时限要求及时回复。因存款银行未及时回复造成的资金被挪用、盗取的责任由存款银行承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存款银行应配合基金托管人对存款凭证的询证，并在询证函上加盖存款银行公章寄送至基金托管人指定联系人。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任何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w:t>
      </w:r>
      <w:r>
        <w:rPr>
          <w:rFonts w:ascii="宋体" w:hAnsi="宋体"/>
          <w:sz w:val="24"/>
        </w:rPr>
        <w:lastRenderedPageBreak/>
        <w:t>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与基金托管人协商解决。</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通受限证券包括由相关法律法规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本基金不得投资未经中国证监会批准的非公开发行证券。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本基金不得投资有锁定期但锁定期不明确的证券。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w:t>
      </w:r>
      <w:r>
        <w:rPr>
          <w:rFonts w:ascii="宋体" w:hAnsi="宋体"/>
          <w:sz w:val="24"/>
        </w:rPr>
        <w:lastRenderedPageBreak/>
        <w:t>度。基金投资非公开发行股票，基金管理人还应提供基金管理人董事会批准的流动性风险处置预案。上述资料应包括但不限于基金投资流通受限证券的投资额度和投资比例控制情况。</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相应损失。对本基金因投资流通受限证券导致的流动性风险，基金托管人不承担任何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由于基金管理人未及时提供有关证券的具体的必要的信息，致使基金托管人无法审核认购指令而影响认购款项划拨的，基金托管人免于承担责任。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基金投资非公开发行股票后按照法律法规规定的期限，在中国证监会规定媒介披露所投资非公开发行股票的名称、数量、总成本、账面价值，以及总成本和账面价值占基金资产净值的比例、锁定期等信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6、基金管理人应当对投资中期票据业务进行研究，认真评估中期票据投资业</w:t>
      </w:r>
      <w:r>
        <w:rPr>
          <w:rFonts w:ascii="宋体" w:hAnsi="宋体"/>
          <w:sz w:val="24"/>
        </w:rPr>
        <w:lastRenderedPageBreak/>
        <w:t>务的风险，本着审慎、勤勉尽责的原则进行中期票据的投资业务，并应符合法律法规及监管机构的相关规定。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12、侧袋机制的实施和投资运作安排</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侧袋机制实施期间，基金合同约定的投资组合比例、投资策略、组合限制、业</w:t>
      </w:r>
      <w:r>
        <w:rPr>
          <w:rFonts w:ascii="宋体" w:hAnsi="宋体"/>
          <w:sz w:val="24"/>
        </w:rPr>
        <w:lastRenderedPageBreak/>
        <w:t>绩比较基准、风险收益特征等约定仅适用于主袋账户。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期货结算账户等投资所需账户、复核基金管理人计算的各类基金份额的基金资产净值和基金份额净值、根据基金管理人指令办理清算交收、相关信息披露和监督基金投资运作等行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（3）基金托管人按照规定开设基金财产的资金账户、证券账户和期货结算账户等投资所需的相关账户。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启合混合型证券投资基金”，预留印鉴为基金托管人印章。</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（2）基金资金账户的开立和使用，限于满足开展本基金业务的需要。基金托管人和基金管理人不得假借本基金的名义开立任何其他银行账户；亦不得使用基金的任何账户进行本基金业务以外的活动。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（3）基金资金账户的开立和管理应符合法律法规及银行业监督管理机构的有关规定。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基金托管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基金托管人和基金管理人应当在开户过程中相互配合，并提供所需资料。基金管理人保证所提供的账户开户材料的真实性和有效性，且在相关资料变更后及时将变更的资料提供给基金托管人。</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（2）因业务发展需要而开立的其他账户，可以根据法律法规和基金合同的规定，由基金管理人协助基金托管人按照有关法律法规和本协议的约定协商后开立。新账户按有关规定使用并管理。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各类基金份额的基金份额净值是按照每个工作日闭市后，该类基金份额的基金资产净值除以当日该类基金份额的余额数量计算，精确到0.0001元，小数点后第五位四舍五入。基金管理人可以设立大额赎回情形下的净值精度应急调整机制，具体可参见相关公告。国家另有规定的，从其规定。</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基金管理人于每个工作日分别计算各类基金份额的基金资产净值、基金份额净值，经基金托管人复核，按规定公告，但基金管理人根据法律法规或基金合同的规定暂停估值时除外。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基金管理人每个工作日对基金资产进行估值后，将各类基金份额的基金资产净值、基金份额净值发送基金托管人，经基金托管人复核无误后，由基金管理人依据基金合同和相关法律法规的规定对外公布。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基金管理人及基金托管人应当按照《基金合同》的约定处理份额净值错误。</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6、基金财务报表与报告的编制和复核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w:t>
      </w:r>
      <w:r>
        <w:rPr>
          <w:rFonts w:ascii="宋体" w:hAnsi="宋体"/>
          <w:sz w:val="24"/>
        </w:rPr>
        <w:lastRenderedPageBreak/>
        <w:t>不符时，应及时通知基金管理人共同查出原因，进行调整，直至双方数据完全一致。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8、实施侧袋机制期间的基金资产估值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基金托管人不得将所保管的基金份额持有人名册用于基金托管业务以外的其他用途，并应遵守保密义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争议处理期间，双方当事人应恪守基金管理人和基金托管人职责，各自继续忠实、勤勉、尽责地履行基金合同和本托管协议规定的义务，维护基金份额持有人的合法权益。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本协议受中华人民共和国法律（不含港澳台地区法律）管辖。</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（4）发生法律法规或《基金合同》规定的其他终止事项。</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26" w:name="_Toc231197045"/>
      <w:r>
        <w:rPr>
          <w:rFonts w:ascii="Times New Roman" w:hAnsi="Times New Roman"/>
          <w:sz w:val="30"/>
        </w:rPr>
        <w:lastRenderedPageBreak/>
        <w:t>二十三、对基金份额持有人的服务</w:t>
      </w:r>
      <w:bookmarkEnd w:id="26"/>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前端基金份额的申购、赎回、定期定额投资和转换等业务。本公司暂不开展网上直销后端基金份额的认/申购业务，通过转托管转入网上直销账户的后端收费模式的基金份额只能办理赎回业务。通过网上直销交易平台办理本基金前端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申购、定期定额投资及转换费率表或相关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（四）基金转换业务</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27" w:name="_Toc231197046"/>
      <w:r>
        <w:rPr>
          <w:rFonts w:ascii="Times New Roman" w:hAnsi="Times New Roman"/>
          <w:sz w:val="30"/>
        </w:rPr>
        <w:lastRenderedPageBreak/>
        <w:t>二十四、其他应披露事项</w:t>
      </w:r>
      <w:bookmarkEnd w:id="27"/>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交银施罗德启合混合型证券投资基金招募说明书更新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交银施罗德启合混合型证券投资基金（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交银施罗德启合混合型证券投资基金（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交银施罗德启合混合型证券投资基金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交银施罗德启合混合型证券投资基金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交银施罗德启合混合型证券投资基金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交银施罗德启合混合型证券投资基金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交银施罗德启合混合型证券投资基金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413E6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交银施罗德启合混合型证券投资基金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13E62" w:rsidRDefault="00613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413E62" w:rsidRDefault="006130FA">
      <w:pPr>
        <w:pStyle w:val="1"/>
        <w:snapToGrid w:val="0"/>
        <w:spacing w:beforeLines="0" w:before="240" w:after="240"/>
        <w:rPr>
          <w:rFonts w:ascii="宋体" w:hAnsi="宋体"/>
          <w:szCs w:val="30"/>
        </w:rPr>
      </w:pPr>
      <w:bookmarkStart w:id="28" w:name="_Toc231197047"/>
      <w:r>
        <w:rPr>
          <w:rFonts w:ascii="Times New Roman" w:hAnsi="Times New Roman"/>
          <w:sz w:val="30"/>
        </w:rPr>
        <w:lastRenderedPageBreak/>
        <w:t>二十五、招募说明书的存放及查阅方式</w:t>
      </w:r>
      <w:bookmarkEnd w:id="28"/>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6130F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13E62" w:rsidRDefault="006130FA">
      <w:pPr>
        <w:pStyle w:val="1"/>
        <w:snapToGrid w:val="0"/>
        <w:spacing w:beforeLines="0" w:before="240" w:after="240"/>
        <w:rPr>
          <w:rFonts w:ascii="宋体" w:hAnsi="宋体"/>
          <w:szCs w:val="30"/>
        </w:rPr>
      </w:pPr>
      <w:bookmarkStart w:id="29" w:name="_Toc231197048"/>
      <w:r>
        <w:rPr>
          <w:rFonts w:ascii="Times New Roman" w:hAnsi="Times New Roman"/>
          <w:sz w:val="30"/>
        </w:rPr>
        <w:lastRenderedPageBreak/>
        <w:t>二十六、备查文件</w:t>
      </w:r>
      <w:bookmarkEnd w:id="29"/>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（一）中国证监会准予交银施罗德启合混合型证券投资基金募集注册的文件</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（二）《交银施罗德启合混合型证券投资基金基金合同》</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（三）《交银施罗德启合混合型证券投资基金托管协议》</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413E62" w:rsidRDefault="006130F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（六）关于申请募集注册交银施罗德启合混合型证券投资基金的法律意见书</w:t>
      </w:r>
    </w:p>
    <w:sectPr w:rsidR="00413E62">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D09" w:rsidRDefault="006130FA">
      <w:r>
        <w:separator/>
      </w:r>
    </w:p>
  </w:endnote>
  <w:endnote w:type="continuationSeparator" w:id="0">
    <w:p w:rsidR="00630D09" w:rsidRDefault="00613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E62" w:rsidRDefault="00413E6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E62" w:rsidRDefault="00FC662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413E62" w:rsidRDefault="006130F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C662A">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E62" w:rsidRDefault="00413E62">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E62" w:rsidRDefault="00FC662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413E62" w:rsidRDefault="006130F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C662A">
                  <w:rPr>
                    <w:rFonts w:ascii="Times New Roman" w:hAnsi="Times New Roman"/>
                    <w:noProof/>
                    <w:kern w:val="0"/>
                    <w:sz w:val="18"/>
                    <w:szCs w:val="18"/>
                  </w:rPr>
                  <w:t>160</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D09" w:rsidRDefault="006130FA">
      <w:r>
        <w:separator/>
      </w:r>
    </w:p>
  </w:footnote>
  <w:footnote w:type="continuationSeparator" w:id="0">
    <w:p w:rsidR="00630D09" w:rsidRDefault="006130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E62" w:rsidRDefault="00413E6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E62" w:rsidRDefault="006130FA">
    <w:pPr>
      <w:pStyle w:val="a3"/>
      <w:jc w:val="right"/>
      <w:rPr>
        <w:rFonts w:ascii="宋体" w:hAnsi="宋体"/>
      </w:rPr>
    </w:pPr>
    <w:r>
      <w:rPr>
        <w:rFonts w:ascii="宋体" w:hAnsi="宋体" w:hint="eastAsia"/>
      </w:rPr>
      <w:t>交银施罗德启合混合型证券投资基金招募说明书更新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E62" w:rsidRDefault="00413E62">
    <w:pPr>
      <w:pStyle w:val="10"/>
      <w:jc w:val="right"/>
    </w:pPr>
  </w:p>
  <w:p w:rsidR="00413E62" w:rsidRDefault="00413E62">
    <w:pPr>
      <w:pStyle w:val="10"/>
      <w:jc w:val="right"/>
    </w:pPr>
  </w:p>
  <w:p w:rsidR="00413E62" w:rsidRDefault="00413E62">
    <w:pPr>
      <w:pStyle w:val="a3"/>
      <w:jc w:val="right"/>
    </w:pPr>
  </w:p>
  <w:p w:rsidR="00413E62" w:rsidRDefault="006130FA">
    <w:pPr>
      <w:pStyle w:val="a3"/>
      <w:jc w:val="right"/>
      <w:rPr>
        <w:rFonts w:ascii="宋体" w:hAnsi="宋体"/>
      </w:rPr>
    </w:pPr>
    <w:r>
      <w:rPr>
        <w:rFonts w:ascii="宋体" w:hAnsi="宋体" w:hint="eastAsia"/>
      </w:rPr>
      <w:t>交银施罗德启合混合型证券投资基金招募说明书更新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E62" w:rsidRDefault="00413E62">
    <w:pPr>
      <w:pStyle w:val="a3"/>
      <w:jc w:val="right"/>
    </w:pPr>
  </w:p>
  <w:p w:rsidR="00413E62" w:rsidRDefault="00413E62">
    <w:pPr>
      <w:pStyle w:val="a3"/>
      <w:jc w:val="right"/>
    </w:pPr>
  </w:p>
  <w:p w:rsidR="00413E62" w:rsidRDefault="00413E62">
    <w:pPr>
      <w:pStyle w:val="a3"/>
      <w:jc w:val="right"/>
    </w:pPr>
  </w:p>
  <w:p w:rsidR="00413E62" w:rsidRDefault="006130FA">
    <w:pPr>
      <w:pStyle w:val="a3"/>
      <w:jc w:val="right"/>
      <w:rPr>
        <w:rFonts w:ascii="宋体" w:hAnsi="宋体"/>
      </w:rPr>
    </w:pPr>
    <w:r>
      <w:rPr>
        <w:rFonts w:ascii="宋体" w:hAnsi="宋体" w:hint="eastAsia"/>
      </w:rPr>
      <w:t>交银施罗德启合混合型证券投资基金招募说明书更新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62"/>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30FA"/>
    <w:rsid w:val="006142EC"/>
    <w:rsid w:val="006155A5"/>
    <w:rsid w:val="00617824"/>
    <w:rsid w:val="00624214"/>
    <w:rsid w:val="00625419"/>
    <w:rsid w:val="00626D1A"/>
    <w:rsid w:val="00627429"/>
    <w:rsid w:val="0063089C"/>
    <w:rsid w:val="00630D09"/>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62A"/>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41D252D8-8FFD-4AF3-88B7-F5655F509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161</Pages>
  <Words>17064</Words>
  <Characters>97269</Characters>
  <Application>Microsoft Office Word</Application>
  <DocSecurity>0</DocSecurity>
  <Lines>810</Lines>
  <Paragraphs>228</Paragraphs>
  <ScaleCrop>false</ScaleCrop>
  <Company>Microsoft</Company>
  <LinksUpToDate>false</LinksUpToDate>
  <CharactersWithSpaces>114105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2026-06-01T01:03:00Z</dcterms:created>
  <dcterms:modified xsi:type="dcterms:W3CDTF">2026-06-01T01:03:00Z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