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交银施罗德丰润收益债券型证券投资基金（A类份额）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交银丰润收益债券A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519743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2014-12-15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张顺晨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苏建文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唐赟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2025-03-15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资产净值低于1亿元的，基金管理人可向中国证监会报告并提前终止基金合同，不需召开基金份额持有人大会。若基金管理人未依前款规定提前终止合同的，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在严格控制风险的基础上,力求获得高于业绩基准的投资收益。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基金的投资组合比例为投资于债券资产的比例不低于基金资产的80%，但在封闭期结束前三个月和转开放后三个月内，基金投资不受上述债券资产投资比例限制。</w:t>
            </w:r>
          </w:p>
          <w:p>
            <w:pPr>
              <w:ind w:firstLine="420"/>
              <w:jc w:val="left"/>
              <w:rPr>
                <w:rFonts w:ascii="仿宋_GB2312" w:eastAsia="仿宋_GB2312"/>
                <w:szCs w:val="21"/>
              </w:rPr>
            </w:pPr>
            <w:r>
              <w:rPr>
                <w:rFonts w:hint="eastAsia" w:ascii="仿宋_GB2312" w:eastAsia="仿宋_GB2312"/>
                <w:szCs w:val="21"/>
              </w:rPr>
              <w:t>本基金在开放期内，现金或到期日在一年以内的政府债券的比例合计不低于基金资产净值的5%，其中现金不包括结算备付金、存出保证金、应收申购款等。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个券。本基金采用的主要策略包括：1、久期调整策略；2、债券的类属配置策略；3、期限结构配置策略；4、杠杆放大策略；5、信用债券投资策略；6、资产支持证券（含资产收益计划）投资策略。</w:t>
            </w:r>
          </w:p>
          <w:p>
            <w:pPr>
              <w:ind w:firstLine="420"/>
              <w:jc w:val="left"/>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详见《交银施罗德丰润收益债券型证券投资基金招募说明书》“基金的投资”。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2、本基金自2016年12月16日起转为开放式运作，本基金的业绩比较基准由“两年期银行定期存款税后收益率+1.25%”变更为“中债综合全价指数”。</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特有的流动性风险。本基金为封闭两年运作，之后转为开放式运作（按照基金合同约定提前转换基金运作方式的情形除外）。本基金在封闭期内不办理申购赎回业务，也不上市交易，从而可能无法满足投资者的短期流动性需求；</w:t>
      </w:r>
    </w:p>
    <w:p>
      <w:pPr>
        <w:ind w:firstLine="420"/>
        <w:jc w:val="left"/>
        <w:rPr>
          <w:rFonts w:ascii="仿宋_GB2312" w:eastAsia="仿宋_GB2312"/>
          <w:szCs w:val="21"/>
        </w:rPr>
      </w:pPr>
      <w:r>
        <w:rPr>
          <w:rFonts w:hint="eastAsia" w:ascii="仿宋_GB2312" w:eastAsia="仿宋_GB2312"/>
          <w:szCs w:val="21"/>
        </w:rPr>
        <w:t>（4）基金合同提前终止风险。基金资产净值连续二十个工作日低于1亿元时，基金管理人可向中国证监会报告并提前终止基金合同，不需召开基金份额持有人大会。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●《交银施罗德丰润收益债券型证券投资基金基金合同》、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《交银施罗德丰润收益债券型证券投资基金托管协议》、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《交银施罗德丰润收益债券型证券投资基金招募说明书》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50EA0"/>
    <w:rsid w:val="00CD7637"/>
    <w:rsid w:val="00D04A15"/>
    <w:rsid w:val="00D373CC"/>
    <w:rsid w:val="00DB319C"/>
    <w:rsid w:val="00E51B6D"/>
    <w:rsid w:val="00F75715"/>
    <w:rsid w:val="00F811C4"/>
    <w:rsid w:val="00FC2918"/>
    <w:rsid w:val="676F1E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656</Words>
  <Characters>3741</Characters>
  <Lines>31</Lines>
  <Paragraphs>8</Paragraphs>
  <TotalTime>0</TotalTime>
  <ScaleCrop>false</ScaleCrop>
  <LinksUpToDate>false</LinksUpToDate>
  <CharactersWithSpaces>4389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Cc</dc:creator>
  <cp:lastModifiedBy>haotingting</cp:lastModifiedBy>
  <dcterms:modified xsi:type="dcterms:W3CDTF">2026-05-21T06:02:48Z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7F3B06236796441B8A2160B553412384</vt:lpwstr>
  </property>
</Properties>
</file>