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交银施罗德增利增强债券型证券投资基金（A类份额）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交银增利增强债券A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004427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2018-11-02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本基金以债券投资为主，通过自上而下进行宏观分析，自下而上精选个券，在严格控制风险的前提下，力争实现基金资产的长期稳定增值。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本基金通过参与一级市场新股申购、股票增发，以及因所持股票进行股票配售及派发所形成的股票不超过基金资产净值的20%，通过二级市场买入股票（含存托凭证）、权证等权益类资产不高于基金资产净值的5%。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详见《交银施罗德增利增强债券型证券投资基金招募说明书》“基金的投资”。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2、本基金合同于2017年6月2日生效，合同生效当年净值增长率按实际存续期计算；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●《交银施罗德增利增强债券型证券投资基金基金合同》、</w:t>
      </w:r>
    </w:p>
    <w:p>
      <w:pPr>
        <w:ind w:firstLine="420"/>
        <w:jc w:val="left"/>
        <w:rPr>
          <w:rFonts w:ascii="仿宋_GB2312" w:eastAsia="仿宋_GB2312"/>
          <w:szCs w:val="21"/>
        </w:rPr>
      </w:pPr>
      <w:r>
        <w:rPr>
          <w:rFonts w:hint="eastAsia" w:ascii="仿宋_GB2312" w:eastAsia="仿宋_GB2312"/>
          <w:szCs w:val="21"/>
        </w:rPr>
        <w:t>《交银施罗德增利增强债券型证券投资基金托管协议》、</w:t>
      </w:r>
    </w:p>
    <w:p>
      <w:pPr>
        <w:ind w:firstLine="420"/>
        <w:jc w:val="left"/>
        <w:rPr>
          <w:rFonts w:ascii="仿宋_GB2312" w:eastAsia="仿宋_GB2312"/>
          <w:szCs w:val="21"/>
        </w:rPr>
      </w:pPr>
      <w:r>
        <w:rPr>
          <w:rFonts w:hint="eastAsia" w:ascii="仿宋_GB2312" w:eastAsia="仿宋_GB2312"/>
          <w:szCs w:val="21"/>
        </w:rPr>
        <w:t>《交银施罗德增利增强债券型证券投资基金招募说明书》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DD3C77"/>
    <w:rsid w:val="00E51B6D"/>
    <w:rsid w:val="00F75715"/>
    <w:rsid w:val="00F811C4"/>
    <w:rsid w:val="00FC2918"/>
    <w:rsid w:val="76A87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708</Words>
  <Characters>4038</Characters>
  <Lines>33</Lines>
  <Paragraphs>9</Paragraphs>
  <TotalTime>1</TotalTime>
  <ScaleCrop>false</ScaleCrop>
  <LinksUpToDate>false</LinksUpToDate>
  <CharactersWithSpaces>4737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2026-05-22T08:13:40Z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72E53774135346ADAAA497E9F03C1C9A</vt:lpwstr>
  </property>
</Properties>
</file>