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交银施罗德慧选睿信一年持有期混合型基金中基金（FOF）（C类份额）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交银慧选睿信一年持有期混合（FOF）C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015327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2022-07-27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刘迪</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2025-05-08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和混合型基金的资产合计占基金资产的比例为25%-75%（其中投资于港股通标的股票的比例占股票资产的0%-50%）；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50%×中债综合全价指数收益率+50%×沪深300指数收益率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详见《交银施罗德慧选睿信一年持有期混合型基金中基金(FOF)招募说明书》“基金的投资”。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2、本基金合同于2022年7月27日生效，合同生效当年净值增长率按实际存续期计算。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0.90%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1.69%</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含存托凭证）、股票型基金（包括股票指数基金）和混合型基金的资产合计占基金资产的比例为25%-75%（其中投资于港股通标的股票的比例占股票资产的0%-50%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（7）本基金可投资创业板股票，创业板个股上市后的前五个交易日不设价格涨跌幅限制，第六个交易日开始涨跌幅限制比例为20%。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●《交银施罗德慧选睿信一年持有期混合型基金中基金（FOF）基金合同》、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《交银施罗德慧选睿信一年持有期混合型基金中基金（FOF）托管协议》、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《交银施罗德慧选睿信一年持有期混合型基金中基金（FOF）招募说明书》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5255E"/>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3630D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864</Words>
  <Characters>4926</Characters>
  <Lines>41</Lines>
  <Paragraphs>11</Paragraphs>
  <TotalTime>1</TotalTime>
  <ScaleCrop>false</ScaleCrop>
  <LinksUpToDate>false</LinksUpToDate>
  <CharactersWithSpaces>5779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2026-05-20T01:37:00Z</dcterms:created>
  <dc:creator>Cc</dc:creator>
  <cp:lastModifiedBy>haotingting</cp:lastModifiedBy>
  <dcterms:modified xsi:type="dcterms:W3CDTF">2026-05-21T06:40:49Z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D990394F369C4F48BA508A955CBA153C</vt:lpwstr>
  </property>
</Properties>
</file>