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交银施罗德可转债债券型证券投资基金（C类份额）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交银可转债债券C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007317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本基金主要利用可转债品种兼具债券和股票的特性，在合理控制风险、保持适当流动性的基础上，力争取得超越基金业绩比较基准的收益。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1、大类资产配置；2、债券投资策略；3、股票投资策略；4、资产支持证券投资策略。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中证可转换债券指数收益率*70%+中债综合全价指数收益率*20%+沪深300指数收益率*10%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详见《交银施罗德可转债债券型证券投资基金招募说明书》“基金的投资”。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2、本基金合同于2019年7月11日生效，合同生效当年净值增长率按实际存续期计算。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●《交银施罗德可转债债券型证券投资基金基金合同》、</w:t>
      </w:r>
    </w:p>
    <w:p>
      <w:pPr>
        <w:ind w:firstLine="420"/>
        <w:jc w:val="left"/>
        <w:rPr>
          <w:rFonts w:ascii="仿宋_GB2312" w:eastAsia="仿宋_GB2312"/>
          <w:szCs w:val="21"/>
        </w:rPr>
      </w:pPr>
      <w:r>
        <w:rPr>
          <w:rFonts w:hint="eastAsia" w:ascii="仿宋_GB2312" w:eastAsia="仿宋_GB2312"/>
          <w:szCs w:val="21"/>
        </w:rPr>
        <w:t>《交银施罗德可转债债券型证券投资基金托管协议》、</w:t>
      </w:r>
    </w:p>
    <w:p>
      <w:pPr>
        <w:ind w:firstLine="420"/>
        <w:jc w:val="left"/>
        <w:rPr>
          <w:rFonts w:ascii="仿宋_GB2312" w:eastAsia="仿宋_GB2312"/>
          <w:szCs w:val="21"/>
        </w:rPr>
      </w:pPr>
      <w:r>
        <w:rPr>
          <w:rFonts w:hint="eastAsia" w:ascii="仿宋_GB2312" w:eastAsia="仿宋_GB2312"/>
          <w:szCs w:val="21"/>
        </w:rPr>
        <w:t>《交银施罗德可转债债券型证券投资基金招募说明书》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62C0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D916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679</Words>
  <Characters>3873</Characters>
  <Lines>32</Lines>
  <Paragraphs>9</Paragraphs>
  <TotalTime>0</TotalTime>
  <ScaleCrop>false</ScaleCrop>
  <LinksUpToDate>false</LinksUpToDate>
  <CharactersWithSpaces>4543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2026-05-21T08:38:12Z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2948CE8E319D4CCF9156D7A15B8EE147</vt:lpwstr>
  </property>
</Properties>
</file>