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126308">
      <w:pPr>
        <w:rPr>
          <w:sz w:val="32"/>
        </w:rPr>
      </w:pPr>
    </w:p>
    <w:p w:rsidR="00C92FC0" w:rsidRPr="00EB07BC" w:rsidRDefault="00126308">
      <w:pPr>
        <w:rPr>
          <w:sz w:val="32"/>
        </w:rPr>
      </w:pPr>
    </w:p>
    <w:p w:rsidR="00C92FC0" w:rsidRPr="00EB07BC" w:rsidRDefault="00126308">
      <w:pPr>
        <w:rPr>
          <w:sz w:val="32"/>
        </w:rPr>
      </w:pPr>
    </w:p>
    <w:p w:rsidR="00812571" w:rsidRDefault="0081257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12571" w:rsidRDefault="0081257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12571" w:rsidRDefault="0081257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12571" w:rsidRDefault="00833DD9">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交银施罗德丰润收益债券型证券投资基金</w:t>
      </w:r>
    </w:p>
    <w:p w:rsidR="00812571" w:rsidRDefault="00833DD9">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812571" w:rsidRDefault="00812571">
      <w:pPr>
        <w:snapToGrid w:val="0"/>
        <w:spacing w:line="360" w:lineRule="auto"/>
        <w:jc w:val="center"/>
        <w:rPr>
          <w:rFonts w:ascii="宋体" w:hAnsi="宋体"/>
          <w:b/>
          <w:sz w:val="30"/>
          <w:szCs w:val="30"/>
        </w:rPr>
      </w:pPr>
    </w:p>
    <w:p w:rsidR="00812571" w:rsidRDefault="0081257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12571" w:rsidRDefault="0081257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12571" w:rsidRDefault="0081257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12571" w:rsidRDefault="0081257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12571" w:rsidRDefault="0081257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12571" w:rsidRDefault="0081257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12571" w:rsidRDefault="00833DD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812571" w:rsidRDefault="00833DD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812571" w:rsidRDefault="0081257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12571" w:rsidRDefault="0081257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12571" w:rsidRDefault="00833DD9">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812571" w:rsidRDefault="00812571">
      <w:pPr>
        <w:autoSpaceDE w:val="0"/>
        <w:autoSpaceDN w:val="0"/>
        <w:adjustRightInd w:val="0"/>
        <w:snapToGrid w:val="0"/>
        <w:spacing w:line="360" w:lineRule="auto"/>
        <w:ind w:left="1347" w:rightChars="6" w:right="13"/>
        <w:rPr>
          <w:rFonts w:ascii="宋体" w:hAnsi="宋体"/>
          <w:kern w:val="0"/>
          <w:sz w:val="32"/>
          <w:szCs w:val="32"/>
        </w:rPr>
        <w:sectPr w:rsidR="00812571">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812571" w:rsidRDefault="00833DD9">
      <w:pPr>
        <w:pStyle w:val="1"/>
        <w:snapToGrid w:val="0"/>
        <w:spacing w:beforeLines="0" w:before="240" w:after="240"/>
        <w:rPr>
          <w:rFonts w:ascii="宋体" w:hAnsi="宋体"/>
          <w:kern w:val="0"/>
        </w:rPr>
      </w:pPr>
      <w:bookmarkStart w:id="0" w:name="_Toc324920538"/>
      <w:bookmarkStart w:id="1" w:name="_Toc496884613"/>
      <w:bookmarkStart w:id="2" w:name="_Toc231212101"/>
      <w:r>
        <w:rPr>
          <w:rFonts w:ascii="Times New Roman" w:hAnsi="Times New Roman"/>
          <w:kern w:val="0"/>
        </w:rPr>
        <w:lastRenderedPageBreak/>
        <w:t>重要提示</w:t>
      </w:r>
      <w:bookmarkEnd w:id="0"/>
      <w:bookmarkEnd w:id="1"/>
      <w:bookmarkEnd w:id="2"/>
    </w:p>
    <w:p w:rsidR="00812571" w:rsidRDefault="00833DD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交银施罗德丰润收益债券型证券投资基金（以下简称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2014</w:t>
      </w:r>
      <w:r>
        <w:rPr>
          <w:rFonts w:ascii="Times New Roman" w:hAnsi="Times New Roman"/>
          <w:kern w:val="0"/>
          <w:sz w:val="24"/>
        </w:rPr>
        <w:t>】</w:t>
      </w:r>
      <w:r>
        <w:rPr>
          <w:rFonts w:ascii="Times New Roman" w:hAnsi="Times New Roman"/>
          <w:kern w:val="0"/>
          <w:sz w:val="24"/>
        </w:rPr>
        <w:t>1116</w:t>
      </w:r>
      <w:r>
        <w:rPr>
          <w:rFonts w:ascii="Times New Roman" w:hAnsi="Times New Roman"/>
          <w:kern w:val="0"/>
          <w:sz w:val="24"/>
        </w:rPr>
        <w:t>号文准予募集注册。本基金基金合同于</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15</w:t>
      </w:r>
      <w:r>
        <w:rPr>
          <w:rFonts w:ascii="Times New Roman" w:hAnsi="Times New Roman"/>
          <w:kern w:val="0"/>
          <w:sz w:val="24"/>
        </w:rPr>
        <w:t>日正式生效。</w:t>
      </w:r>
    </w:p>
    <w:p w:rsidR="00812571" w:rsidRDefault="00833DD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812571" w:rsidRDefault="00833DD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812571" w:rsidRDefault="00833DD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本基金在基金合同生效之日起两年</w:t>
      </w:r>
      <w:r>
        <w:rPr>
          <w:rFonts w:ascii="Times New Roman" w:hAnsi="Times New Roman"/>
          <w:kern w:val="0"/>
          <w:sz w:val="24"/>
        </w:rPr>
        <w:t>(</w:t>
      </w:r>
      <w:r>
        <w:rPr>
          <w:rFonts w:ascii="Times New Roman" w:hAnsi="Times New Roman"/>
          <w:kern w:val="0"/>
          <w:sz w:val="24"/>
        </w:rPr>
        <w:t>含两年</w:t>
      </w:r>
      <w:r>
        <w:rPr>
          <w:rFonts w:ascii="Times New Roman" w:hAnsi="Times New Roman"/>
          <w:kern w:val="0"/>
          <w:sz w:val="24"/>
        </w:rPr>
        <w:t>)</w:t>
      </w:r>
      <w:r>
        <w:rPr>
          <w:rFonts w:ascii="Times New Roman" w:hAnsi="Times New Roman"/>
          <w:kern w:val="0"/>
          <w:sz w:val="24"/>
        </w:rPr>
        <w:t>的期间内采取封闭式运作，按照基金合同的约定提前转换基金运作方式的情形除外。封闭期内，基金投资者不能申购、赎回本基金基金份额。本基金转入开放期后基金投资者方可申购、赎回本基金基金份额。</w:t>
      </w:r>
    </w:p>
    <w:p w:rsidR="00812571" w:rsidRDefault="00833DD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自主判断基金的投资价值，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基金资产净值连续二十个工作日低于</w:t>
      </w:r>
      <w:r>
        <w:rPr>
          <w:rFonts w:ascii="Times New Roman" w:hAnsi="Times New Roman"/>
          <w:kern w:val="0"/>
          <w:sz w:val="24"/>
        </w:rPr>
        <w:t>1</w:t>
      </w:r>
      <w:r>
        <w:rPr>
          <w:rFonts w:ascii="Times New Roman" w:hAnsi="Times New Roman"/>
          <w:kern w:val="0"/>
          <w:sz w:val="24"/>
        </w:rPr>
        <w:t>亿元时基金管理人可依基金合同约定提前终止基金合同的风险；本基金法律文件风险收益特征表述与销售机构基金风险评价可能不一致的风险；投资本基金特有的其他风险等等。本基金是一只债券型基金，其风险与预期收益高于货币市场基金，低于混合型基金和股票型基金，属于证券投资基金中中等风险的品种。</w:t>
      </w:r>
    </w:p>
    <w:p w:rsidR="00812571" w:rsidRDefault="00833DD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w:t>
      </w:r>
      <w:r>
        <w:rPr>
          <w:rFonts w:ascii="Times New Roman" w:hAnsi="Times New Roman"/>
          <w:kern w:val="0"/>
          <w:sz w:val="24"/>
        </w:rPr>
        <w:lastRenderedPageBreak/>
        <w:t>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812571" w:rsidRDefault="00833DD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812571" w:rsidRDefault="00812571">
      <w:pPr>
        <w:autoSpaceDE w:val="0"/>
        <w:autoSpaceDN w:val="0"/>
        <w:adjustRightInd w:val="0"/>
        <w:snapToGrid w:val="0"/>
        <w:spacing w:before="51" w:line="360" w:lineRule="auto"/>
        <w:ind w:left="120" w:rightChars="6" w:right="13" w:firstLine="480"/>
        <w:rPr>
          <w:rFonts w:ascii="宋体" w:hAnsi="宋体"/>
          <w:kern w:val="0"/>
          <w:szCs w:val="24"/>
        </w:rPr>
        <w:sectPr w:rsidR="00812571">
          <w:headerReference w:type="default" r:id="rId14"/>
          <w:pgSz w:w="11920" w:h="16840"/>
          <w:pgMar w:top="1440" w:right="1680" w:bottom="280" w:left="1680" w:header="0" w:footer="1073" w:gutter="0"/>
          <w:pgNumType w:start="1"/>
          <w:cols w:space="720"/>
        </w:sectPr>
      </w:pPr>
    </w:p>
    <w:p w:rsidR="00126308" w:rsidRPr="00126308" w:rsidRDefault="00833DD9" w:rsidP="00126308">
      <w:pPr>
        <w:pStyle w:val="ad"/>
        <w:snapToGrid w:val="0"/>
        <w:spacing w:after="240" w:line="360" w:lineRule="auto"/>
        <w:jc w:val="center"/>
        <w:rPr>
          <w:rFonts w:ascii="宋体" w:hAnsi="宋体"/>
          <w:noProof/>
          <w:sz w:val="24"/>
        </w:rPr>
      </w:pPr>
      <w:r w:rsidRPr="00126308">
        <w:rPr>
          <w:rFonts w:ascii="宋体" w:hAnsi="宋体"/>
          <w:color w:val="000000"/>
          <w:position w:val="-4"/>
          <w:sz w:val="24"/>
          <w:szCs w:val="30"/>
        </w:rPr>
        <w:lastRenderedPageBreak/>
        <w:t>目</w:t>
      </w:r>
      <w:r w:rsidRPr="00126308">
        <w:rPr>
          <w:rFonts w:ascii="宋体" w:hAnsi="宋体"/>
          <w:color w:val="000000"/>
          <w:position w:val="-4"/>
          <w:sz w:val="24"/>
          <w:szCs w:val="30"/>
        </w:rPr>
        <w:tab/>
        <w:t>录</w:t>
      </w:r>
      <w:r w:rsidR="00126308" w:rsidRPr="00126308">
        <w:rPr>
          <w:rFonts w:ascii="宋体" w:hAnsi="宋体"/>
          <w:color w:val="000000"/>
          <w:position w:val="-4"/>
          <w:sz w:val="24"/>
          <w:szCs w:val="30"/>
        </w:rPr>
        <w:fldChar w:fldCharType="begin"/>
      </w:r>
      <w:r w:rsidR="00126308" w:rsidRPr="00126308">
        <w:rPr>
          <w:rFonts w:ascii="宋体" w:hAnsi="宋体"/>
          <w:color w:val="000000"/>
          <w:position w:val="-4"/>
          <w:sz w:val="24"/>
          <w:szCs w:val="30"/>
        </w:rPr>
        <w:instrText xml:space="preserve"> TOC \o "1-3" \f - \h \t "-1" </w:instrText>
      </w:r>
      <w:r w:rsidR="00126308" w:rsidRPr="00126308">
        <w:rPr>
          <w:rFonts w:ascii="宋体" w:hAnsi="宋体"/>
          <w:color w:val="000000"/>
          <w:position w:val="-4"/>
          <w:sz w:val="24"/>
          <w:szCs w:val="30"/>
        </w:rPr>
        <w:fldChar w:fldCharType="separate"/>
      </w:r>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01" w:history="1">
        <w:r w:rsidRPr="00126308">
          <w:rPr>
            <w:rStyle w:val="aa"/>
            <w:rFonts w:ascii="宋体" w:hAnsi="宋体" w:hint="eastAsia"/>
            <w:noProof/>
            <w:kern w:val="0"/>
            <w:sz w:val="24"/>
          </w:rPr>
          <w:t>重要提示</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_Toc231212101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02" w:history="1">
        <w:r w:rsidRPr="00126308">
          <w:rPr>
            <w:rStyle w:val="aa"/>
            <w:rFonts w:ascii="宋体" w:hAnsi="宋体" w:hint="eastAsia"/>
            <w:noProof/>
            <w:sz w:val="24"/>
          </w:rPr>
          <w:t>一、绪言</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_Toc231212102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4</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03" w:history="1">
        <w:r w:rsidRPr="00126308">
          <w:rPr>
            <w:rStyle w:val="aa"/>
            <w:rFonts w:ascii="宋体" w:hAnsi="宋体" w:hint="eastAsia"/>
            <w:noProof/>
            <w:sz w:val="24"/>
          </w:rPr>
          <w:t>二、释义</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_Toc231212103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5</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04" w:history="1">
        <w:r w:rsidRPr="00126308">
          <w:rPr>
            <w:rStyle w:val="aa"/>
            <w:rFonts w:ascii="宋体" w:hAnsi="宋体" w:hint="eastAsia"/>
            <w:noProof/>
            <w:sz w:val="24"/>
          </w:rPr>
          <w:t>三、基金管理人</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_Toc231212104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10</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05" w:history="1">
        <w:r w:rsidRPr="00126308">
          <w:rPr>
            <w:rStyle w:val="aa"/>
            <w:rFonts w:ascii="宋体" w:hAnsi="宋体" w:hint="eastAsia"/>
            <w:noProof/>
            <w:sz w:val="24"/>
          </w:rPr>
          <w:t>四、基金托管人</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_Toc231212105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19</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06" w:history="1">
        <w:r w:rsidRPr="00126308">
          <w:rPr>
            <w:rStyle w:val="aa"/>
            <w:rFonts w:ascii="宋体" w:hAnsi="宋体" w:hint="eastAsia"/>
            <w:noProof/>
            <w:sz w:val="24"/>
          </w:rPr>
          <w:t>五、相关服务机构</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_Toc231212106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23</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07" w:history="1">
        <w:r w:rsidRPr="00126308">
          <w:rPr>
            <w:rStyle w:val="aa"/>
            <w:rFonts w:ascii="宋体" w:hAnsi="宋体" w:hint="eastAsia"/>
            <w:noProof/>
            <w:sz w:val="24"/>
          </w:rPr>
          <w:t>六、基金的募集</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_Toc231212107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50</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08" w:history="1">
        <w:r w:rsidRPr="00126308">
          <w:rPr>
            <w:rStyle w:val="aa"/>
            <w:rFonts w:ascii="宋体" w:hAnsi="宋体" w:hint="eastAsia"/>
            <w:noProof/>
            <w:sz w:val="24"/>
          </w:rPr>
          <w:t>七、基金合同的生效</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_Toc231212108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51</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09" w:history="1">
        <w:r w:rsidRPr="00126308">
          <w:rPr>
            <w:rStyle w:val="aa"/>
            <w:rFonts w:ascii="宋体" w:hAnsi="宋体" w:hint="eastAsia"/>
            <w:noProof/>
            <w:sz w:val="24"/>
          </w:rPr>
          <w:t>八、基金份额的申购与赎回</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_Toc231212109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52</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10" w:history="1">
        <w:r w:rsidRPr="00126308">
          <w:rPr>
            <w:rStyle w:val="aa"/>
            <w:rFonts w:ascii="宋体" w:hAnsi="宋体" w:hint="eastAsia"/>
            <w:noProof/>
            <w:sz w:val="24"/>
          </w:rPr>
          <w:t>九、</w:t>
        </w:r>
        <w:r w:rsidRPr="00126308">
          <w:rPr>
            <w:rStyle w:val="aa"/>
            <w:rFonts w:ascii="宋体" w:hAnsi="宋体"/>
            <w:noProof/>
            <w:sz w:val="24"/>
          </w:rPr>
          <w:t xml:space="preserve"> </w:t>
        </w:r>
        <w:r w:rsidRPr="00126308">
          <w:rPr>
            <w:rStyle w:val="aa"/>
            <w:rFonts w:ascii="宋体" w:hAnsi="宋体" w:hint="eastAsia"/>
            <w:noProof/>
            <w:sz w:val="24"/>
          </w:rPr>
          <w:t>基金的转换</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_Toc231212110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66</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11" w:history="1">
        <w:r w:rsidRPr="00126308">
          <w:rPr>
            <w:rStyle w:val="aa"/>
            <w:rFonts w:ascii="宋体" w:hAnsi="宋体" w:hint="eastAsia"/>
            <w:noProof/>
            <w:sz w:val="24"/>
          </w:rPr>
          <w:t>十、基金的投资</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_Toc231212111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73</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12" w:history="1">
        <w:r w:rsidRPr="00126308">
          <w:rPr>
            <w:rStyle w:val="aa"/>
            <w:rFonts w:ascii="宋体" w:hAnsi="宋体" w:hint="eastAsia"/>
            <w:noProof/>
            <w:sz w:val="24"/>
          </w:rPr>
          <w:t>十一、基金的业绩</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_Toc231212112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84</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13" w:history="1">
        <w:r w:rsidRPr="00126308">
          <w:rPr>
            <w:rStyle w:val="aa"/>
            <w:rFonts w:ascii="宋体" w:hAnsi="宋体" w:hint="eastAsia"/>
            <w:noProof/>
            <w:sz w:val="24"/>
          </w:rPr>
          <w:t>十二、基金的财产</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_Toc231212113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87</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14" w:history="1">
        <w:r w:rsidRPr="00126308">
          <w:rPr>
            <w:rStyle w:val="aa"/>
            <w:rFonts w:ascii="宋体" w:hAnsi="宋体" w:hint="eastAsia"/>
            <w:noProof/>
            <w:sz w:val="24"/>
          </w:rPr>
          <w:t>十三、基金资产的估值</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_Toc231212114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88</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15" w:history="1">
        <w:r w:rsidRPr="00126308">
          <w:rPr>
            <w:rStyle w:val="aa"/>
            <w:rFonts w:ascii="宋体" w:hAnsi="宋体" w:hint="eastAsia"/>
            <w:noProof/>
            <w:sz w:val="24"/>
          </w:rPr>
          <w:t>十四、基金收益与分配</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_Toc231212115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93</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16" w:history="1">
        <w:r w:rsidRPr="00126308">
          <w:rPr>
            <w:rStyle w:val="aa"/>
            <w:rFonts w:ascii="宋体" w:hAnsi="宋体" w:hint="eastAsia"/>
            <w:noProof/>
            <w:sz w:val="24"/>
          </w:rPr>
          <w:t>十五、基金的费用与税收</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_Toc231212116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95</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17" w:history="1">
        <w:r w:rsidRPr="00126308">
          <w:rPr>
            <w:rStyle w:val="aa"/>
            <w:rFonts w:ascii="宋体" w:hAnsi="宋体" w:hint="eastAsia"/>
            <w:noProof/>
            <w:sz w:val="24"/>
          </w:rPr>
          <w:t>十六、基金的会计与审计</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_Toc231212117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98</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18" w:history="1">
        <w:r w:rsidRPr="00126308">
          <w:rPr>
            <w:rStyle w:val="aa"/>
            <w:rFonts w:ascii="宋体" w:hAnsi="宋体" w:hint="eastAsia"/>
            <w:noProof/>
            <w:sz w:val="24"/>
          </w:rPr>
          <w:t>十七、基金的信息披露</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_Toc231212118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99</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19" w:history="1">
        <w:r w:rsidRPr="00126308">
          <w:rPr>
            <w:rStyle w:val="aa"/>
            <w:rFonts w:ascii="宋体" w:hAnsi="宋体" w:hint="eastAsia"/>
            <w:noProof/>
            <w:sz w:val="24"/>
          </w:rPr>
          <w:t>十八、侧袋机制</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_Toc231212119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105</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20" w:history="1">
        <w:r w:rsidRPr="00126308">
          <w:rPr>
            <w:rStyle w:val="aa"/>
            <w:rFonts w:ascii="宋体" w:hAnsi="宋体" w:hint="eastAsia"/>
            <w:noProof/>
            <w:sz w:val="24"/>
          </w:rPr>
          <w:t>十九、风险揭示</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_Toc231212120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108</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21" w:history="1">
        <w:r w:rsidRPr="00126308">
          <w:rPr>
            <w:rStyle w:val="aa"/>
            <w:rFonts w:ascii="宋体" w:hAnsi="宋体" w:hint="eastAsia"/>
            <w:noProof/>
            <w:sz w:val="24"/>
          </w:rPr>
          <w:t>二十、基金合同的变更、终止与基金财产的清算</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_Toc231212121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115</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22" w:history="1">
        <w:r w:rsidRPr="00126308">
          <w:rPr>
            <w:rStyle w:val="aa"/>
            <w:rFonts w:ascii="宋体" w:hAnsi="宋体" w:hint="eastAsia"/>
            <w:noProof/>
            <w:sz w:val="24"/>
          </w:rPr>
          <w:t>二十一、基金合同内容摘要</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_Toc231212122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117</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23" w:history="1">
        <w:r w:rsidRPr="00126308">
          <w:rPr>
            <w:rStyle w:val="aa"/>
            <w:rFonts w:ascii="宋体" w:hAnsi="宋体" w:hint="eastAsia"/>
            <w:noProof/>
            <w:sz w:val="24"/>
          </w:rPr>
          <w:t>二十二、托管协议的内容摘要</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_Toc231212123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134</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24" w:history="1">
        <w:r w:rsidRPr="00126308">
          <w:rPr>
            <w:rStyle w:val="aa"/>
            <w:rFonts w:ascii="宋体" w:hAnsi="宋体" w:hint="eastAsia"/>
            <w:noProof/>
            <w:sz w:val="24"/>
          </w:rPr>
          <w:t>二十三、对基金份额持有人的服务</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_Toc231212124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147</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25" w:history="1">
        <w:r w:rsidRPr="00126308">
          <w:rPr>
            <w:rStyle w:val="aa"/>
            <w:rFonts w:ascii="宋体" w:hAnsi="宋体" w:hint="eastAsia"/>
            <w:noProof/>
            <w:sz w:val="24"/>
          </w:rPr>
          <w:t>二十四、其他应披露事项</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_Toc231212125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149</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26" w:history="1">
        <w:r w:rsidRPr="00126308">
          <w:rPr>
            <w:rStyle w:val="aa"/>
            <w:rFonts w:ascii="宋体" w:hAnsi="宋体" w:hint="eastAsia"/>
            <w:noProof/>
            <w:sz w:val="24"/>
          </w:rPr>
          <w:t>二十五、招募说明书的存放及查阅方式</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_Toc231212126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151</w:t>
        </w:r>
        <w:r w:rsidRPr="00126308">
          <w:rPr>
            <w:rFonts w:ascii="宋体" w:hAnsi="宋体"/>
            <w:noProof/>
            <w:sz w:val="24"/>
          </w:rPr>
          <w:fldChar w:fldCharType="end"/>
        </w:r>
      </w:hyperlink>
    </w:p>
    <w:p w:rsidR="00126308" w:rsidRPr="00126308" w:rsidRDefault="00126308" w:rsidP="00126308">
      <w:pPr>
        <w:pStyle w:val="10"/>
        <w:tabs>
          <w:tab w:val="right" w:leader="dot" w:pos="8550"/>
        </w:tabs>
        <w:spacing w:line="360" w:lineRule="auto"/>
        <w:rPr>
          <w:rFonts w:ascii="宋体" w:hAnsi="宋体" w:cstheme="minorBidi"/>
          <w:noProof/>
          <w:sz w:val="24"/>
        </w:rPr>
      </w:pPr>
      <w:hyperlink w:anchor="_Toc231212127" w:history="1">
        <w:r w:rsidRPr="00126308">
          <w:rPr>
            <w:rStyle w:val="aa"/>
            <w:rFonts w:ascii="宋体" w:hAnsi="宋体" w:hint="eastAsia"/>
            <w:noProof/>
            <w:sz w:val="24"/>
          </w:rPr>
          <w:t>二十六、备查文件</w:t>
        </w:r>
        <w:r w:rsidRPr="00126308">
          <w:rPr>
            <w:rFonts w:ascii="宋体" w:hAnsi="宋体"/>
            <w:noProof/>
            <w:sz w:val="24"/>
          </w:rPr>
          <w:tab/>
        </w:r>
        <w:r w:rsidRPr="00126308">
          <w:rPr>
            <w:rFonts w:ascii="宋体" w:hAnsi="宋体"/>
            <w:noProof/>
            <w:sz w:val="24"/>
          </w:rPr>
          <w:fldChar w:fldCharType="begin"/>
        </w:r>
        <w:r w:rsidRPr="00126308">
          <w:rPr>
            <w:rFonts w:ascii="宋体" w:hAnsi="宋体"/>
            <w:noProof/>
            <w:sz w:val="24"/>
          </w:rPr>
          <w:instrText xml:space="preserve"> PAGEREF _Toc231212127 \h </w:instrText>
        </w:r>
        <w:r w:rsidRPr="00126308">
          <w:rPr>
            <w:rFonts w:ascii="宋体" w:hAnsi="宋体"/>
            <w:noProof/>
            <w:sz w:val="24"/>
          </w:rPr>
        </w:r>
        <w:r w:rsidRPr="00126308">
          <w:rPr>
            <w:rFonts w:ascii="宋体" w:hAnsi="宋体"/>
            <w:noProof/>
            <w:sz w:val="24"/>
          </w:rPr>
          <w:fldChar w:fldCharType="separate"/>
        </w:r>
        <w:r w:rsidRPr="00126308">
          <w:rPr>
            <w:rFonts w:ascii="宋体" w:hAnsi="宋体"/>
            <w:noProof/>
            <w:sz w:val="24"/>
          </w:rPr>
          <w:t>152</w:t>
        </w:r>
        <w:r w:rsidRPr="00126308">
          <w:rPr>
            <w:rFonts w:ascii="宋体" w:hAnsi="宋体"/>
            <w:noProof/>
            <w:sz w:val="24"/>
          </w:rPr>
          <w:fldChar w:fldCharType="end"/>
        </w:r>
      </w:hyperlink>
    </w:p>
    <w:p w:rsidR="00812571" w:rsidRPr="00126308" w:rsidRDefault="00126308" w:rsidP="00126308">
      <w:pPr>
        <w:pStyle w:val="ad"/>
        <w:snapToGrid w:val="0"/>
        <w:spacing w:after="240" w:line="360" w:lineRule="auto"/>
        <w:jc w:val="center"/>
        <w:rPr>
          <w:rFonts w:ascii="宋体" w:hAnsi="宋体"/>
          <w:color w:val="000000"/>
          <w:sz w:val="24"/>
        </w:rPr>
      </w:pPr>
      <w:r w:rsidRPr="00126308">
        <w:rPr>
          <w:rFonts w:ascii="宋体" w:hAnsi="宋体"/>
          <w:color w:val="000000"/>
          <w:position w:val="-4"/>
          <w:sz w:val="24"/>
          <w:szCs w:val="30"/>
        </w:rPr>
        <w:fldChar w:fldCharType="end"/>
      </w:r>
      <w:bookmarkStart w:id="3" w:name="_GoBack"/>
      <w:bookmarkEnd w:id="3"/>
    </w:p>
    <w:p w:rsidR="00812571" w:rsidRDefault="00812571">
      <w:pPr>
        <w:autoSpaceDE w:val="0"/>
        <w:autoSpaceDN w:val="0"/>
        <w:adjustRightInd w:val="0"/>
        <w:snapToGrid w:val="0"/>
        <w:spacing w:line="360" w:lineRule="auto"/>
        <w:ind w:left="120" w:rightChars="6" w:right="13"/>
        <w:rPr>
          <w:rFonts w:ascii="宋体" w:hAnsi="宋体"/>
          <w:kern w:val="0"/>
          <w:szCs w:val="24"/>
        </w:rPr>
        <w:sectPr w:rsidR="00812571">
          <w:pgSz w:w="11920" w:h="16840"/>
          <w:pgMar w:top="1480" w:right="1680" w:bottom="280" w:left="1680" w:header="0" w:footer="1073" w:gutter="0"/>
          <w:cols w:space="720"/>
        </w:sectPr>
      </w:pPr>
    </w:p>
    <w:p w:rsidR="00812571" w:rsidRDefault="00833DD9">
      <w:pPr>
        <w:pStyle w:val="1"/>
        <w:snapToGrid w:val="0"/>
        <w:spacing w:beforeLines="0" w:before="240" w:after="240"/>
        <w:rPr>
          <w:rFonts w:ascii="宋体" w:hAnsi="宋体"/>
          <w:szCs w:val="30"/>
        </w:rPr>
      </w:pPr>
      <w:bookmarkStart w:id="4" w:name="_Toc231212102"/>
      <w:r>
        <w:rPr>
          <w:rFonts w:ascii="Times New Roman" w:hAnsi="Times New Roman"/>
          <w:sz w:val="30"/>
        </w:rPr>
        <w:lastRenderedPageBreak/>
        <w:t>一、绪言</w:t>
      </w:r>
      <w:bookmarkEnd w:id="4"/>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丰润收益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丰润收益债券型证券投资基金基金合同》（以下简称“基金合同”）编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5" w:name="_Toc231212103"/>
      <w:r>
        <w:rPr>
          <w:rFonts w:ascii="Times New Roman" w:hAnsi="Times New Roman"/>
          <w:sz w:val="30"/>
        </w:rPr>
        <w:lastRenderedPageBreak/>
        <w:t>二、释义</w:t>
      </w:r>
      <w:bookmarkEnd w:id="5"/>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1、基金或本基金：指交银施罗德丰润收益债券型证券投资基金</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4、基金合同或《基金合同》：指《交银施罗德丰润收益债券型证券投资基金基金合同》及对基金合同的任何有效修订和补充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5、托管协议：指基金管理人与基金托管人就本基金签订之《交银施罗德丰润收益债券型证券投资基金托管协议》及对该托管协议的任何有效修订和补充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6、招募说明书、本招募说明书或《招募说明书》：指《交银施罗德丰润收益债券型证券投资基金招募说明书》及其更新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7、基金份额发售公告：指《交银施罗德丰润收益债券型证券投资基金基金份额发售公告》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8、基金产品资料概要：指《交银施罗德丰润收益债券型证券投资基金基金产品资料概要》及其更新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13、《运作办法》：指中国证监会2014年7月7日颁布、同年8月8日实施的《公开募集证券投资基金运作管理办法》及颁布机关对其不时做出的修订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封闭期：指基金合同生效之日起两年(含两年)的期间内，本基金采取封闭式运作的存续期间，按照基金合同的约定提前转换基金运作方式的除外。在基金合同中如无特别指明即为自基金合同生效之日起至两个公历年后对应日止，若两年后对应日为非工作日的，相应顺延。期间基金份额保持不变，基金份额持有人不得申请申购或赎回本基金</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37、开放日：指本基金封闭期结束后转为开放式运作期间，为投资人办理基金份额申购、赎回或其他业务的工作日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43、销售服务费：指从基金资产中计提的，用于本基金市场推广、销售以及基金份额持有人服务的费用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份额类别：指本基金根据认购/申购费用、赎回费用、销售服务费收取方式的不同，将基金份额分为不同的类别。在投资人认购/申购时收取前端认购/申购费用、赎回时收取赎回费用的，称为A类基金份额，在投资人申购时不收取申购费用、赎回时收取后端申购费用和赎回费用的，称为B类基金份额，在投资人认购/申购时不收取认购/申购费用、赎回时收取赎回费用，且从本类别基金资产中计提销售服务费的，称为C类基金份额；本基金募集期内开通A类基金份额和C类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46、转托管：指基金份额持有人在本基金的不同销售机构之间实施的变更所持基金份额销售机构的操作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50、基金收益：指基金投资所得债券利息、买卖证券价差、银行存款利息、已实现的其他合法收入及因运用基金财产带来的成本和费用的节约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51、基金资产总值：指基金拥有的各类有价证券、银行存款本息、基金应收申购款及其他资产的价值总和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55、流动性受限资产：指由于法律法规、监管、合同或操作障碍等原因无法以</w:t>
      </w:r>
      <w:r>
        <w:rPr>
          <w:rFonts w:ascii="宋体" w:hAnsi="宋体"/>
          <w:sz w:val="24"/>
        </w:rPr>
        <w:lastRenderedPageBreak/>
        <w:t>合理价格予以变现的资产，包括但不限于到期日在10个交易日以上的逆回购与银行定期存款（含协议约定有条件提前支取的银行存款）、资产支持证券、因发行人债务违约无法进行转让或交易的债券等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56、指定媒介：指中国证监会指定的用以进行信息披露的全国性报刊及指定互联网网站（包括基金管理人网站、基金托管人网站、中国证监会基金电子披露网站）等媒介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6" w:name="_Toc231212104"/>
      <w:r>
        <w:rPr>
          <w:rFonts w:ascii="Times New Roman" w:hAnsi="Times New Roman"/>
          <w:sz w:val="30"/>
        </w:rPr>
        <w:lastRenderedPageBreak/>
        <w:t>三、基金管理人</w:t>
      </w:r>
      <w:bookmarkEnd w:id="6"/>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基金经理。香港城市大学电子工程硕士，16年证券投资行业从业经验。2008年至2010年担任渣打银行环球企业部助理客户经理，2010年至2012年担任平安资产管理公司信用分析员。2012年加入交银施罗德基金管理有限公司，曾任固定收益研究员、固定收益部基金经理，现任混合资产投资部基金经理。曾任交银施罗德安心收益债券型证券投资基金(2015年11月07日至2019年12月14日)、交银施罗德双利债券证券投资基金(2015年11月07日至2023年05月06日)、交银施罗德裕通纯债债券型证券投资基金(2017年03月31日至2019年10月24日)、交银施罗德荣鑫灵活配置混合型证券投资基金(2019年02月28日至2022年03月11日)、交银施罗德定期支付月月丰债券型证券投资基金(2020年07月14日至2024年12月27日)、交银施罗德增强收益债券型证券投资基金(2020年07月14日至2022年01月18日)、交银施罗德强化回报债券型证券投资基金(2020年07月14日至2023年05月06日)、交银施罗德稳固收益债券型证券投资基金(2020年07月14日至2022年07月08日)的基金经理。现任交银施罗德双轮动债券型证券投资基金(2015年08月04日至今)、交银施罗德信用添利债券证券投资基金（LOF）(2015年08月04日至今)、交银施罗德丰润收益债券型证券投资基金(2025年03月15日至今)、交银施罗德裕利纯债债券型证券投资基金(2026年02月04日至今)的基金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顺晨女士:基金经理。上海财经大学金融学博士，10年证券投资行业从业经验。2016年至2017年任国金证券研究所研究员。2017年加入交银施罗德基金管理有限公司，历任固定收益部研究员，基金经理助理。曾任交银施罗德增利债券证券投资基金(2023年06月09日至2024年11月23日)、交银施罗德鑫选回报混合型证券投资基金(2023年06月09日至2024年05月22日)、交银施罗德裕景纯债一年定期开放债券型证券投资基金(2023年06月09日至2026年03月06日)的基金经理。现任交银施罗德裕如纯债债券型证券投资基金(2023年06月09日至今)、交银施罗德裕泰两年定期开放债券型证券投资基金(2023年06月09日至今)、交银施罗德中债1-3年农发行债券指数证券投资基金(2023年06月09日至今)、交银施罗德裕坤纯债一年定期开放债券</w:t>
      </w:r>
      <w:r>
        <w:rPr>
          <w:rFonts w:ascii="宋体" w:hAnsi="宋体"/>
          <w:sz w:val="24"/>
        </w:rPr>
        <w:lastRenderedPageBreak/>
        <w:t>型发起式证券投资基金(2023年06月09日至今)、交银施罗德中债1-3年政策性金融债指数证券投资基金(2023年08月23日至今)、交银施罗德裕祥纯债债券型证券投资基金(2024年02月08日至今)、交银施罗德中债0-3年政策性金融债指数证券投资基金(2024年12月19日至今)、交银施罗德丰润收益债券型证券投资基金(2025年01月09日至今)、交银施罗德裕盈纯债债券型证券投资基金(2025年01月17日至今)、交银施罗德境尚收益债券型证券投资基金(2026年01月08日至今)的基金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苏建文女士:基金经理。上海交通大学金融学硕士、北京大学国际政治经济学学士。7年证券投资行业从业经验。2019年加入交银施罗德基金管理有限公司，曾任固定收益部研究员、基金经理助理、混合资产投资部基金经理助理，现任混合资产投资部基金经理。现任交银施罗德裕泰两年定期开放债券型证券投资基金(2025年01月23日至今)、交银施罗德中债1-3年农发行债券指数证券投资基金(2025年01月23日至今)、交银施罗德丰润收益债券型证券投资基金(2025年01月23日至今)、交银施罗德裕盈纯债债券型证券投资基金(2025年01月23日至今)、交银施罗德中债0-3年政策性金融债指数证券投资基金(2025年01月23日至今)、交银施罗德中债1-3年政策性金融债指数证券投资基金(2025年01月23日至今)、交银施罗德裕道纯债一年定期开放债券型发起式证券投资基金(2025年03月15日至今)、交银施罗德裕祥纯债债券型证券投资基金(2025年07月03日至今)的基金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孙超先生(2014年12月15日至2017年02月17日)；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连端清先生(2015年08月04日至2020年08月21日)；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魏玉敏女士(2018年11月02日至2021年12月16日)；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季参平先生(2021年08月19日至2025年01月09日)。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上述人员之间不存在近亲属关系。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（3）利用基金财产或职务之便为基金份额持有人以外的第三人牟取利益；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（7）玩忽职守，不按照规定履行职责；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（8）法律、行政法规和中国证监会规定禁止的其他行为。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5、基金管理人承诺不从事其他法律法规规定禁止从事的行为。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5、不从事其他法律法规规定禁止从事的行为。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公司运用科学化的经营管理方法降低运作成本，提高经济效益，力争以合理的控制成本达到最佳的内部控制效果。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w:t>
      </w:r>
      <w:r>
        <w:rPr>
          <w:rFonts w:ascii="宋体" w:hAnsi="宋体"/>
          <w:sz w:val="24"/>
        </w:rPr>
        <w:lastRenderedPageBreak/>
        <w:t>助促进公司风险管理、控制和治理过程的完善，实现合规经营目标。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w:t>
      </w:r>
      <w:r>
        <w:rPr>
          <w:rFonts w:ascii="宋体" w:hAnsi="宋体"/>
          <w:sz w:val="24"/>
        </w:rPr>
        <w:lastRenderedPageBreak/>
        <w:t>控制和规避，尽可能地减少损失。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7" w:name="_Toc231212105"/>
      <w:r>
        <w:rPr>
          <w:rFonts w:ascii="Times New Roman" w:hAnsi="Times New Roman"/>
          <w:sz w:val="30"/>
        </w:rPr>
        <w:lastRenderedPageBreak/>
        <w:t>四、基金托管人</w:t>
      </w:r>
      <w:bookmarkEnd w:id="7"/>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方合英先生，本行党委书记、董事长、执行董事，代为履行行长职责。方先生于2020年12月起任中国中信集团有限公司副总经理、中国中信股份有限公司副总经</w:t>
      </w:r>
      <w:r>
        <w:rPr>
          <w:rFonts w:ascii="宋体" w:hAnsi="宋体"/>
          <w:sz w:val="24"/>
        </w:rPr>
        <w:lastRenderedPageBreak/>
        <w:t>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w:t>
      </w:r>
      <w:r>
        <w:rPr>
          <w:rFonts w:ascii="宋体" w:hAnsi="宋体"/>
          <w:sz w:val="24"/>
        </w:rPr>
        <w:lastRenderedPageBreak/>
        <w:t>析、控制和避免风险，确保基金财产安全，维护基金份额持有人利益。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8" w:name="_Toc231212106"/>
      <w:r>
        <w:rPr>
          <w:rFonts w:ascii="Times New Roman" w:hAnsi="Times New Roman"/>
          <w:sz w:val="30"/>
        </w:rPr>
        <w:lastRenderedPageBreak/>
        <w:t>五、相关服务机构</w:t>
      </w:r>
      <w:bookmarkEnd w:id="8"/>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本基金直销机构为本基金管理人以及本基金管理人的网上直销交易平台（网站及APP，下同）。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个人投资者可以通过本公司网上直销交易平台办理开户、本基金A类基金份额和C类基金份额的申购、赎回、转换及定期定额投资等业务，具体交易细则请参阅基金管理人网站。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（2）名称：平安银行股份有限公司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（3）名称：中国光大银行股份有限公司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（5）名称：宁波银行股份有限公司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电话：（021）63586210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（6）名称：招商银行股份有限公司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（7）名称：兴业银行股份有限公司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（8）名称：中国邮政储蓄银行股份有限公司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（9）名称：华夏银行股份有限公司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（10）名称：江苏银行股份有限公司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（11）名称：中国银河证券股份有限公司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（13）名称：中信建投证券股份有限公司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（14）名称：华龙证券股份有限公司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（15）名称：长城国瑞证券有限公司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（16）名称：中信证券华南股份有限公司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电话：020-88836999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（17）名称：西南证券股份有限公司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（18）名称：信达证券股份有限公司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（19）名称：渤海证券股份有限公司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 956066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（20）名称：国金证券股份有限公司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（21）名称：中国国际金融股份有限公司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（22）名称：江海证券有限公司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（23）名称：中泰证券股份有限公司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法定代表人：王洪</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（24）名称：中信证券（山东）有限责任公司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（25）名称：国都证券股份有限公司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（26）名称：中国中金财富证券有限公司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（27）名称：华泰证券股份有限公司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（28）名称：华西证券股份有限公司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（29）名称：国信证券股份有限公司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（30）名称：海通证券股份有限公司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法定代表人：王开国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（31）名称：招商证券股份有限公司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（32）名称：光大证券股份有限公司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（33）名称：中邮证券有限责任公司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联系人：史蕾</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（34）名称：国泰海通证券股份有限公司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（35）名称：国联民生证券股份有限公司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（36）名称：华福证券股份有限公司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（37）名称：民生证券股份有限公司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办公地址：北京市东城区建国门内大街28号民生金融中心A座16层--18层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（38）名称：北京广源达信基金销售有限公司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（39）名称：大连网金基金销售有限公司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（40）名称：阳光人寿保险股份有限公司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传真：（010）85632773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（41）名称：玄元保险代理有限公司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（42）名称：京东肯特瑞基金销售有限公司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（43）名称：上海大智慧基金销售有限公司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网址：https://www.wg.com.cn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（44）名称：腾安基金销售（深圳）有限公司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（45）名称：珠海盈米基金销售有限公司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（46）名称：上海华夏财富投资管理有限公司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（47）名称：北京度小满基金销售有限公司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法定代表人：葛新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（48）名称：南京苏宁基金销售有限公司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（49）名称：嘉实财富管理有限公司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（50）名称：北京汇成基金销售有限公司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传真：（010）62680827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（51）名称：上海利得基金销售有限公司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（52）名称：北京虹点基金销售有限公司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（53）名称：上海陆金所基金销售有限公司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网址：www.lufunds.com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（54）名称：上海挖财基金销售有限公司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（55）名称：万家财富基金销售（天津）有限公司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（56）名称：上海万得基金销售有限公司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（57）名称：格上富信投资顾问有限公司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住所：北京市朝阳区东三环北路19号楼701内09室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（58）名称：深圳市金斧子基金销售有限公司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（59）名称：北京雪球基金销售有限公司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（60）名称：北京新浪仓石基金销售有限公司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w:t>
      </w:r>
      <w:r>
        <w:rPr>
          <w:rFonts w:ascii="宋体" w:hAnsi="宋体"/>
          <w:sz w:val="24"/>
        </w:rPr>
        <w:lastRenderedPageBreak/>
        <w:t>新浪总部科研楼5层518室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（61）名称：中证金牛（北京）基金销售有限公司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（62）名称：上海证达通基金销售有限公司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（63）名称：北京创金启富基金销售有限公司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魏素清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（64）名称：奕丰基金销售有限公司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（65）名称：上海天天基金销售有限公司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（66）名称：和讯信息科技有限公司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网址：http://licaike.hexun.com/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（67）名称：诺亚正行基金销售有限公司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（68）名称：上海好买基金销售有限公司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（69）名称：上海长量基金销售有限公司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（70）名称：深圳众禄基金销售股份有限公司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法定代表人：薛峰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（71）名称：蚂蚁（杭州）基金销售有限公司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（72）名称：中信期货有限公司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（73）名称：天相投资顾问有限公司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电话：（010）66045529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（74）名称：上海基煜基金销售有限公司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（75）名称：浙江同花顺基金销售有限公司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（76）名称：宜信普泽（北京）基金销售有限公司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联系人：蒋凯帆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（77）名称：上海联泰基金销售有限公司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（78）名称：泛华普益基金销售有限公司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（79）名称：北京展恒基金销售股份有限公司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（80）名称：深圳市新兰德证券投资咨询有限公司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（81）名称：和耕传承基金销售有限公司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（82）名称：济安财富（北京）基金销售有限公司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（83）名称：中信百信银行股份有限公司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住所：北京市朝阳区安定路5号院3号楼8层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办公地址：北京市朝阳区安定路5号院3号楼8-11层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法定代表人：寇冠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电话：010-86496277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传真：010-86496277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联系人：韩晓彤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客户服务电话：956186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网址：www.aibank.com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（84）名称：博时财富基金销售有限公司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（85）名称：上海中欧财富基金销售有限公司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（86）名称：上海攀赢基金销售有限公司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基金管理人可根据有关法律法规的要求，选择其它符合要求的机构销售本基金，并及时公告。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（二）登记机构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9" w:name="_Toc231212107"/>
      <w:r>
        <w:rPr>
          <w:rFonts w:ascii="Times New Roman" w:hAnsi="Times New Roman"/>
          <w:sz w:val="30"/>
        </w:rPr>
        <w:lastRenderedPageBreak/>
        <w:t>六、基金的募集</w:t>
      </w:r>
      <w:bookmarkEnd w:id="9"/>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本基金由基金管理人依照《基金法》、《运作办法》、《销售办法》、基金合同及其他有关规定，并经中国证监会2014年10月24日证监许可[2014] 1116号文准予募集注册。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本基金为契约型债券型基金。本基金在基金合同生效之日起两年（含两年）的期间内封闭式运作（按照基金合同的约定提前转换基金运作方式的除外），封闭期结束后转为开放式运作。基金存续期间为不定期。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本基金自2014年11月24日至2014年12月10日进行发售。本基金设立募集期共募集425,488,278.42份基金份额，有效认购户数为2,765户。</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10" w:name="_Toc231212108"/>
      <w:r>
        <w:rPr>
          <w:rFonts w:ascii="Times New Roman" w:hAnsi="Times New Roman"/>
          <w:sz w:val="30"/>
        </w:rPr>
        <w:lastRenderedPageBreak/>
        <w:t>七、基金合同的生效</w:t>
      </w:r>
      <w:bookmarkEnd w:id="10"/>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根据有关规定，本基金满足基金合同生效条件，基金合同已于2014年12月15日正式生效。自基金合同生效之日起，本基金管理人正式开始管理本基金。</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资产净值低于1亿元的，基金管理人可向中国证监会报告并提前终止基金合同，不需召开基金份额持有人大会。若基金管理人未依前款规定提前终止合同的，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前终止基金合同，不需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11" w:name="_Toc231212109"/>
      <w:r>
        <w:rPr>
          <w:rFonts w:ascii="Times New Roman" w:hAnsi="Times New Roman"/>
          <w:sz w:val="30"/>
        </w:rPr>
        <w:lastRenderedPageBreak/>
        <w:t>八、基金份额的申购与赎回</w:t>
      </w:r>
      <w:bookmarkEnd w:id="11"/>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（一）申购和赎回的期间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基金合同生效之日起两年(含两年)的期间内，采取封闭式运作（按照基金合同的约定提前转换基金运作方式的除外）。封闭期内，基金投资者不能申购、赎回本基金基金份额。基金封闭期结束，本基金转为开放式运作，基金投资者方可申购、赎回本基金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（二）申购和赎回的场所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及定期定额投资等业务，具体交易细则请参阅基金管理人网站。网上直销交易平台网址：www.fund001.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2、除基金管理人之外其他销售机构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（三）申购和赎回的开放日及时间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若出现新的证券交易市场、证券交易所交易时间变更或其他特殊情况，基金管理人将视情况对前述开放日及开放时间进行相应的调整，但应在实施日前依照《信息披露办法》的有关规定在指定媒介上公告。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本基金在基金合同生效之日起两年 (含两年)的期间内采取封闭式运作（按照基金合同的约定提前转换基金运作方式的除外）。封闭期内，基金投资者不能申购、赎回本基金基金份额。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基金封闭期结束，本基金转为开放式运作后，基金投资者方可申购、赎回本基金基金份额。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本基金已于2016年12月16日起开放申购、赎回业务。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（四）申购与赎回的原则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（五）申购和赎回的数额限定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w:t>
      </w:r>
      <w:r>
        <w:rPr>
          <w:rFonts w:ascii="宋体" w:hAnsi="宋体"/>
          <w:sz w:val="24"/>
        </w:rPr>
        <w:lastRenderedPageBreak/>
        <w:t>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 份基金份额，如果销售机构业务规则规定的最低单笔赎回份额高于1份，以该销售机构的规定为准。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实施前依照《信息披露办法》的有关规定在指定媒介上刊登公告并报中国证监会备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（六）申购和赎回的程序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w:t>
      </w:r>
      <w:r>
        <w:rPr>
          <w:rFonts w:ascii="宋体" w:hAnsi="宋体"/>
          <w:sz w:val="24"/>
        </w:rPr>
        <w:lastRenderedPageBreak/>
        <w:t>回申请成功后，基金管理人将在T＋7日（包括该日）内支付赎回款项。在发生巨额赎回时，款项的支付办法参照基金合同有关条款处理。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（七）基金的申购费和赎回费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B类和C类基金份额。投资人申购A类基金份额在申购时支付申购费用，申购B类基金份额在赎回时才支付相应的申购费用，申购C类基金份额不支付申购费用，而是从该类别基金资产中计提销售服务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A/B类基金份额的申购费用由A/B类基金份额申购人承担，不列入基金财产，主要用于本基金的市场推广、销售、登记结算等各项费用。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投资人可以多次申购本基金，申购费用按每笔申购申请单独计算。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本基金转为开放式运作后视业务情况择时开通B类基金份额，详情可参见届时相关业务公告。开通后其申购费率如下：</w:t>
      </w:r>
    </w:p>
    <w:tbl>
      <w:tblPr>
        <w:tblW w:w="5000" w:type="pct"/>
        <w:tblCellMar>
          <w:left w:w="0" w:type="dxa"/>
          <w:right w:w="0" w:type="dxa"/>
        </w:tblCellMar>
        <w:tblLook w:val="0000" w:firstRow="0" w:lastRow="0" w:firstColumn="0" w:lastColumn="0" w:noHBand="0" w:noVBand="0"/>
      </w:tblPr>
      <w:tblGrid>
        <w:gridCol w:w="2167"/>
        <w:gridCol w:w="6503"/>
      </w:tblGrid>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持有A/B类基金份额的投资人因红利自动再投资而产生的A/B类基金份额，不收取相应的申购费用。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基金份额的赎回费用由基金份额赎回人承担，赎回费总额的25%应归基金财产，其余用于支付登记费和其他必要的手续费。其中，对持续持有期少于7日的投资者收取不低于1.5%的赎回费并全额计入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1257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1257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12571" w:rsidRDefault="0081257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1257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12571" w:rsidRDefault="0081257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81257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12571" w:rsidRDefault="0081257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1257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1257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12571" w:rsidRDefault="0081257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1257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12571" w:rsidRDefault="0081257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81257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12571" w:rsidRDefault="0081257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81257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12571" w:rsidRDefault="0081257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1257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1257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12571" w:rsidRDefault="0081257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1257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12571" w:rsidRDefault="0081257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3、基金管理人可以在不违背法律法规规定及基金合同约定的情况下根据市场情况制定基金促销计划，针对投资人定期和不定期地开展基金促销活动。在基金促</w:t>
      </w:r>
      <w:r>
        <w:rPr>
          <w:rFonts w:ascii="宋体" w:hAnsi="宋体"/>
          <w:sz w:val="24"/>
        </w:rPr>
        <w:lastRenderedPageBreak/>
        <w:t>销活动期间，基金管理人可以按中国证监会要求履行必要手续后，对投资人适当调低基金申购费率和赎回费率。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（八）申购和赎回的数额和价格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126308">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53.25pt">
            <v:imagedata r:id="rId15" o:title="1521256610242020828"/>
          </v:shape>
        </w:pic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例一：某投资者（非养老金客户）投资100,000元申购本基金的A类基金份额，假设申购当日A/B类基金份额净值为1.0400元，申购费率为0.8%，如果该投资者是场外申购，则其可得到的申购份额为：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即：某投资者（非养老金客户）投资100,000元申购本基金，假设申购当日A/B类基金份额净值为1.0400元，如果其选择申购A类基金份额，则其可得到95,390.72</w:t>
      </w:r>
      <w:r>
        <w:rPr>
          <w:rFonts w:ascii="宋体" w:hAnsi="宋体"/>
          <w:sz w:val="24"/>
        </w:rPr>
        <w:lastRenderedPageBreak/>
        <w:t>份基金份额。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例二：某养老金客户投资100,000元通过基金管理人的直销柜台申购本基金的A类基金份额，假设申购当日A/B类基金份额净值为1.0400元，申购费率为0.32%，则其可得到的申购份额为：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即：该养老金客户投资100,000元通过基金管理人的直销柜台申购本基金的A类基金份额，假设申购当日A/B类基金份额净值为1.0400元，则其可得到95,847.13份A类基金份额。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（2）B类基金份额的申购（择时开通）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126308">
        <w:rPr>
          <w:rFonts w:ascii="宋体" w:hAnsi="宋体"/>
          <w:kern w:val="0"/>
          <w:sz w:val="24"/>
        </w:rPr>
        <w:pict>
          <v:shape id="_x0000_i1026" type="#_x0000_t75" style="width:3in;height:53.25pt">
            <v:imagedata r:id="rId16" o:title="1521256610242020828"/>
          </v:shape>
        </w:pic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例三：某投资者投资100,000元申购本基金的B类基金份额，假设申购当日A/B类基金份额净值为1.0400元，则其可得到的申购份额为：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例四：某投资者投资100,000元申购本基金的C类基金份额，假设申购当日C类基金份额净值为1.0400元，则其可得到的申购份额为：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申购份额＝100,000/1.0400＝96,153.85份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赎回金额为按实际确认的有效赎回份额乘以当日基金份额净值并扣除相应的费用，赎回金额单位为元，计算结果保留到小数点后两位，第三位四舍五入，由此产生的收益或损失由基金财产承担。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例五：某投资者赎回100,000份A类基金份额，对应的赎回费率为0.1%，假设赎回当日A/B类基金份额净值是1.0160元，则其可得到的赎回金额为：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即：投资者赎回100,000份A类基金份额，对应的赎回费率为0.1%，假设赎回当日A/B类基金份额净值是1.0160元，则其可得到的赎回金额为101,498.40元。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如果投资者赎回B类基金份额，则赎回金额的计算方法如下：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赎回金额＝赎回总额－后端申购费用－赎回费用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例六：某投资者赎回100,000份B类基金份额，对应的后端申购费率是1.0%，赎回费率为0.1%，假设赎回当日A/B类基金份额净值是1.0160元，申购时的A/B类基金份额净值为1.0100元，则其可得到的赎回金额为：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100,000份B类基金份额，对应的赎回费率为0.1%，假设赎回当日A/B类基金份额净值是1.0160元，投资者对应的后端申购费率是1.0%，申购时的A/B类基金份额净值为1.0100元，则其可得到的赎回金额为100,488.40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例七：某投资者赎回100,000份C类基金份额，对应的赎回费率为0，假设赎回当日C类基金份额净值是1.2500 元，则其可得到的赎回金额为：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赎回金额=100,000×1.2500-0=125,000.00 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即：投资者赎回100,000份C类基金份额，对应的赎回费率为0，假设赎回当日C类基金份额净值是1.2500元，则其可得到的赎回金额为125,000.00元。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A/B类基金份额净值＝A/B类基金份额的基金资产净值总额/发行在外的A/B类基金份额总数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B类基金份额和C类基金份额的基金份额净值的计算，保留到小数点后4位，小数点后第5位四舍五入，由此误差产生的收益或损失由基金财产承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（九）拒绝或暂停申购的情形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w:t>
      </w:r>
      <w:r>
        <w:rPr>
          <w:rFonts w:ascii="宋体" w:hAnsi="宋体"/>
          <w:sz w:val="24"/>
        </w:rPr>
        <w:lastRenderedPageBreak/>
        <w:t>持有人利益时。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5、基金资产规模过大，使基金管理人无法找到合适的投资品种，或其他可能对基金业绩产生负面影响，或基金管理人认定的其他损害现有基金份额持有人利益的情形。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6、基金管理人、基金托管人、基金销售机构或登记机构的异常情况导致基金销售系统、基金注册登记系统或基金会计系统无法正常运行。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（十）暂停赎回或延缓支付赎回款项的情形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5、基金管理人认为继续接受赎回申请将损害现有基金份额持有人利益的情形时，可暂停接受投资人的赎回申请。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w:t>
      </w:r>
      <w:r>
        <w:rPr>
          <w:rFonts w:ascii="宋体" w:hAnsi="宋体"/>
          <w:sz w:val="24"/>
        </w:rPr>
        <w:lastRenderedPageBreak/>
        <w:t>基金管理人应当暂停接受基金赎回申请或延缓支付赎回款项。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7、法律法规规定或中国证监会认定的其他情形。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（十一）巨额赎回的情形及处理方式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（十二）暂停申购或赎回的公告和重新开放申购或赎回的公告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（十三）基金的非交易过户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（十四）基金的转托管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基金份额持有人可办理已持有基金份额在不同销售机构之间的转托管，基金销售机构可以按照规定的标准收取转托管费。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（十五）定期定额投资计划</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本基金2016年12月14日刊登公告自2016年12月16日起开通定期定额投资计划业务，具体开通销售机构名单和业务规则参见相关公告。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（十七）基金上市交易和场内申购赎回业务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相关法律法规、对基金份额持有人无实质性不利影响的前提下，基金管理人可办理基金份额的质押业务、转让业务或其他基金业务，基金管理人可制定相应的业务规则，并依照《信息披露办法》的有关规定进行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（十九）实施侧袋机制期间本基金的申购与赎回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12" w:name="_Toc231212110"/>
      <w:r>
        <w:rPr>
          <w:rFonts w:ascii="Times New Roman" w:hAnsi="Times New Roman"/>
          <w:sz w:val="30"/>
        </w:rPr>
        <w:lastRenderedPageBreak/>
        <w:t>九、</w:t>
      </w:r>
      <w:r>
        <w:rPr>
          <w:rFonts w:ascii="Times New Roman" w:hAnsi="Times New Roman"/>
          <w:sz w:val="30"/>
        </w:rPr>
        <w:t xml:space="preserve"> </w:t>
      </w:r>
      <w:r>
        <w:rPr>
          <w:rFonts w:ascii="Times New Roman" w:hAnsi="Times New Roman"/>
          <w:sz w:val="30"/>
        </w:rPr>
        <w:t>基金的转换</w:t>
      </w:r>
      <w:bookmarkEnd w:id="12"/>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5月11日刊登公告自2020年5月13日起开放日常转换业务。本基金2025年10月23日刊登公告自2025年10月23日起开放开通同一基金不同类别基金份额转换业务。办理基金间转换的时间为上海证券交易所、深圳证券交易所交易日。若出现新的证券交易市场或交易所交易时间更改或其它原因，基金管理人将视情况进行相应的调整并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（四）基金转换的数额限制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13" w:name="_Toc231212111"/>
      <w:r>
        <w:rPr>
          <w:rFonts w:ascii="Times New Roman" w:hAnsi="Times New Roman"/>
          <w:sz w:val="30"/>
        </w:rPr>
        <w:lastRenderedPageBreak/>
        <w:t>十、基金的投资</w:t>
      </w:r>
      <w:bookmarkEnd w:id="13"/>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在严格控制风险的基础上,力求获得高于业绩基准的投资收益。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基金的投资组合比例为投资于债券资产的比例不低于基金资产的80%，但在封闭期结束前三个月和转开放后三个月内，基金投资不受上述债券资产投资比例限制。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本基金在开放期内，现金或到期日在一年以内的政府债券的比例合计不低于基金资产净值的5%，其中现金不包括结算备付金、存出保证金、应收申购款等。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（三）封闭期内的投资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充分利用封闭式运作优势，以买入持有和杠杆套息等为基本投资策略，获取稳定收益；同时，本基金将严格控制信用风险，在严谨深入的信用分析基础上，综合考量信用债券的信用评级，以及各类债券的流动性、供求关系和收益率水平等，自下而上精选个券。本基金采用的主要策略包括：</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（1）债券的类属配置策略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（2）买入持有策略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在精选个券基础上，本基金主要通过买入与封闭期适度匹配的债券，并持有到期，或者是持有回售期与封闭期适度匹配的债券，获得本金和票息收入。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（3）杠杆套息策略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控制组合整体风险的基础上，综合考虑债券持有期内的票息收入和融资成本之间的息差，通过实施正回购融入资金并投资于中高等级信用债券等可投资标的，实现杠杆放大获取债券持有期内债券票息和融资成本之间的息差收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（4）信用债券投资策略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严控信用风险，通过宏观经济运行、发行主体的发展前景和偿债能力、国家信用支撑等多重因素的综合考量对信用债券进行信用评级，并在信用评级的基础上，建立信用债券池；然后基于既定的投资期限、信用利差精选个券进行投资。具体而言，本基金信用债券的投资遵循以下流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两年期银行定期存款税后收益率+1.25%。</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力求在封闭期内获得高于同期银行定期存款的投资收益，本基金封闭期两年，以两年期银行定期存款税后收益率上浮1.25%作为本基金的业绩比较基准能够使本基金投资人理性判断本基金产品的风险收益特征，合理地衡量比较本基金的业绩表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停止计算编制或更改名称，或者今后法律法规发生变化，又或者市场推出更具权威、且更能够表征本基金风险收益特征的基准，则本基金管理人可与本基金托管人协商一致后，调整或变更本基金的业绩比较基准并及时公告，而无需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（四）转为开放式运作后的投资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当回购利率低于债券收益率时，本基金将实施正回购融入资金并投资于信用债券等可投资标的，从而获取收益率超出回购资金成本（即回购利率）的套利价值。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w:t>
      </w:r>
      <w:r>
        <w:rPr>
          <w:rFonts w:ascii="宋体" w:hAnsi="宋体"/>
          <w:sz w:val="24"/>
        </w:rPr>
        <w:lastRenderedPageBreak/>
        <w:t>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比较基准较为合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（五）投资限制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（1）本基金投资于债券资产的比例不低于基金资产的80%，但在封闭期结束前三个月和转开放后三个月内，基金投资不受上述债券资产投资比例限制；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（2）本基金在开放期内，保持不低于基金资产净值5%的现金或者到期日在一年以内的政府债券，其中现金不包括结算备付金、存出保证金、应收申购款等；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（5）本基金在封闭期内，基金总资产不超过基金净资产的200%；在开放期内，基金总资产不超过基金净资产的140%；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（11）本基金进入全国银行间同业市场进行债券回购的资金余额不得超过基金资产净值的40%；债券回购最长期限为1年，债券回购到期后不得展期；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转为开放式运作后，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10）、（12）、（13）项外，因证券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合同另有约定的除外。在上述期间内，本基金的投资范围、投资策略应当符合基金合同的约定。基金托管人对基金的投资的监督与检查自基金合同生效之日起开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（1）承销证券；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（七）基金的融资、融券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（八）基金管理人代表基金行使债权人权利的处理原则及方法</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（九）侧袋机制的实施和投资运作安排</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w:t>
      </w:r>
      <w:r>
        <w:rPr>
          <w:rFonts w:ascii="宋体" w:hAnsi="宋体"/>
          <w:sz w:val="24"/>
        </w:rPr>
        <w:lastRenderedPageBreak/>
        <w:t>比较基准、风险收益特征等约定仅适用于主袋账户。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（十）基金投资组合报告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944,424,324.85</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99.83</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944,424,324.85</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99.83</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1,645,649.76</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946,070,034.61</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3、期末按公允价值占基金资产净值比例大小排序的股票投资明细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28,120,996.08</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3.18</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916,303,328.77</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103.58</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916,303,328.77</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103.58</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944,424,324.85</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106.76</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240203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国开</w:t>
            </w:r>
            <w:r>
              <w:rPr>
                <w:rFonts w:ascii="Times New Roman" w:hAnsi="Times New Roman"/>
                <w:color w:val="000000"/>
                <w:kern w:val="0"/>
                <w:sz w:val="25"/>
                <w:szCs w:val="24"/>
              </w:rPr>
              <w:t>03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1,700,000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173,994,068.49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19.67</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250413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1,400,000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142,322,619.18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16.09</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09250207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国开清发</w:t>
            </w:r>
            <w:r>
              <w:rPr>
                <w:rFonts w:ascii="Times New Roman" w:hAnsi="Times New Roman"/>
                <w:color w:val="000000"/>
                <w:kern w:val="0"/>
                <w:sz w:val="25"/>
                <w:szCs w:val="24"/>
              </w:rPr>
              <w:t>07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1,100,000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111,645,298.63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12.62</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230208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国开</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104,227,178.08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11.78</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230203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国开</w:t>
            </w:r>
            <w:r>
              <w:rPr>
                <w:rFonts w:ascii="Times New Roman" w:hAnsi="Times New Roman"/>
                <w:color w:val="000000"/>
                <w:kern w:val="0"/>
                <w:sz w:val="25"/>
                <w:szCs w:val="24"/>
              </w:rPr>
              <w:t>03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82,198,684.93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9.29</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 本期国债期货投资政策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14" w:name="_Toc231212112"/>
      <w:r>
        <w:rPr>
          <w:rFonts w:ascii="Times New Roman" w:hAnsi="Times New Roman"/>
          <w:sz w:val="30"/>
        </w:rPr>
        <w:lastRenderedPageBreak/>
        <w:t>十一、基金的业绩</w:t>
      </w:r>
      <w:bookmarkEnd w:id="14"/>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（1）交银丰润收益债券A：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5.73%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2.30%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1.79%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4.42%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2.32%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2.51%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3.86%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2.55%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6.06%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4.93%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3.81%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4.02%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12.42%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4.02%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8.40%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-1.80%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注：本基金自2016年12月16日起转为开放式运作，本基金的业绩比较基准由“两年期银行定期存款税后收益率+1.25%”变更为“中债综合全价指数”。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（2）交银丰润收益债券C：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5.73%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2.36%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4.01%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1.91%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3.46%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5.30%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3.05%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4.02%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11.81%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4.02%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7.79%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81257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-1.80%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bl>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注：本基金自2016年12月16日起转为开放式运作，本基金的业绩比较基准由“两年期银行定期存款税后收益率+1.25%”变更为“中债综合全价指数”。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812571" w:rsidRDefault="00833DD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交银施罗德丰润收益债券型证券投资基金</w:t>
      </w:r>
    </w:p>
    <w:p w:rsidR="00812571" w:rsidRDefault="00833DD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（2014年12月15日至2026年03月31日）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（1）交银丰润收益债券A</w:t>
      </w:r>
    </w:p>
    <w:p w:rsidR="00812571" w:rsidRDefault="0012630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（2）交银丰润收益债券C</w:t>
      </w:r>
    </w:p>
    <w:p w:rsidR="00812571" w:rsidRDefault="0012630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15" w:name="_Toc231212113"/>
      <w:r>
        <w:rPr>
          <w:rFonts w:ascii="Times New Roman" w:hAnsi="Times New Roman"/>
          <w:sz w:val="30"/>
        </w:rPr>
        <w:lastRenderedPageBreak/>
        <w:t>十二、基金的财产</w:t>
      </w:r>
      <w:bookmarkEnd w:id="15"/>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16" w:name="_Toc231212114"/>
      <w:r>
        <w:rPr>
          <w:rFonts w:ascii="Times New Roman" w:hAnsi="Times New Roman"/>
          <w:sz w:val="30"/>
        </w:rPr>
        <w:lastRenderedPageBreak/>
        <w:t>十三、基金资产的估值</w:t>
      </w:r>
      <w:bookmarkEnd w:id="16"/>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基金所拥有的债券和银行存款本息、应收款项、其它投资等资产及负债。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（3）交易所上市不存在活跃市场的有价证券，采用估值技术确定公允价值。交易所上市的资产支持证券，采用估值技术确定公允价值，在估值技术难以可靠计量公允价值的情况下，按成本估值。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首次公开发行未上市的债券，采用估值技术确定公允价值，在估值技术难以可靠计量公允价值的情况下，按成本估值。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6、相关法律法规以及监管部门有强制规定的，从其规定。如有新增事项，按法律法规以及监管部门最新规定估值。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如基金管理人或基金托管人发现基金估值违反基金合同订明的估值方法、程序及相关法律法规的规定或者未能充分维护基金份额持有人利益时，应立即通知对方，共同查明原因，双方协商解决。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w:t>
      </w:r>
      <w:r>
        <w:rPr>
          <w:rFonts w:ascii="宋体" w:hAnsi="宋体"/>
          <w:sz w:val="24"/>
        </w:rPr>
        <w:lastRenderedPageBreak/>
        <w:t>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（5）估值错误调整采用尽量恢复至假设未发生估值错误的正确情形的方式。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（6）按法律法规规定的其他原则处理估值错误。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w:t>
      </w:r>
      <w:r>
        <w:rPr>
          <w:rFonts w:ascii="宋体" w:hAnsi="宋体"/>
          <w:sz w:val="24"/>
        </w:rPr>
        <w:lastRenderedPageBreak/>
        <w:t>登记机构进行更正，并就估值错误的更正向有关当事人进行确认。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1、基金管理人、基金托管人按估值方法的第5项进行估值时，所造成的误差不作为基金资产估值错误处理。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本基金实施侧袋机制的，应根据本部分的约定对主袋账户资产进行估值并披露主袋账户的基金净值信息，暂停披露侧袋账户份额净值。</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17" w:name="_Toc231212115"/>
      <w:r>
        <w:rPr>
          <w:rFonts w:ascii="Times New Roman" w:hAnsi="Times New Roman"/>
          <w:sz w:val="30"/>
        </w:rPr>
        <w:lastRenderedPageBreak/>
        <w:t>十四、基金收益与分配</w:t>
      </w:r>
      <w:bookmarkEnd w:id="17"/>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1、本基金在封闭期内，收益分配应遵循下列原则：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至少1次，最多为4次，每份基金份额每次分配比例不得低于收益分配基准日每份基金份额可供分配利润的90%，若《基金合同》生效不满3个月可不进行收益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（2）本基金收益分配方式为现金分红；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封闭期内设A类基金份额和C类基金份额，由于本基金A类基金份额不收取销售服务费，C类基金份额收取销售服务费，各基金份额类别对应的可供分配利润将有所不同，同一类基金份额类别的每一基金份额享有同等分配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2、本基金转为开放式运作后，收益分配应遵循下列原则：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转为开放式运作后，可视业务情况择时增开B类基金份额；由于本基金A类和B类基金份额不收取销售服务费，C类基金份额收取销售服务费，各基金份额类别对应的可供分配利润将有所不同，同一类基金份额类别的每一份基金份额享有同等分配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w:t>
      </w:r>
      <w:r>
        <w:rPr>
          <w:rFonts w:ascii="宋体" w:hAnsi="宋体"/>
          <w:sz w:val="24"/>
        </w:rPr>
        <w:lastRenderedPageBreak/>
        <w:t>的收益分配方式是现金分红；基金份额持有人可对其持有的A类、B类以及C类基金份额分别选择不同的收益分配方式；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（4）基金收益分配后基金份额净值不能低于面值，即基金收益分配基准日的基金份额净值减去每单位基金份额收益分配金额后不能低于面值；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18" w:name="_Toc231212116"/>
      <w:r>
        <w:rPr>
          <w:rFonts w:ascii="Times New Roman" w:hAnsi="Times New Roman"/>
          <w:sz w:val="30"/>
        </w:rPr>
        <w:lastRenderedPageBreak/>
        <w:t>十五、基金的费用与税收</w:t>
      </w:r>
      <w:bookmarkEnd w:id="18"/>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本基金A类和B类基金份额不收取销售服务费，C类基金份额的销售服务费在封闭期内按前一日C类基金资产净值的0.6%年费率计提，在转入开放式运作后按前一日C类基金资产净值的0.4%年费率计提。计算方法如下：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H＝E×年销售服务费率÷当年天数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年销售服务费率在基金封闭期内为0.6%，转入开放式后为0.4%</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与基金托管人核对一致后，由基金托管人复核后于次月首日起第3个工作日从基金财产中一次性支付给基金管理人，由基金管理人代付给销售机构，若遇法定节假日、休息日或不可抗力致使无法按时支付的，支付日期顺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4、与基金销售有关的费用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5、上述“（一）基金费用的种类”中第3－8项、第10项费用，根据有关法规及相应协议规定，按费用实际支出金额列入当期费用，由基金托管人从基金财产中支付。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w:t>
      </w:r>
      <w:r>
        <w:rPr>
          <w:rFonts w:ascii="宋体" w:hAnsi="宋体"/>
          <w:sz w:val="24"/>
        </w:rPr>
        <w:lastRenderedPageBreak/>
        <w:t>金财产的损失；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在符合法律法规及本基金基金合同规定、并且对基金份额持有人利益无实质不利影响的前提下，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（五）实施侧袋机制期间的基金费用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19" w:name="_Toc231212117"/>
      <w:r>
        <w:rPr>
          <w:rFonts w:ascii="Times New Roman" w:hAnsi="Times New Roman"/>
          <w:sz w:val="30"/>
        </w:rPr>
        <w:lastRenderedPageBreak/>
        <w:t>十六、基金的会计与审计</w:t>
      </w:r>
      <w:bookmarkEnd w:id="19"/>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20" w:name="_Toc231212118"/>
      <w:r>
        <w:rPr>
          <w:rFonts w:ascii="Times New Roman" w:hAnsi="Times New Roman"/>
          <w:sz w:val="30"/>
        </w:rPr>
        <w:lastRenderedPageBreak/>
        <w:t>十七、基金的信息披露</w:t>
      </w:r>
      <w:bookmarkEnd w:id="20"/>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《基金合同》生效后，在开始办理基金份额申购或者赎回前，基金管理人应当至少每周在指定网站披露一次A/B类基金份额和C类基金份额所对应的基金份额净值和基金份额累计净值。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次日，通过指定网站、基金销售机构网站或者营业网点披露开放日的A/B类基金份额和C类基金份额所对应的基金份额净值和基金份额累计净值。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基金管理人应当在不晚于半年度和年度最后一日的次日，在指定网站披露半年度和年度最后一日的A/B类基金份额和C类基金份额所对应的基金份额净值和基金份额累计净值。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A类、B类、C类基金份额的申购、赎回费率，并保证投资者能够在基金销售机构网站或营业网点查阅或者复制前述信息资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（21）转为开放式运作后发生涉及基金申购、赎回事项调整或潜在影响投资者赎回等重大事项时；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w:t>
      </w:r>
      <w:r>
        <w:rPr>
          <w:rFonts w:ascii="宋体" w:hAnsi="宋体"/>
          <w:sz w:val="24"/>
        </w:rPr>
        <w:lastRenderedPageBreak/>
        <w:t>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21" w:name="_Toc231212119"/>
      <w:r>
        <w:rPr>
          <w:rFonts w:ascii="Times New Roman" w:hAnsi="Times New Roman"/>
          <w:sz w:val="30"/>
        </w:rPr>
        <w:lastRenderedPageBreak/>
        <w:t>十八、侧袋机制</w:t>
      </w:r>
      <w:bookmarkEnd w:id="21"/>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812571" w:rsidRDefault="00833DD9">
      <w:pPr>
        <w:pStyle w:val="1"/>
        <w:snapToGrid w:val="0"/>
        <w:spacing w:beforeLines="0" w:before="240" w:after="240"/>
        <w:rPr>
          <w:rFonts w:ascii="宋体" w:hAnsi="宋体"/>
          <w:szCs w:val="30"/>
        </w:rPr>
      </w:pPr>
      <w:bookmarkStart w:id="22" w:name="_Toc231212120"/>
      <w:r>
        <w:rPr>
          <w:rFonts w:ascii="Times New Roman" w:hAnsi="Times New Roman"/>
          <w:sz w:val="30"/>
        </w:rPr>
        <w:lastRenderedPageBreak/>
        <w:t>十九、风险揭示</w:t>
      </w:r>
      <w:bookmarkEnd w:id="22"/>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自主判断基金的投资价值，自主做出投资决策，自行承担投资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w:t>
      </w:r>
      <w:r>
        <w:rPr>
          <w:rFonts w:ascii="宋体" w:hAnsi="宋体"/>
          <w:sz w:val="24"/>
        </w:rPr>
        <w:lastRenderedPageBreak/>
        <w:t>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指基金资产不能迅速转变成现金，或者不能应付开放期可能出现的投资者大额赎回的风险。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在本基金转为开放式运作后，在交易过程中，可能会发生巨额赎回的情形。巨额赎回可能会产生基金仓位调整的困难，导致流动性风险，甚至影响基金份额净值。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w:t>
      </w:r>
      <w:r>
        <w:rPr>
          <w:rFonts w:ascii="宋体" w:hAnsi="宋体"/>
          <w:sz w:val="24"/>
        </w:rPr>
        <w:lastRenderedPageBreak/>
        <w:t>范型交易场所，主要投资对象为具有良好流动性的金融工具，同时本基金基于分散投资的原则在个券方面未有高集中度的特征，综合评估在正常市场环境下本基金的流动性风险适中。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w:t>
      </w:r>
      <w:r>
        <w:rPr>
          <w:rFonts w:ascii="宋体" w:hAnsi="宋体"/>
          <w:sz w:val="24"/>
        </w:rPr>
        <w:lastRenderedPageBreak/>
        <w:t>但不得超过20个工作日，并应当在指定媒介上进行公告。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1、本基金为债券型基金，投资于债券资产的比例不低于基金资产的80%，因投资固定收益类资产而面临固定收益类资产市场的系统性风险和个券风险；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有的流动性风险。本基金为封闭两年运作，之后转为开放式运作（按照基金合同约定提前转换基金运作方式的情形除外）。本基金在封闭期内不办理申购赎回业务，也不上市交易，从而可能无法满足投资者的短期流动性需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4、基金合同提前终止风险。基金资产净值连续二十个工作日低于1亿元时，基金管理人可向中国证监会报告并提前终止基金合同，不需召开基金份额持有人大会。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812571" w:rsidRDefault="00833DD9">
      <w:pPr>
        <w:pStyle w:val="1"/>
        <w:snapToGrid w:val="0"/>
        <w:spacing w:beforeLines="0" w:before="240" w:after="240"/>
        <w:rPr>
          <w:rFonts w:ascii="宋体" w:hAnsi="宋体"/>
          <w:szCs w:val="30"/>
        </w:rPr>
      </w:pPr>
      <w:bookmarkStart w:id="23" w:name="_Toc231212121"/>
      <w:r>
        <w:rPr>
          <w:rFonts w:ascii="Times New Roman" w:hAnsi="Times New Roman"/>
          <w:sz w:val="30"/>
        </w:rPr>
        <w:lastRenderedPageBreak/>
        <w:t>二十、基金合同的变更、终止与基金财产的清算</w:t>
      </w:r>
      <w:bookmarkEnd w:id="23"/>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3、若基金资产净值连续20个工作日低于1亿元，本基金管理人可向中国证监会报告并提前终止基金合同，不需召开基金份额持有人大会；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4、若基金份额持有人数量连续60个工作日达不到200人或基金资产净值连续60个工作日低于5000万元，本基金管理人将向中国证监会报告并提前终止基金合同，不需召开基金份额持有人大会；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4、基金财产清算程序：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24" w:name="_Toc231212122"/>
      <w:r>
        <w:rPr>
          <w:rFonts w:ascii="Times New Roman" w:hAnsi="Times New Roman"/>
          <w:sz w:val="30"/>
        </w:rPr>
        <w:lastRenderedPageBreak/>
        <w:t>二十一、基金合同内容摘要</w:t>
      </w:r>
      <w:bookmarkEnd w:id="24"/>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16）在符合有关法律、法规的前提下，制定和调整有关基金认购、申购、赎回、转换和非交易过户等的业务规则；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w:t>
      </w:r>
      <w:r>
        <w:rPr>
          <w:rFonts w:ascii="宋体" w:hAnsi="宋体"/>
          <w:sz w:val="24"/>
        </w:rPr>
        <w:lastRenderedPageBreak/>
        <w:t>理人有未执行《基金合同》规定的行为，还应当说明基金托管人是否采取了适当的措施；</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2）参与分配清算后的剩余基金财产；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w:t>
      </w:r>
      <w:r>
        <w:rPr>
          <w:rFonts w:ascii="宋体" w:hAnsi="宋体"/>
          <w:sz w:val="24"/>
        </w:rPr>
        <w:lastRenderedPageBreak/>
        <w:t>有权代表基金份额持有人出席会议并表决。基金份额持有人持有的每一基金份额拥有平等的投票权。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本基金份额持有人大会未设日常机构。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1）终止《基金合同》，法律法规、《基金合同》和中国证监会另有规定的除外；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4）转换基金运作方式，本基金基金合同生效满两年封闭期结束后直接转为开放式运作方式以及法律法规和中国证监会另有规定的除外；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7）本基金与其他基金的合并，法律法规和中国证监会另有规定的除外；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8）变更基金投资目标、范围或策略，但在本基金基金合同生效满两年封闭期结束后直接转为开放式运作后依据基金合同变更投资策略以及法律法规和中国证监会另有规定的除外；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9）变更基金份额持有人大会程序，法律法规和中国证监会另有规定的除外；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2）法律法规要求增加的基金费用的收取；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3）在符合法律法规及本基金合同规定、并且对基金份额持有人利益无实质不利影响的前提下，调整本基金的申购费率、调低赎回费率、变更或增加收费方式；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6）在符合法律法规及本基金合同规定、并且对基金份额持有人利益无实质不利影响的前提下，基金推出新业务或服务；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资产净值连续20个工作日低于1亿元，本基金管理人可向中国证监会报告并提前终止本基金合同，不需召开基金份额持有人大会。若基金份额持有人数量连续60个工作日达不到200人或基金资产净值连续60个工作日低于5000万元，本基金管理人将向中国证监会报告并提前终止本基金合同，不需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60日内召开；基金管理人决定不召集，基金托管人仍认为有必要召开的，应当由基金托管人自行召集，并自出具书面决定之日起60日内召开并告知基金管理人，基金管理人应当配合；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w:t>
      </w:r>
      <w:r>
        <w:rPr>
          <w:rFonts w:ascii="宋体" w:hAnsi="宋体"/>
          <w:sz w:val="24"/>
        </w:rPr>
        <w:lastRenderedPageBreak/>
        <w:t>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会议程序比照现场开会和通讯方式开会的程序进行。基金份额持有人可以采用书面、网络、电话、短信或其他方式进行表决，具体方式由会议召集人确定并在会议通知中列明。</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基金份额持有人大会不得对未事先公告的议事内容进行表决。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本基金基金合同生效满两年直接转为开放式运作除外）、更换基金管理人或者基金托管人、终止《基金合同》、本基金与其他基金合并（法律法规、基金合同和中国证监会另有规定的除外）以特别决议通过方为有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基金份额持有人大会决议自生效之日起2日内在指定媒介上公告。如果采用通讯方式进行表决，在公告基金份额持有人大会决议时，必须将公证书全文、公证机构、公证员姓名等一同公告。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同一主侧袋账户内的每份基金份额具有平等的表决权。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（3）若基金资产净值连续20个工作日低于1亿元，本基金管理人可向中国证监会报告并提前终止本基金合同，不需召开基金份额持有人大会；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（4）若基金份额持有人数量连续60个工作日达不到200人或基金资产净值连续60个工作日低于5000万元，本基金管理人将向中国证监会报告并提前终止本基金合同，不需召开基金份额持有人大会；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w:t>
      </w:r>
      <w:r>
        <w:rPr>
          <w:rFonts w:ascii="宋体" w:hAnsi="宋体"/>
          <w:sz w:val="24"/>
        </w:rPr>
        <w:lastRenderedPageBreak/>
        <w:t>管人、具有从事证券相关业务资格的注册会计师、律师以及中国证监会指定的人员组成。基金财产清算小组可以聘用必要的工作人员。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由败诉方承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（五）基金合同存放和投资者取得基金合同的方式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25" w:name="_Toc231212123"/>
      <w:r>
        <w:rPr>
          <w:rFonts w:ascii="Times New Roman" w:hAnsi="Times New Roman"/>
          <w:sz w:val="30"/>
        </w:rPr>
        <w:lastRenderedPageBreak/>
        <w:t>二十二、托管协议的内容摘要</w:t>
      </w:r>
      <w:bookmarkEnd w:id="25"/>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张宏良</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（二）基金托管人对基金管理人的业务监督、核查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包括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本基金各类资产的投资比例范围为：投资于债券资产的比例不低于基金资产的80%，但在封闭期结束前三个月和转开放后三个月内，基金投资不受上述债券资产投资比例限制。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本基金在开放期内，现金或到期日在一年以内的政府债券的比例合计不低于基金资产净值的5%，其中现金不包括结算备付金、存出保证金、应收申购款等。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法律法规或监管机构以后允许基金投资的其他品种，基金管理人在履行适当程序后，可以将其纳入投资范围。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1）本基金投资于债券资产的比例不低于基金资产的80%；但在封闭期结束前三个月和转开放后三个月内，基金投资不受上述债券资产投资比例限制；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2）本基金持有一家公司发行的证券，其市值不得超过基金资产净值的10%；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4）本基金在封闭期内，基金总资产不超过基金净资产的200%；在开放期内，基金总资产不超过基金净资产的140%；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w:t>
      </w:r>
      <w:r>
        <w:rPr>
          <w:rFonts w:ascii="宋体" w:hAnsi="宋体"/>
          <w:sz w:val="24"/>
        </w:rPr>
        <w:lastRenderedPageBreak/>
        <w:t>资产净值的10%；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6）本基金应投资于信用级别评级为BBB以上（含BBB）的资产支持证券。基金持有资产支持证券期间，如果其信用等级下降、不再符合投资标准，应在评级报告发布之日起3个月内予以全部卖出；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7）本基金进入全国银行间同业市场进行债券回购的资金余额不得超过基金资产净值的40%；债券回购最长期限为1年，债券回购到期后不得展期；</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8）本基金在开放期内，保持不低于基金资产净值5％的现金或者到期日在一年以内的政府债券，其中现金不包括结算备付金、存出保证金、应收申购款等；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9）本基金资产配置比例需满足基金合同中投资范围的约定；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转为开放式运作后，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11）本基金与私募类证券资管产品及中国证监会认定的其他主体为交易对手开展逆回购交易的，可接受质押品的资质要求应当与基金合同约定的投资范围保持一致；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12）法律法规及中国证监会规定的和基金合同约定的其他投资限制。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法律法规对上述投资组合比例限制进行变更的，以变更后的规定为准。法律法规或监管部门取消上述限制，如适用于本基金，基金管理人在履行适当程序后，本基金投资不再受相关限制。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除上述第6）、8）、10）、11）项外，因证券市场波动、证券发行人合并、基金</w:t>
      </w:r>
      <w:r>
        <w:rPr>
          <w:rFonts w:ascii="宋体" w:hAnsi="宋体"/>
          <w:sz w:val="24"/>
        </w:rPr>
        <w:lastRenderedPageBreak/>
        <w:t>规模变动、股权分置改革中支付对价等基金管理人之外的因素致使基金投资比例不符合上述规定投资比例的，基金管理人应当在10个交易日内进行调整，以达到规定的投资比例限制要求，但中国证监会规定的特殊情形除外。法律法规另有规定的，从其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合同另有约定的除外。在上述期间内，本基金的投资范围、投资策略应当符合基金合同的约定。基金托管人对基金投资的监督与检查自基金合同生效之日起开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7）法律法规和中国证监会规定禁止的其他活动。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等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w:t>
      </w:r>
      <w:r>
        <w:rPr>
          <w:rFonts w:ascii="宋体" w:hAnsi="宋体"/>
          <w:sz w:val="24"/>
        </w:rPr>
        <w:lastRenderedPageBreak/>
        <w:t>发行未上市证券、回购交易中的质押券等流通受限证券。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w:t>
      </w:r>
      <w:r>
        <w:rPr>
          <w:rFonts w:ascii="宋体" w:hAnsi="宋体"/>
          <w:sz w:val="24"/>
        </w:rPr>
        <w:lastRenderedPageBreak/>
        <w:t>合和协助基金托管人的监督和核查。基金管理人应按相关托管协议要求向基金托管人及时发出回函，并及时改正。基金托管人有权随时对所通知事项进行复查, 督促基金管理人改正。如果基金管理人违规事项未能在限期内纠正的，基金托管人应报告中国证监会。如果基金托管人未能切实履行监督职责，导致基金出现风险，基金托管人应承担连带责任。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的基金份额净值计算、应收资金到账、基金费用开支及收入确定、基金收益分配、相关信息披露、基金宣传推介材料中登载基金业绩表现数据</w:t>
      </w:r>
      <w:r>
        <w:rPr>
          <w:rFonts w:ascii="宋体" w:hAnsi="宋体"/>
          <w:sz w:val="24"/>
        </w:rPr>
        <w:lastRenderedPageBreak/>
        <w:t>等进行监督和核查。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等投资所需账户、复核基金管理人计算的基金资产净值和基金份额净值、根据基金管理人指令办理清算交收、相关信息披露和监督基金投资运作等行为。</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w:t>
      </w:r>
      <w:r>
        <w:rPr>
          <w:rFonts w:ascii="宋体" w:hAnsi="宋体"/>
          <w:sz w:val="24"/>
        </w:rPr>
        <w:lastRenderedPageBreak/>
        <w:t>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w:t>
      </w:r>
      <w:r>
        <w:rPr>
          <w:rFonts w:ascii="宋体" w:hAnsi="宋体"/>
          <w:sz w:val="24"/>
        </w:rPr>
        <w:lastRenderedPageBreak/>
        <w:t>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w:t>
      </w:r>
      <w:r>
        <w:rPr>
          <w:rFonts w:ascii="宋体" w:hAnsi="宋体"/>
          <w:sz w:val="24"/>
        </w:rPr>
        <w:lastRenderedPageBreak/>
        <w:t>市场回购主协议，正本由基金托管人保管，基金管理人保存副本。</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指每个工作日闭市后，基金份额的基金资产净值除以当日基金份额的数值。基金份额净值的计算保留到小数点后4位，小数点后第5位四舍五入，由此产生的误差计入基金财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w:t>
      </w:r>
      <w:r>
        <w:rPr>
          <w:rFonts w:ascii="宋体" w:hAnsi="宋体"/>
          <w:sz w:val="24"/>
        </w:rPr>
        <w:lastRenderedPageBreak/>
        <w:t>金合同的规定暂停估值时除外。估值原则应符合基金合同及相关法律、法规的规定。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为北京，仲裁裁决是终局性的并对相关各方均有约束力，仲裁费用、律师费由败诉方承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w:t>
      </w:r>
      <w:r>
        <w:rPr>
          <w:rFonts w:ascii="宋体" w:hAnsi="宋体"/>
          <w:sz w:val="24"/>
        </w:rPr>
        <w:lastRenderedPageBreak/>
        <w:t>法权益。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26" w:name="_Toc231212124"/>
      <w:r>
        <w:rPr>
          <w:rFonts w:ascii="Times New Roman" w:hAnsi="Times New Roman"/>
          <w:sz w:val="30"/>
        </w:rPr>
        <w:lastRenderedPageBreak/>
        <w:t>二十三、对基金份额持有人的服务</w:t>
      </w:r>
      <w:bookmarkEnd w:id="26"/>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A类基金份额和C类基金份额的申购、赎回、定期定额投资、转换等业务。通过网上直销交易平台办理本基金A类基金份额申购和定期定额投资业务的个人投资者将享受前端申购费率的优惠，其他费率标准不变。具体优惠费率请参见公司网站列示的网上直销申购、定期定额投资费率表或相关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本基金收益分配时，投资人可以选择将当期分配所得的红利再投资于本基金，再投资红利按红利再投日（即除息日）除息后的基金份额净值自动转为基金份额，并免收申购费用。</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（六）如本招募说明书存在任何您/贵机构无法理解的内容，可通过上述方式联系基金管理人。请确保投资前，您/贵机构已经全面理解了本招募说明书。</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27" w:name="_Toc231212125"/>
      <w:r>
        <w:rPr>
          <w:rFonts w:ascii="Times New Roman" w:hAnsi="Times New Roman"/>
          <w:sz w:val="30"/>
        </w:rPr>
        <w:lastRenderedPageBreak/>
        <w:t>二十四、其他应披露事项</w:t>
      </w:r>
      <w:bookmarkEnd w:id="27"/>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交银施罗德基金管理有限公司关于增加华夏银行股份有限公司为旗下基金的销售机构的公告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2025-05-29</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交银施罗德基金管理有限公司关于交银施罗德丰润收益债券型证券投资基金暂停及恢复大额申购（转换转入、定期定额投资）业务的公告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2025-06-19</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交银施罗德基金管理有限公司关于交银施罗德丰润收益债券型证券投资基金分红公告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2025-06-23</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交银施罗德基金管理有限公司关于交银施罗德丰润收益债券型证券投资基金暂停及恢复大额申购（转换转入、定期定额投资）业务的公告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2025-09-19</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交银施罗德基金管理有限公司关于交银施罗德丰润收益债券型证券投资基金分红公告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2025-09-23</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交银施罗德基金管理有限公司关于旗下部分基金开通同一基金不同类别基金份额转换业务并修改基金合同的公告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1257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交银施罗德丰润收益债券型证券投资基金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12571" w:rsidRDefault="00833DD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28" w:name="_Toc231212126"/>
      <w:r>
        <w:rPr>
          <w:rFonts w:ascii="Times New Roman" w:hAnsi="Times New Roman"/>
          <w:sz w:val="30"/>
        </w:rPr>
        <w:lastRenderedPageBreak/>
        <w:t>二十五、招募说明书的存放及查阅方式</w:t>
      </w:r>
      <w:bookmarkEnd w:id="28"/>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833DD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12571" w:rsidRDefault="00833DD9">
      <w:pPr>
        <w:pStyle w:val="1"/>
        <w:snapToGrid w:val="0"/>
        <w:spacing w:beforeLines="0" w:before="240" w:after="240"/>
        <w:rPr>
          <w:rFonts w:ascii="宋体" w:hAnsi="宋体"/>
          <w:szCs w:val="30"/>
        </w:rPr>
      </w:pPr>
      <w:bookmarkStart w:id="29" w:name="_Toc231212127"/>
      <w:r>
        <w:rPr>
          <w:rFonts w:ascii="Times New Roman" w:hAnsi="Times New Roman"/>
          <w:sz w:val="30"/>
        </w:rPr>
        <w:lastRenderedPageBreak/>
        <w:t>二十六、备查文件</w:t>
      </w:r>
      <w:bookmarkEnd w:id="29"/>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（一）中国证监会准予交银施罗德丰润收益债券型证券投资基金募集注册的文件</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（二）《交银施罗德丰润收益债券型证券投资基金基金合同》</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（三）《交银施罗德丰润收益债券型证券投资基金托管协议》</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812571" w:rsidRDefault="00833DD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（六）关于申请募集注册交银施罗德丰润收益债券型证券投资基金的法律意见书</w:t>
      </w:r>
    </w:p>
    <w:sectPr w:rsidR="00812571">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6FE" w:rsidRDefault="00833DD9">
      <w:r>
        <w:separator/>
      </w:r>
    </w:p>
  </w:endnote>
  <w:endnote w:type="continuationSeparator" w:id="0">
    <w:p w:rsidR="00C006FE" w:rsidRDefault="00833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71" w:rsidRDefault="0081257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71" w:rsidRDefault="0012630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812571" w:rsidRDefault="00833DD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26308">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71" w:rsidRDefault="00812571">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71" w:rsidRDefault="0012630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812571" w:rsidRDefault="00833DD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26308">
                  <w:rPr>
                    <w:rFonts w:ascii="Times New Roman" w:hAnsi="Times New Roman"/>
                    <w:noProof/>
                    <w:kern w:val="0"/>
                    <w:sz w:val="18"/>
                    <w:szCs w:val="18"/>
                  </w:rPr>
                  <w:t>152</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6FE" w:rsidRDefault="00833DD9">
      <w:r>
        <w:separator/>
      </w:r>
    </w:p>
  </w:footnote>
  <w:footnote w:type="continuationSeparator" w:id="0">
    <w:p w:rsidR="00C006FE" w:rsidRDefault="00833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71" w:rsidRDefault="0081257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71" w:rsidRDefault="00833DD9">
    <w:pPr>
      <w:pStyle w:val="a3"/>
      <w:jc w:val="right"/>
      <w:rPr>
        <w:rFonts w:ascii="宋体" w:hAnsi="宋体"/>
      </w:rPr>
    </w:pPr>
    <w:r>
      <w:rPr>
        <w:rFonts w:ascii="宋体" w:hAnsi="宋体" w:hint="eastAsia"/>
      </w:rPr>
      <w:t>交银施罗德丰润收益债券型证券投资基金招募说明书更新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71" w:rsidRDefault="00812571">
    <w:pPr>
      <w:pStyle w:val="10"/>
      <w:jc w:val="right"/>
    </w:pPr>
  </w:p>
  <w:p w:rsidR="00812571" w:rsidRDefault="00812571">
    <w:pPr>
      <w:pStyle w:val="10"/>
      <w:jc w:val="right"/>
    </w:pPr>
  </w:p>
  <w:p w:rsidR="00812571" w:rsidRDefault="00812571">
    <w:pPr>
      <w:pStyle w:val="a3"/>
      <w:jc w:val="right"/>
    </w:pPr>
  </w:p>
  <w:p w:rsidR="00812571" w:rsidRDefault="00833DD9">
    <w:pPr>
      <w:pStyle w:val="a3"/>
      <w:jc w:val="right"/>
      <w:rPr>
        <w:rFonts w:ascii="宋体" w:hAnsi="宋体"/>
      </w:rPr>
    </w:pPr>
    <w:r>
      <w:rPr>
        <w:rFonts w:ascii="宋体" w:hAnsi="宋体" w:hint="eastAsia"/>
      </w:rPr>
      <w:t>交银施罗德丰润收益债券型证券投资基金招募说明书更新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571" w:rsidRDefault="00812571">
    <w:pPr>
      <w:pStyle w:val="a3"/>
      <w:jc w:val="right"/>
    </w:pPr>
  </w:p>
  <w:p w:rsidR="00812571" w:rsidRDefault="00812571">
    <w:pPr>
      <w:pStyle w:val="a3"/>
      <w:jc w:val="right"/>
    </w:pPr>
  </w:p>
  <w:p w:rsidR="00812571" w:rsidRDefault="00812571">
    <w:pPr>
      <w:pStyle w:val="a3"/>
      <w:jc w:val="right"/>
    </w:pPr>
  </w:p>
  <w:p w:rsidR="00812571" w:rsidRDefault="00833DD9">
    <w:pPr>
      <w:pStyle w:val="a3"/>
      <w:jc w:val="right"/>
      <w:rPr>
        <w:rFonts w:ascii="宋体" w:hAnsi="宋体"/>
      </w:rPr>
    </w:pPr>
    <w:r>
      <w:rPr>
        <w:rFonts w:ascii="宋体" w:hAnsi="宋体" w:hint="eastAsia"/>
      </w:rPr>
      <w:t>交银施罗德丰润收益债券型证券投资基金招募说明书更新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6308"/>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2571"/>
    <w:rsid w:val="0081415C"/>
    <w:rsid w:val="0081590D"/>
    <w:rsid w:val="00815E57"/>
    <w:rsid w:val="008166F5"/>
    <w:rsid w:val="0081677E"/>
    <w:rsid w:val="00817467"/>
    <w:rsid w:val="0082043E"/>
    <w:rsid w:val="00822905"/>
    <w:rsid w:val="0082299E"/>
    <w:rsid w:val="00827CD1"/>
    <w:rsid w:val="00832164"/>
    <w:rsid w:val="00832F53"/>
    <w:rsid w:val="00833DD9"/>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06FE"/>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345F39E4-1C67-4D5C-A989-F9F6893C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153</Pages>
  <Words>16011</Words>
  <Characters>91267</Characters>
  <Application>Microsoft Office Word</Application>
  <DocSecurity>0</DocSecurity>
  <Lines>760</Lines>
  <Paragraphs>214</Paragraphs>
  <ScaleCrop>false</ScaleCrop>
  <Company>Microsoft</Company>
  <LinksUpToDate>false</LinksUpToDate>
  <CharactersWithSpaces>107064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2026-06-01T05:14:00Z</dcterms:created>
  <dcterms:modified xsi:type="dcterms:W3CDTF">2026-06-01T05:14:00Z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