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交银施罗德趋势优先混合型证券投资基金（C类份额）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交银趋势混合C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2010-12-22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杨金金</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2020-05-06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本基金力图通过把握中国人口变化的重大趋势，精选受益其中的优势行业和个股，在控制风险并保持基金资产良好的流动性的前提下，力争实现基金资产的长期稳定增值。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如法律法规或监管机构以后允许本基金投资其他品种，基金管理人在履行适当程序后，可以将其纳入投资范围，并可依据届时有效的法律法规适时合理地调整投资范围。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60%-95%；债券、货币市场工具、现金、权证、资产支持证券以及法律法规或中国证监会允许基金投资的其他证券品种占基金资产的5%-40%，其中基金持有的权证不超过基金资产净值的3%，基金保留的现金和投资于到期日在一年以内的政府债券的比例合计不低于基金资产净值的5%，现金不包括结算备付金、存出保证金和应收申购款等。在基金实际管理过程中，基金管理人将根据中国宏观经济情况和证券市场的阶段性变化，在上述组合比例范围内，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未来人口趋势的重大转变对国民消费倾向、国家收入分配政策、产业升级和区域发展方向等战略决策的重要影响以及其中所蕴涵的行业投资机会的基础上，挖掘受益其中的优势行业，精选个股，以谋求超额收益。</w:t>
            </w:r>
          </w:p>
          <w:p>
            <w:pPr>
              <w:ind w:firstLine="420"/>
              <w:jc w:val="left"/>
              <w:rPr>
                <w:rFonts w:ascii="仿宋_GB2312" w:eastAsia="仿宋_GB2312"/>
                <w:szCs w:val="21"/>
              </w:rPr>
            </w:pPr>
            <w:r>
              <w:rPr>
                <w:rFonts w:hint="eastAsia" w:ascii="仿宋_GB2312" w:eastAsia="仿宋_GB2312"/>
                <w:szCs w:val="21"/>
              </w:rPr>
              <w:t>1、资产配置；2、股票投资；3、债券投资；4、权证投资；5、资产支持证券投资。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75%×沪深300指数收益率+25%×中证综合债券指数收益率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详见《交银施罗德趋势优先混合型证券投资基金招募说明书》“基金的投资”。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2、本基金自2021年8月27日起，开始销售C类份额，基金份额类别首次确认当年净值增长率按实际存续期计算。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本基金力图通过把握中国人口变化的重大趋势，精选受益其中的优势行业和个股。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●《交银施罗德趋势优先混合型证券投资基金基金合同》、</w:t>
      </w:r>
    </w:p>
    <w:p>
      <w:pPr>
        <w:ind w:firstLine="420"/>
        <w:jc w:val="left"/>
        <w:rPr>
          <w:rFonts w:ascii="仿宋_GB2312" w:eastAsia="仿宋_GB2312"/>
          <w:szCs w:val="21"/>
        </w:rPr>
      </w:pPr>
      <w:r>
        <w:rPr>
          <w:rFonts w:hint="eastAsia" w:ascii="仿宋_GB2312" w:eastAsia="仿宋_GB2312"/>
          <w:szCs w:val="21"/>
        </w:rPr>
        <w:t>《交银施罗德趋势优先混合型证券投资基金托管协议》、</w:t>
      </w:r>
    </w:p>
    <w:p>
      <w:pPr>
        <w:ind w:firstLine="420"/>
        <w:jc w:val="left"/>
        <w:rPr>
          <w:rFonts w:ascii="仿宋_GB2312" w:eastAsia="仿宋_GB2312"/>
          <w:szCs w:val="21"/>
        </w:rPr>
      </w:pPr>
      <w:r>
        <w:rPr>
          <w:rFonts w:hint="eastAsia" w:ascii="仿宋_GB2312" w:eastAsia="仿宋_GB2312"/>
          <w:szCs w:val="21"/>
        </w:rPr>
        <w:t>《交银施罗德趋势优先混合型证券投资基金招募说明书》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00C9E"/>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4DA2F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652</Words>
  <Characters>3722</Characters>
  <Lines>31</Lines>
  <Paragraphs>8</Paragraphs>
  <TotalTime>0</TotalTime>
  <ScaleCrop>false</ScaleCrop>
  <LinksUpToDate>false</LinksUpToDate>
  <CharactersWithSpaces>4366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2026-05-21T08:44:17Z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731A5CD0C9274721BAB76A417099A4FD</vt:lpwstr>
  </property>
</Properties>
</file>