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交银施罗德180天持有期债券型证券投资基金（C类份额）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交银180天持有期债券C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023583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每个开放日开放申购，每份基金份额最短持有期限为180天，在最短持有期限内不可赎回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6）可转换债券（含可分离交易可转换债券）与可交换公司债券投资策略；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中债综合全价指数收益率×90%+人民币活期存款利率(税后)×10%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详见《交银施罗德180天持有期债券型证券投资基金招募说明书》“基金的投资”。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2、本基金合同于2025年7月18日生效，合同生效当年净值增长率按实际存续期计算。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基金份额持有人持有的每份基金份额最短持有期限为180天，最短持有期限届满后，本基金不收取赎回费。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hint="eastAsia" w:ascii="仿宋_GB2312" w:eastAsia="仿宋_GB2312"/>
          <w:b/>
          <w:szCs w:val="21"/>
        </w:rPr>
      </w:pPr>
      <w:r>
        <w:rPr>
          <w:rFonts w:hint="eastAsia" w:ascii="仿宋_GB2312" w:eastAsia="仿宋_GB2312"/>
          <w:b/>
          <w:szCs w:val="21"/>
        </w:rPr>
        <w:t>（三）基金运作综合费用测算</w:t>
      </w:r>
    </w:p>
    <w:p>
      <w:pPr>
        <w:jc w:val="left"/>
        <w:rPr>
          <w:rFonts w:hint="eastAsia" w:ascii="仿宋_GB2312" w:eastAsia="仿宋_GB2312"/>
          <w:szCs w:val="21"/>
        </w:rPr>
      </w:pPr>
      <w:r>
        <w:rPr>
          <w:rFonts w:hint="eastAsia" w:ascii="仿宋_GB2312" w:eastAsia="仿宋_GB2312"/>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●《交银施罗德180天持有期债券型证券投资基金基金合同》、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《交银施罗德180天持有期债券型证券投资基金托管协议》、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《交银施罗德180天持有期债券型证券投资基金招募说明书》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B53AD"/>
    <w:rsid w:val="00C0525C"/>
    <w:rsid w:val="00CD7637"/>
    <w:rsid w:val="00D04A15"/>
    <w:rsid w:val="00D373CC"/>
    <w:rsid w:val="00DB319C"/>
    <w:rsid w:val="00E51B6D"/>
    <w:rsid w:val="00F75715"/>
    <w:rsid w:val="00F811C4"/>
    <w:rsid w:val="00FC2918"/>
    <w:rsid w:val="01F01AEB"/>
    <w:rsid w:val="56F434F8"/>
    <w:rsid w:val="746A5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703</Words>
  <Characters>4010</Characters>
  <Lines>33</Lines>
  <Paragraphs>9</Paragraphs>
  <TotalTime>6</TotalTime>
  <ScaleCrop>false</ScaleCrop>
  <LinksUpToDate>false</LinksUpToDate>
  <CharactersWithSpaces>4704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2026-05-20T01:39:00Z</dcterms:created>
  <dc:creator>Cc</dc:creator>
  <cp:lastModifiedBy>haotingting</cp:lastModifiedBy>
  <dcterms:modified xsi:type="dcterms:W3CDTF">2026-05-21T01:40:17Z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22B5E6BCB7CA4152B4277E1C4EF66062</vt:lpwstr>
  </property>
</Properties>
</file>