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交银施罗德稳健配置混合型证券投资基金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交银稳健配置混合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519690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2006-06-14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芮晨</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2025-03-25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2007-02-01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人民币5000万元，基金管理人应当及时向中国证监会报告，说明出现上述情况的原因并提出解决方案；基金份额持有人数量连续60个工作日达不到200人，或连续60个工作日基金资产净值低于5000万元人民币，基金管理人有权宣布终止基金合同，并报中国证监会备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519690（前端），519691（后端）</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将坚持并不断深化价值投资的基本理念，充分发挥专业研究与管理能力，根据宏观经济周期和市场环境的变化，自上而下灵活配置资产，自下而上精选证券，有效分散风险，谋求实现基金财产的长期稳定增长。</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存托凭证）、债券、现金、短期金融工具、权证、资产支持证券及法律法规或中国证监会允许基金投资的其他金融工具。其中债券投资的主要品种包括交易所和银行间两个市场的国债、金融债、企业债与可转换债。短期金融工具则包括到期日在一年以内的债券、债券回购、央行票据、银行存款、短期融资券等。如法律法规或监管机构以后允许基金投资的其它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在正常市场情况下，基金的投资组合比例为：股票资产（含存托凭证）占基金资产净值的35%—95%；债券资产占基金资产净值的0%—60%；现金、短期金融工具、权证、资产支持证券以及中国证监会允许基金投资的其他证券品种占基金资产净值的5%-65%，其中基金保留的现金以及投资于一年期以内的政府债券的比例合计不低于基金资产净值的5%，现金不包括结算备付金、存出保证金、应收申购款等。在基金实际管理过程中，本基金具体配置比例由基金管理人根据中国宏观经济情况和证券市场的阶段性变化做主动调整，以求基金资产在各类资产的投资中达到风险和收益的最佳平衡，但比例不超出上述限定范围。在法律法规有新规定的情况下，基金管理人可对上述比例做适度调整。</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本基金的投资策略为：把握宏观经济和投资市场的变化趋势，根据经济周期理论动态调整投资组合比例，自上而下配置资产，自下而上精选证券，有效分散风险。</w:t>
            </w:r>
          </w:p>
          <w:p>
            <w:pPr>
              <w:ind w:firstLine="420"/>
              <w:jc w:val="left"/>
              <w:rPr>
                <w:rFonts w:ascii="仿宋_GB2312" w:eastAsia="仿宋_GB2312"/>
                <w:szCs w:val="21"/>
              </w:rPr>
            </w:pPr>
            <w:r>
              <w:rPr>
                <w:rFonts w:hint="eastAsia" w:ascii="仿宋_GB2312" w:eastAsia="仿宋_GB2312"/>
                <w:szCs w:val="21"/>
              </w:rPr>
              <w:t>1、资产配置；2、行业配置；3、股票选择；4、债券投资；5、权证投资策略；6、资产支持证券投资策略。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65%×MSCI中国A股指数+35%×中证综合债券指数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属于证券投资基金产品中的中等风险品种，本基金的风险与预期收益处于股票型基金和债券型基金之间。本基金力争在有效分散风险的前提下谋求实现基金资产长期稳定增长。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详见《交银施罗德稳健配置混合型证券投资基金招募说明书》“基金的投资”。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1.8%</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通过在股票、债券和现金等各类资产之间进行配置来降低风险，提高收益。如果债券市场和股票市场同时出现整体下跌，本基金的净值表现将受到影响。基金虽然采用自上而下进行资产配置的投资策略，但并不能完全抵御两个市场同时下跌的风险，此外，在股市大幅上涨时也不能完全保证基金净值能够完全跟随或超越大盘走势。</w:t>
      </w:r>
    </w:p>
    <w:p>
      <w:pPr>
        <w:ind w:firstLine="420"/>
        <w:jc w:val="left"/>
        <w:rPr>
          <w:rFonts w:ascii="仿宋_GB2312" w:eastAsia="仿宋_GB2312"/>
          <w:szCs w:val="21"/>
        </w:rPr>
      </w:pPr>
      <w:r>
        <w:rPr>
          <w:rFonts w:hint="eastAsia" w:ascii="仿宋_GB2312" w:eastAsia="仿宋_GB2312"/>
          <w:szCs w:val="21"/>
        </w:rPr>
        <w:t>除了上述股/债市整体风险外，本基金采取的是经济周期理论下的资产配置策略，根据对经济周期的判断进行阶段性的资产动态配置，如果对经济周期的判断与实际情况出现偏差，则可能导致阶段性的资产配置策略偏离甚至背离最优策略，影响组合绩效，产生风险。</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bookmarkEnd w:id="0"/>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●《交银施罗德稳健配置混合型证券投资基金基金合同》、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《交银施罗德稳健配置混合型证券投资基金托管协议》、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《交银施罗德稳健配置混合型证券投资基金招募说明书》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97404"/>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EB23F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722</Words>
  <Characters>4120</Characters>
  <Lines>34</Lines>
  <Paragraphs>9</Paragraphs>
  <TotalTime>1</TotalTime>
  <ScaleCrop>false</ScaleCrop>
  <LinksUpToDate>false</LinksUpToDate>
  <CharactersWithSpaces>4833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2026-05-20T01:35:00Z</dcterms:created>
  <dc:creator>Cc</dc:creator>
  <cp:lastModifiedBy>haotingting</cp:lastModifiedBy>
  <dcterms:modified xsi:type="dcterms:W3CDTF">2026-05-22T08:02:51Z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7864D49681C74B939FC4085AE4938370</vt:lpwstr>
  </property>
</Properties>
</file>