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交银施罗德主题优选灵活配置混合型证券投资基金（C类份额）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2026-05-14</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2026-06-12</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交银主题优选混合C</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013884</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中国建设银行股份有限公司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2010-06-30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沈楠</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2015-05-05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2009-06-23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的存续期内，基金份额持有人数量不满200人或者基金资产净值低于5000万元，基金管理人应当及时报告中国证监会；基金份额持有人数量连续20个工作日达不到200人，或连续20个工作日基金资产净值低于5000万元，基金管理人应当向中国证监会说明出现上述情况的原因并提出解决方案。</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本基金力图通过前瞻性的主题优选，积极把握行业和个股投资机会，在控制风险并保持基金资产良好的流动性的前提下，力争实现基金资产的长期稳定增值。</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本基金的投资范围为具有良好流动性的金融工具，包括国内依法发行上市的股票（含存托凭证）、债券、货币市场工具、权证、资产支持证券以及法律法规或中国证监会允许基金投资的其他金融工具。</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股票资产（含存托凭证）占基金资产的30%-80%；债券、货币市场工具、现金、权证、资产支持证券以及法律法规或中国证监会允许基金投资的其他证券品种占基金资产的20%-70%,其中基金保留的现金以及投资于到期日在一年以内的政府债券的比例合计不低于基金资产净值的5%，现金不包括结算备付金、存出保证金和应收申购款等。在基金实际管理过程中，基金管理人将根据中国宏观经济情况和证券市场的阶段性变化，适时调整基金资产在股票、债券及货币市场工具等之间的配置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将严谨、规范化的选股方法与积极主动的投资风格相结合，在分析和判断宏观经济发展趋势、经济周期和市场环境变化趋势的基础上，动态调整投资组合比例，自上而下灵活配置资产；通过优选主题配置和挖掘预期具有良好增长前景的优势行业相结合的方式，精选个股，以谋求超额收益。</w:t>
            </w:r>
          </w:p>
          <w:p>
            <w:pPr>
              <w:ind w:firstLine="420"/>
              <w:jc w:val="left"/>
              <w:rPr>
                <w:rFonts w:ascii="仿宋_GB2312" w:eastAsia="仿宋_GB2312"/>
                <w:szCs w:val="21"/>
              </w:rPr>
            </w:pPr>
            <w:r>
              <w:rPr>
                <w:rFonts w:hint="eastAsia" w:ascii="仿宋_GB2312" w:eastAsia="仿宋_GB2312"/>
                <w:szCs w:val="21"/>
              </w:rPr>
              <w:t>1、资产配置；2、主题配置；3、行业选择和配置；4、股票选择；5、债券投资；6、权证投资策略；7、资产支持证券的投资策略。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60%×沪深300指数收益率+40%×中证综合债券指数收益率</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灵活配置的混合型基金，属于基金中的中高风险品种，本基金的风险与预期收益介于股票型基金和债券型基金之间。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详见《交银施罗德主题优选灵活配置混合型证券投资基金招募说明书》“基金的投资”。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249.75pt;width:330.7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59.75pt;width:499.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2、本基金自2021年11月26日起，开始销售C类份额，基金份额类别首次确认当年净值增长率按实际存续期计算。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37"/>
        <w:gridCol w:w="2826"/>
        <w:gridCol w:w="1750"/>
        <w:gridCol w:w="1995"/>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1.20%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0.60%</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38000.00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2.03%</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5、本基金投资策略所特有的风险</w:t>
      </w:r>
    </w:p>
    <w:p>
      <w:pPr>
        <w:ind w:firstLine="420"/>
        <w:jc w:val="left"/>
        <w:rPr>
          <w:rFonts w:ascii="仿宋_GB2312" w:eastAsia="仿宋_GB2312"/>
          <w:szCs w:val="21"/>
        </w:rPr>
      </w:pPr>
      <w:r>
        <w:rPr>
          <w:rFonts w:hint="eastAsia" w:ascii="仿宋_GB2312" w:eastAsia="仿宋_GB2312"/>
          <w:szCs w:val="21"/>
        </w:rPr>
        <w:t>本基金属于混合型基金，通过在股票、债券和现金等各类资产之间进行配置来降低风险，提高收益。如果债券市场和股票市场同时出现整体下跌，本基金的净值表现将受到影响。基金虽然采用自上而下资产配置的投资策略，但并不能完全抵御两个市场同时下跌的风险。此外，在股市大幅上涨时也不能完全保证基金净值能够完全跟随或超越大盘走势。</w:t>
      </w:r>
    </w:p>
    <w:p>
      <w:pPr>
        <w:ind w:firstLine="420"/>
        <w:jc w:val="left"/>
        <w:rPr>
          <w:rFonts w:ascii="仿宋_GB2312" w:eastAsia="仿宋_GB2312"/>
          <w:szCs w:val="21"/>
        </w:rPr>
      </w:pPr>
      <w:r>
        <w:rPr>
          <w:rFonts w:hint="eastAsia" w:ascii="仿宋_GB2312" w:eastAsia="仿宋_GB2312"/>
          <w:szCs w:val="21"/>
        </w:rPr>
        <w:t>本基金在对大类资产进行灵活配置适时调整的前提下，将主要通过前瞻性的主题优选，投资于预期具有良好增长前景的优势行业和把握个股投资机会。在选股策略上本基金特有的风险主要来自两个方面：一是对行业及上市公司的基本面研究是否准确、深入，二是对行业和股票的优选和判断是否科学、准确。基本面研究及上市企业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7、投资存托凭证的特定风险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8、本基金法律文件风险收益特征表述与销售机构基金风险评价可能不一致的风险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9、其他风险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●《交银施罗德主题优选灵活配置混合型证券投资基金基金合同》、</w:t>
      </w:r>
    </w:p>
    <w:p>
      <w:pPr>
        <w:ind w:firstLine="420"/>
        <w:jc w:val="left"/>
        <w:rPr>
          <w:rFonts w:ascii="仿宋_GB2312" w:eastAsia="仿宋_GB2312"/>
          <w:szCs w:val="21"/>
        </w:rPr>
      </w:pPr>
      <w:r>
        <w:rPr>
          <w:rFonts w:hint="eastAsia" w:ascii="仿宋_GB2312" w:eastAsia="仿宋_GB2312"/>
          <w:szCs w:val="21"/>
        </w:rPr>
        <w:t>《交银施罗德主题优选灵活配置混合型证券投资基金托管协议》、</w:t>
      </w:r>
    </w:p>
    <w:p>
      <w:pPr>
        <w:ind w:firstLine="420"/>
        <w:jc w:val="left"/>
        <w:rPr>
          <w:rFonts w:ascii="仿宋_GB2312" w:eastAsia="仿宋_GB2312"/>
          <w:szCs w:val="21"/>
        </w:rPr>
      </w:pPr>
      <w:r>
        <w:rPr>
          <w:rFonts w:hint="eastAsia" w:ascii="仿宋_GB2312" w:eastAsia="仿宋_GB2312"/>
          <w:szCs w:val="21"/>
        </w:rPr>
        <w:t>《交银施罗德主题优选灵活配置混合型证券投资基金招募说明书》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03AEF"/>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736A66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qFormat/>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qFormat/>
    <w:uiPriority w:val="99"/>
    <w:rPr>
      <w:b/>
      <w:bCs/>
    </w:rPr>
  </w:style>
  <w:style w:type="table" w:styleId="8">
    <w:name w:val="Table Grid"/>
    <w:basedOn w:val="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qFormat/>
    <w:uiPriority w:val="99"/>
    <w:rPr>
      <w:sz w:val="21"/>
      <w:szCs w:val="21"/>
    </w:rPr>
  </w:style>
  <w:style w:type="character" w:customStyle="1" w:styleId="11">
    <w:name w:val="页眉 Char"/>
    <w:basedOn w:val="9"/>
    <w:link w:val="5"/>
    <w:qFormat/>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qFormat/>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673</Words>
  <Characters>3842</Characters>
  <Lines>32</Lines>
  <Paragraphs>9</Paragraphs>
  <TotalTime>0</TotalTime>
  <ScaleCrop>false</ScaleCrop>
  <LinksUpToDate>false</LinksUpToDate>
  <CharactersWithSpaces>4506</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2026-05-20T01:35:00Z</dcterms:created>
  <dc:creator>Cc</dc:creator>
  <cp:lastModifiedBy>haotingting</cp:lastModifiedBy>
  <dcterms:modified xsi:type="dcterms:W3CDTF">2026-05-25T01:43:22Z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D64294FD5B91431581C0180194FCF421</vt:lpwstr>
  </property>
</Properties>
</file>