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交银施罗德多策略回报灵活配置混合型证券投资基金（C类份额）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交银多策略回报灵活配置混合C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519761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2015-06-02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王艺伟</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2020-07-09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2012-07-13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姜承操</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2025-01-09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2011-07-11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徐森洲</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2025-01-09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2014-06-19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本基金通过灵活运用多种投资策略，充分挖掘和利用市场中潜在的投资机会，在控制下行风险的前提下，力争为投资者提供长期稳健的投资回报。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中期票据、货币市场工具、权证、资产支持证券、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和应收申购款等；基金在任何交易日日终，持有的买入股指期货合约价值，不得超过基金资产净值的10%；基金在任何交易日日终，持有的卖出期货合约价值不得超过基金持有的股票总市值的20%。</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将结合宏观经济环境、政策形势、证券市场走势的综合分析，灵活运用多种投资策略，主动判断市场时机，进行积极的资产配置，合理确定基金在股票、债券等各类资产类别上的投资比例，以最大限度地降低投资组合的风险、提高稳健投资收益。</w:t>
            </w:r>
          </w:p>
          <w:p>
            <w:pPr>
              <w:ind w:firstLine="420"/>
              <w:jc w:val="left"/>
              <w:rPr>
                <w:rFonts w:ascii="仿宋_GB2312" w:eastAsia="仿宋_GB2312"/>
                <w:szCs w:val="21"/>
              </w:rPr>
            </w:pPr>
            <w:r>
              <w:rPr>
                <w:rFonts w:hint="eastAsia" w:ascii="仿宋_GB2312" w:eastAsia="仿宋_GB2312"/>
                <w:szCs w:val="21"/>
              </w:rPr>
              <w:t>1、大类资产配置；2、股票投资策略；3、债券投资策略；4、权证投资；5、资产支持证券投资；6、股指期货投资。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50%×沪深300指数收益率+50%×中债综合全价指数收益率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详见《交银施罗德多策略回报灵活配置混合型证券投资基金招募说明书》“基金的投资”。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1.05%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7、基金合同提前终止风险</w:t>
      </w:r>
    </w:p>
    <w:p>
      <w:pPr>
        <w:ind w:firstLine="420"/>
        <w:jc w:val="left"/>
        <w:rPr>
          <w:rFonts w:ascii="仿宋_GB2312" w:eastAsia="仿宋_GB2312"/>
          <w:szCs w:val="21"/>
        </w:rPr>
      </w:pPr>
      <w:r>
        <w:rPr>
          <w:rFonts w:hint="eastAsia" w:ascii="仿宋_GB2312" w:eastAsia="仿宋_GB2312"/>
          <w:szCs w:val="21"/>
        </w:rPr>
        <w:t>连续六十个工作日出现基金份额持有人数量不满200人或者基金资产净值低于5000万元情形的，基金管理人将提前终止基金合同，不需召开基金份额持有人大会。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集中度风险、系统性风险、政策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●《交银施罗德多策略回报灵活配置混合型证券投资基金基金合同》、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《交银施罗德多策略回报灵活配置混合型证券投资基金托管协议》、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《交银施罗德多策略回报灵活配置混合型证券投资基金招募说明书》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1E7C55"/>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201D30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720</Words>
  <Characters>4107</Characters>
  <Lines>34</Lines>
  <Paragraphs>9</Paragraphs>
  <TotalTime>0</TotalTime>
  <ScaleCrop>false</ScaleCrop>
  <LinksUpToDate>false</LinksUpToDate>
  <CharactersWithSpaces>4818</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2026-05-20T01:34:00Z</dcterms:created>
  <dc:creator>Cc</dc:creator>
  <cp:lastModifiedBy>haotingting</cp:lastModifiedBy>
  <dcterms:modified xsi:type="dcterms:W3CDTF">2026-05-21T06:01:49Z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B927A6F4FEEC41988A92A4DE1E2A35F3</vt:lpwstr>
  </property>
</Properties>
</file>